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105.png" ContentType="image/png"/>
  <Override PartName="/word/media/image103.jpeg" ContentType="image/jpeg"/>
  <Override PartName="/word/media/image102.jpeg" ContentType="image/jpeg"/>
  <Override PartName="/word/media/image101.jpeg" ContentType="image/jpeg"/>
  <Override PartName="/word/media/image100.jpeg" ContentType="image/jpeg"/>
  <Override PartName="/word/media/image104.png" ContentType="image/png"/>
  <Override PartName="/word/media/image99.png" ContentType="image/png"/>
  <Override PartName="/word/media/image98.png" ContentType="image/png"/>
  <Override PartName="/word/media/image97.png" ContentType="image/png"/>
  <Override PartName="/word/media/image46.png" ContentType="image/png"/>
  <Override PartName="/word/media/image45.png" ContentType="image/png"/>
  <Override PartName="/word/media/image44.png" ContentType="image/png"/>
  <Override PartName="/word/media/image106.png" ContentType="image/png"/>
  <Override PartName="/word/media/image27.jpeg" ContentType="image/jpeg"/>
  <Override PartName="/word/media/image43.png" ContentType="image/png"/>
  <Override PartName="/word/media/image42.png" ContentType="image/png"/>
  <Override PartName="/word/media/image40.png" ContentType="image/png"/>
  <Override PartName="/word/media/image39.png" ContentType="image/png"/>
  <Override PartName="/word/media/image36.png" ContentType="image/png"/>
  <Override PartName="/word/media/image34.png" ContentType="image/png"/>
  <Override PartName="/word/media/image33.png" ContentType="image/png"/>
  <Override PartName="/word/media/image32.png" ContentType="image/png"/>
  <Override PartName="/word/media/image37.png" ContentType="image/png"/>
  <Override PartName="/word/media/image81.jpeg" ContentType="image/jpeg"/>
  <Override PartName="/word/media/image30.jpeg" ContentType="image/jpeg"/>
  <Override PartName="/word/media/image73.jpeg" ContentType="image/jpeg"/>
  <Override PartName="/word/media/image26.png" ContentType="image/png"/>
  <Override PartName="/word/media/image25.png" ContentType="image/png"/>
  <Override PartName="/word/media/image24.png" ContentType="image/png"/>
  <Override PartName="/word/media/image10.png" ContentType="image/png"/>
  <Override PartName="/word/media/image69.png" ContentType="image/png"/>
  <Override PartName="/word/media/image35.png" ContentType="image/png"/>
  <Override PartName="/word/media/image9.jpeg" ContentType="image/jpeg"/>
  <Override PartName="/word/media/image88.png" ContentType="image/png"/>
  <Override PartName="/word/media/image23.png" ContentType="image/png"/>
  <Override PartName="/word/media/image58.png" ContentType="image/png"/>
  <Override PartName="/word/media/image29.jpeg" ContentType="image/jpeg"/>
  <Override PartName="/word/media/image64.png" ContentType="image/png"/>
  <Override PartName="/word/media/image22.png" ContentType="image/png"/>
  <Override PartName="/word/media/image53.png" ContentType="image/png"/>
  <Override PartName="/word/media/image89.jpeg" ContentType="image/jpeg"/>
  <Override PartName="/word/media/image28.jpeg" ContentType="image/jpeg"/>
  <Override PartName="/word/media/image54.png" ContentType="image/png"/>
  <Override PartName="/word/media/image12.png" ContentType="image/png"/>
  <Override PartName="/word/media/image48.png" ContentType="image/png"/>
  <Override PartName="/word/media/image38.png" ContentType="image/png"/>
  <Override PartName="/word/media/image31.png" ContentType="image/png"/>
  <Override PartName="/word/media/image4.jpeg" ContentType="image/jpeg"/>
  <Override PartName="/word/media/image16.png" ContentType="image/png"/>
  <Override PartName="/word/media/image91.png" ContentType="image/png"/>
  <Override PartName="/word/media/image3.jpeg" ContentType="image/jpeg"/>
  <Override PartName="/word/media/image21.png" ContentType="image/png"/>
  <Override PartName="/word/media/image5.jpeg" ContentType="image/jpeg"/>
  <Override PartName="/word/media/image41.png" ContentType="image/png"/>
  <Override PartName="/word/media/image1.jpeg" ContentType="image/jpeg"/>
  <Override PartName="/word/media/image83.png" ContentType="image/png"/>
  <Override PartName="/word/media/image13.jpeg" ContentType="image/jpeg"/>
  <Override PartName="/word/media/image14.png" ContentType="image/png"/>
  <Override PartName="/word/media/image68.png" ContentType="image/png"/>
  <Override PartName="/word/media/image15.png" ContentType="image/png"/>
  <Override PartName="/word/media/image17.png" ContentType="image/png"/>
  <Override PartName="/word/media/image11.png" ContentType="image/png"/>
  <Override PartName="/word/media/image2.jpeg" ContentType="image/jpeg"/>
  <Override PartName="/word/media/image18.png" ContentType="image/png"/>
  <Override PartName="/word/media/image8.png" ContentType="image/png"/>
  <Override PartName="/word/media/image93.png" ContentType="image/png"/>
  <Override PartName="/word/media/image19.png" ContentType="image/png"/>
  <Override PartName="/word/media/image20.png" ContentType="image/png"/>
  <Override PartName="/word/media/image79.png" ContentType="image/png"/>
  <Override PartName="/word/media/image47.png" ContentType="image/png"/>
  <Override PartName="/word/media/image49.png" ContentType="image/png"/>
  <Override PartName="/word/media/image6.jpeg" ContentType="image/jpeg"/>
  <Override PartName="/word/media/image51.png" ContentType="image/png"/>
  <Override PartName="/word/media/image94.jpeg" ContentType="image/jpeg"/>
  <Override PartName="/word/media/image52.png" ContentType="image/png"/>
  <Override PartName="/word/media/image55.png" ContentType="image/png"/>
  <Override PartName="/word/media/image56.png" ContentType="image/png"/>
  <Override PartName="/word/media/image57.png" ContentType="image/png"/>
  <Override PartName="/word/media/image59.png" ContentType="image/png"/>
  <Override PartName="/word/media/image60.png" ContentType="image/png"/>
  <Override PartName="/word/media/image7.jpeg" ContentType="image/jpeg"/>
  <Override PartName="/word/media/image61.png" ContentType="image/png"/>
  <Override PartName="/word/media/image95.jpeg" ContentType="image/jpeg"/>
  <Override PartName="/word/media/image62.png" ContentType="image/png"/>
  <Override PartName="/word/media/image63.png" ContentType="image/png"/>
  <Override PartName="/word/media/image65.png" ContentType="image/png"/>
  <Override PartName="/word/media/image66.png" ContentType="image/png"/>
  <Override PartName="/word/media/image90.jpeg" ContentType="image/jpeg"/>
  <Override PartName="/word/media/image67.png" ContentType="image/png"/>
  <Override PartName="/word/media/image77.jpeg" ContentType="image/jpeg"/>
  <Override PartName="/word/media/image70.png" ContentType="image/png"/>
  <Override PartName="/word/media/image71.png" ContentType="image/png"/>
  <Override PartName="/word/media/image72.png" ContentType="image/png"/>
  <Override PartName="/word/media/image74.png" ContentType="image/png"/>
  <Override PartName="/word/media/image50.png" ContentType="image/png"/>
  <Override PartName="/word/media/image75.jpeg" ContentType="image/jpeg"/>
  <Override PartName="/word/media/image76.png" ContentType="image/png"/>
  <Override PartName="/word/media/image78.png" ContentType="image/png"/>
  <Override PartName="/word/media/image80.png" ContentType="image/png"/>
  <Override PartName="/word/media/image82.png" ContentType="image/png"/>
  <Override PartName="/word/media/image84.png" ContentType="image/png"/>
  <Override PartName="/word/media/image85.jpeg" ContentType="image/jpeg"/>
  <Override PartName="/word/media/image86.png" ContentType="image/png"/>
  <Override PartName="/word/media/image92.jpeg" ContentType="image/jpeg"/>
  <Override PartName="/word/media/image87.png" ContentType="image/png"/>
  <Override PartName="/word/media/image96.png" ContentType="image/pn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9581" w:type="dxa"/>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Grid>
        <w:gridCol w:w="9581"/>
      </w:tblGrid>
      <w:tr>
        <w:trPr/>
        <w:tc>
          <w:tcPr>
            <w:tcW w:w="9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pPr>
            <w:r>
              <w:rPr/>
              <w:t xml:space="preserve">ГОСТЫ по </w:t>
            </w:r>
            <w:hyperlink r:id="rId2">
              <w:r>
                <w:rPr>
                  <w:rStyle w:val="InternetLink"/>
                </w:rPr>
                <w:t>электромонтажу</w:t>
              </w:r>
            </w:hyperlink>
            <w:r>
              <w:rPr/>
              <w:t xml:space="preserve">,  </w:t>
            </w:r>
            <w:hyperlink r:id="rId3">
              <w:r>
                <w:rPr>
                  <w:rStyle w:val="InternetLink"/>
                </w:rPr>
                <w:t>кабелям</w:t>
              </w:r>
            </w:hyperlink>
            <w:r>
              <w:rPr/>
              <w:t xml:space="preserve">,  </w:t>
            </w:r>
            <w:hyperlink r:id="rId4">
              <w:r>
                <w:rPr>
                  <w:rStyle w:val="InternetLink"/>
                </w:rPr>
                <w:t>освещению</w:t>
              </w:r>
            </w:hyperlink>
            <w:r>
              <w:rPr/>
              <w:t xml:space="preserve">,  </w:t>
            </w:r>
            <w:hyperlink r:id="rId5">
              <w:r>
                <w:rPr>
                  <w:rStyle w:val="InternetLink"/>
                </w:rPr>
                <w:t>электрощитам</w:t>
              </w:r>
            </w:hyperlink>
            <w:r>
              <w:rPr/>
              <w:t xml:space="preserve">,  </w:t>
            </w:r>
            <w:hyperlink r:id="rId6">
              <w:r>
                <w:rPr>
                  <w:rStyle w:val="InternetLink"/>
                </w:rPr>
                <w:t>материалам</w:t>
              </w:r>
            </w:hyperlink>
          </w:p>
        </w:tc>
      </w:tr>
    </w:tbl>
    <w:p>
      <w:pPr>
        <w:pStyle w:val="Normal"/>
        <w:spacing w:before="240" w:after="0"/>
        <w:rPr>
          <w:b/>
          <w:b/>
          <w:bCs/>
          <w:sz w:val="28"/>
          <w:szCs w:val="28"/>
        </w:rPr>
      </w:pPr>
      <w:r>
        <w:rPr>
          <w:b/>
          <w:bCs/>
          <w:sz w:val="28"/>
          <w:szCs w:val="28"/>
        </w:rPr>
      </w:r>
    </w:p>
    <w:p>
      <w:pPr>
        <w:pStyle w:val="Normal"/>
        <w:spacing w:before="240" w:after="0"/>
        <w:jc w:val="center"/>
        <w:rPr>
          <w:b/>
          <w:b/>
          <w:bCs/>
          <w:sz w:val="28"/>
          <w:szCs w:val="28"/>
        </w:rPr>
      </w:pPr>
      <w:r>
        <w:rPr>
          <w:b/>
          <w:bCs/>
          <w:sz w:val="28"/>
          <w:szCs w:val="28"/>
        </w:rPr>
        <w:t xml:space="preserve">ПРАВИЛА </w:t>
        <w:br/>
        <w:t>УСТРОЙСТВА ЭЛЕКТРОУСТАНОВОК</w:t>
      </w:r>
    </w:p>
    <w:p>
      <w:pPr>
        <w:pStyle w:val="Normal"/>
        <w:spacing w:before="0" w:after="240"/>
        <w:jc w:val="center"/>
        <w:rPr>
          <w:b/>
          <w:b/>
          <w:bCs/>
          <w:sz w:val="28"/>
          <w:szCs w:val="28"/>
        </w:rPr>
      </w:pPr>
      <w:hyperlink r:id="rId7">
        <w:r>
          <w:rPr>
            <w:rStyle w:val="InternetLink"/>
            <w:b/>
            <w:bCs/>
            <w:sz w:val="28"/>
            <w:szCs w:val="28"/>
          </w:rPr>
          <w:t>ПУЭ</w:t>
        </w:r>
      </w:hyperlink>
    </w:p>
    <w:p>
      <w:pPr>
        <w:pStyle w:val="Normal"/>
        <w:spacing w:before="120" w:after="120"/>
        <w:jc w:val="center"/>
        <w:rPr>
          <w:b/>
          <w:b/>
          <w:bCs/>
        </w:rPr>
      </w:pPr>
      <w:r>
        <w:rPr>
          <w:b/>
          <w:bCs/>
        </w:rPr>
        <w:t>Издание седьмое</w:t>
      </w:r>
    </w:p>
    <w:p>
      <w:pPr>
        <w:pStyle w:val="Normal"/>
        <w:ind w:firstLine="284"/>
        <w:jc w:val="both"/>
        <w:rPr/>
      </w:pPr>
      <w:r>
        <w:rPr/>
        <w:t>В книге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 устройству рекламного освещения. Содержатся требования к электрооборудованию жилых и общественных зданий, зрелищных предприятий, клубных учреждений, спортивных сооружений.</w:t>
      </w:r>
    </w:p>
    <w:p>
      <w:pPr>
        <w:pStyle w:val="Normal"/>
        <w:ind w:firstLine="284"/>
        <w:jc w:val="both"/>
        <w:rPr/>
      </w:pPr>
      <w:r>
        <w:rPr/>
        <w:t>Книга рассчитана на инженерно-технический персонал, занятый проектированием, монтажом и эксплуатацией установок электрического освещения, а также электрооборудования специальных установок.</w:t>
      </w:r>
    </w:p>
    <w:p>
      <w:pPr>
        <w:pStyle w:val="Heading1"/>
        <w:rPr/>
      </w:pPr>
      <w:bookmarkStart w:id="0" w:name="_%D0%A0%D0%B0%D0%B7%D0%B4%D0%B5%D0%BB_1_"/>
      <w:bookmarkEnd w:id="0"/>
      <w:r>
        <w:rPr/>
        <w:t>Раздел 1 ОБЩИЕ ПРАВИЛА</w:t>
      </w:r>
    </w:p>
    <w:p>
      <w:pPr>
        <w:pStyle w:val="Normal"/>
        <w:jc w:val="right"/>
        <w:rPr/>
      </w:pPr>
      <w:r>
        <w:rPr/>
        <w:t>УТВЕРЖДЕНЫ</w:t>
      </w:r>
    </w:p>
    <w:p>
      <w:pPr>
        <w:pStyle w:val="Normal"/>
        <w:jc w:val="right"/>
        <w:rPr/>
      </w:pPr>
      <w:r>
        <w:rPr/>
        <w:t>Приказом Минэнерго России</w:t>
      </w:r>
    </w:p>
    <w:p>
      <w:pPr>
        <w:pStyle w:val="Normal"/>
        <w:jc w:val="right"/>
        <w:rPr/>
      </w:pPr>
      <w:r>
        <w:rPr/>
        <w:t>От 08.07.2002 № 204</w:t>
      </w:r>
    </w:p>
    <w:p>
      <w:pPr>
        <w:pStyle w:val="Heading2"/>
        <w:rPr/>
      </w:pPr>
      <w:bookmarkStart w:id="1" w:name="_%D0%93%D0%BB%D0%B0%D0%B2%D0%B0_1.1_%D0%"/>
      <w:bookmarkEnd w:id="1"/>
      <w:r>
        <w:rPr/>
        <w:t>Глава 1.1 ОБЩАЯ ЧАСТЬ</w:t>
      </w:r>
    </w:p>
    <w:p>
      <w:pPr>
        <w:pStyle w:val="Heading3"/>
        <w:rPr/>
      </w:pPr>
      <w:r>
        <w:rPr/>
        <w:t>Область применения. Определения</w:t>
      </w:r>
    </w:p>
    <w:p>
      <w:pPr>
        <w:pStyle w:val="Normal"/>
        <w:shd w:fill="FFFFFF" w:val="clear"/>
        <w:ind w:firstLine="283"/>
        <w:jc w:val="both"/>
        <w:rPr/>
      </w:pPr>
      <w:r>
        <w:rPr>
          <w:b/>
          <w:bCs/>
        </w:rPr>
        <w:t>1.1.1.</w:t>
      </w:r>
      <w:r>
        <w:rPr/>
        <w:t xml:space="preserve">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разд. 7 настоящих Правил.</w:t>
      </w:r>
    </w:p>
    <w:p>
      <w:pPr>
        <w:pStyle w:val="Normal"/>
        <w:shd w:fill="FFFFFF" w:val="clear"/>
        <w:ind w:firstLine="283"/>
        <w:jc w:val="both"/>
        <w:rPr/>
      </w:pPr>
      <w:r>
        <w:rPr/>
        <w:t>Устройство специальных электроустановок, не рассмотренных в разд. 7,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pPr>
        <w:pStyle w:val="Normal"/>
        <w:shd w:fill="FFFFFF" w:val="clear"/>
        <w:ind w:firstLine="283"/>
        <w:jc w:val="both"/>
        <w:rPr/>
      </w:pPr>
      <w:r>
        <w:rP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pPr>
        <w:pStyle w:val="Normal"/>
        <w:shd w:fill="FFFFFF" w:val="clear"/>
        <w:ind w:firstLine="283"/>
        <w:jc w:val="both"/>
        <w:rPr/>
      </w:pPr>
      <w:r>
        <w:rP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pPr>
        <w:pStyle w:val="Normal"/>
        <w:shd w:fill="FFFFFF" w:val="clear"/>
        <w:ind w:firstLine="283"/>
        <w:jc w:val="both"/>
        <w:rPr/>
      </w:pPr>
      <w:r>
        <w:rPr>
          <w:b/>
          <w:bCs/>
        </w:rPr>
        <w:t>1.1.2.</w:t>
      </w:r>
      <w:r>
        <w:rPr/>
        <w:t xml:space="preserve">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pPr>
        <w:pStyle w:val="Normal"/>
        <w:shd w:fill="FFFFFF" w:val="clear"/>
        <w:ind w:firstLine="283"/>
        <w:jc w:val="both"/>
        <w:rPr/>
      </w:pPr>
      <w:r>
        <w:rPr>
          <w:b/>
          <w:bCs/>
        </w:rPr>
        <w:t>1.1.3.</w:t>
      </w:r>
      <w:r>
        <w:rPr/>
        <w:t xml:space="preserve"> </w:t>
      </w:r>
      <w:r>
        <w:rPr>
          <w:spacing w:val="50"/>
        </w:rPr>
        <w:t>Электроустановка</w:t>
      </w:r>
      <w:r>
        <w:rPr/>
        <w:t xml:space="preserve">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pPr>
        <w:pStyle w:val="Normal"/>
        <w:shd w:fill="FFFFFF" w:val="clear"/>
        <w:ind w:firstLine="283"/>
        <w:jc w:val="both"/>
        <w:rPr/>
      </w:pPr>
      <w:r>
        <w:rPr>
          <w:b/>
          <w:bCs/>
        </w:rPr>
        <w:t>1.1.4.</w:t>
      </w:r>
      <w:r>
        <w:rPr/>
        <w:t xml:space="preserve"> </w:t>
      </w:r>
      <w:r>
        <w:rPr>
          <w:spacing w:val="50"/>
        </w:rPr>
        <w:t>Открытые или наружные электроустановки</w:t>
      </w:r>
      <w:r>
        <w:rPr/>
        <w:t xml:space="preserve"> - электроустановки, не защищенные зданием от атмосферных воздействий.</w:t>
      </w:r>
    </w:p>
    <w:p>
      <w:pPr>
        <w:pStyle w:val="Normal"/>
        <w:shd w:fill="FFFFFF" w:val="clear"/>
        <w:ind w:firstLine="283"/>
        <w:jc w:val="both"/>
        <w:rPr/>
      </w:pPr>
      <w:r>
        <w:rPr/>
        <w:t>Электроустановки, защищенные только навесами, сетчатыми ограждениями и т.п., рассматриваются как наружные.</w:t>
      </w:r>
    </w:p>
    <w:p>
      <w:pPr>
        <w:pStyle w:val="Normal"/>
        <w:shd w:fill="FFFFFF" w:val="clear"/>
        <w:ind w:firstLine="283"/>
        <w:jc w:val="both"/>
        <w:rPr/>
      </w:pPr>
      <w:r>
        <w:rPr>
          <w:spacing w:val="50"/>
        </w:rPr>
        <w:t>Закрытые или внутренние электроустановки</w:t>
      </w:r>
      <w:r>
        <w:rPr/>
        <w:t xml:space="preserve"> - электроустановки, размещенные внутри здания, защищающего их от атмосферных воздействий.</w:t>
      </w:r>
    </w:p>
    <w:p>
      <w:pPr>
        <w:pStyle w:val="Normal"/>
        <w:shd w:fill="FFFFFF" w:val="clear"/>
        <w:ind w:firstLine="283"/>
        <w:jc w:val="both"/>
        <w:rPr/>
      </w:pPr>
      <w:r>
        <w:rPr>
          <w:b/>
          <w:bCs/>
        </w:rPr>
        <w:t xml:space="preserve">1.1.5. </w:t>
      </w:r>
      <w:r>
        <w:rPr>
          <w:spacing w:val="50"/>
        </w:rPr>
        <w:t>Электропомещения</w:t>
      </w:r>
      <w:r>
        <w:rP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pPr>
        <w:pStyle w:val="Normal"/>
        <w:shd w:fill="FFFFFF" w:val="clear"/>
        <w:ind w:firstLine="283"/>
        <w:jc w:val="both"/>
        <w:rPr/>
      </w:pPr>
      <w:r>
        <w:rPr>
          <w:b/>
          <w:bCs/>
        </w:rPr>
        <w:t>1.1.6.</w:t>
      </w:r>
      <w:r>
        <w:rPr/>
        <w:t xml:space="preserve"> </w:t>
      </w:r>
      <w:r>
        <w:rPr>
          <w:spacing w:val="50"/>
        </w:rPr>
        <w:t>Сухие помещения</w:t>
      </w:r>
      <w:r>
        <w:rPr/>
        <w:t xml:space="preserve"> - помещения, в которых относительная влажность воздуха не превышает 60 %.</w:t>
      </w:r>
    </w:p>
    <w:p>
      <w:pPr>
        <w:pStyle w:val="Normal"/>
        <w:shd w:fill="FFFFFF" w:val="clear"/>
        <w:ind w:firstLine="283"/>
        <w:jc w:val="both"/>
        <w:rPr/>
      </w:pPr>
      <w:r>
        <w:rPr/>
        <w:t xml:space="preserve">При отсутствии в таких помещениях условий, указанных в </w:t>
      </w:r>
      <w:r>
        <w:rPr>
          <w:b/>
          <w:bCs/>
        </w:rPr>
        <w:t>1.1.10-1.1.12</w:t>
      </w:r>
      <w:r>
        <w:rPr/>
        <w:t xml:space="preserve">, они называются </w:t>
      </w:r>
      <w:r>
        <w:rPr>
          <w:spacing w:val="50"/>
        </w:rPr>
        <w:t>нормальными</w:t>
      </w:r>
      <w:r>
        <w:rPr/>
        <w:t>.</w:t>
      </w:r>
    </w:p>
    <w:p>
      <w:pPr>
        <w:pStyle w:val="Normal"/>
        <w:shd w:fill="FFFFFF" w:val="clear"/>
        <w:ind w:firstLine="283"/>
        <w:jc w:val="both"/>
        <w:rPr/>
      </w:pPr>
      <w:r>
        <w:rPr>
          <w:b/>
          <w:bCs/>
        </w:rPr>
        <w:t>1.1.7.</w:t>
      </w:r>
      <w:r>
        <w:rPr/>
        <w:t xml:space="preserve"> </w:t>
      </w:r>
      <w:r>
        <w:rPr>
          <w:spacing w:val="50"/>
        </w:rPr>
        <w:t>Влажные помещения</w:t>
      </w:r>
      <w:r>
        <w:rPr/>
        <w:t xml:space="preserve"> - помещения, в которых относительная влажность воздуха более 60 %, но не превышает 75 %.</w:t>
      </w:r>
    </w:p>
    <w:p>
      <w:pPr>
        <w:pStyle w:val="Normal"/>
        <w:shd w:fill="FFFFFF" w:val="clear"/>
        <w:ind w:firstLine="283"/>
        <w:jc w:val="both"/>
        <w:rPr/>
      </w:pPr>
      <w:r>
        <w:rPr>
          <w:b/>
          <w:bCs/>
        </w:rPr>
        <w:t>1.1.8.</w:t>
      </w:r>
      <w:r>
        <w:rPr/>
        <w:t xml:space="preserve"> </w:t>
      </w:r>
      <w:r>
        <w:rPr>
          <w:spacing w:val="50"/>
        </w:rPr>
        <w:t>Сырые помещения</w:t>
      </w:r>
      <w:r>
        <w:rPr/>
        <w:t xml:space="preserve"> - помещения, в которых относительная влажность воздуха превышает 75 %.</w:t>
      </w:r>
    </w:p>
    <w:p>
      <w:pPr>
        <w:pStyle w:val="Normal"/>
        <w:shd w:fill="FFFFFF" w:val="clear"/>
        <w:ind w:firstLine="283"/>
        <w:jc w:val="both"/>
        <w:rPr/>
      </w:pPr>
      <w:r>
        <w:rPr>
          <w:b/>
          <w:bCs/>
        </w:rPr>
        <w:t>1.1.9.</w:t>
      </w:r>
      <w:r>
        <w:rPr/>
        <w:t xml:space="preserve"> </w:t>
      </w:r>
      <w:r>
        <w:rPr>
          <w:spacing w:val="50"/>
        </w:rPr>
        <w:t>Особо сырые помещения</w:t>
      </w:r>
      <w:r>
        <w:rPr/>
        <w:t xml:space="preserve"> - помещения, в которых относительная влажность воздуха близка к 100 % (потолок, стены, пол и предметы, находящиеся в помещении, покрыты влагой).</w:t>
      </w:r>
    </w:p>
    <w:p>
      <w:pPr>
        <w:pStyle w:val="Normal"/>
        <w:shd w:fill="FFFFFF" w:val="clear"/>
        <w:ind w:firstLine="283"/>
        <w:jc w:val="both"/>
        <w:rPr/>
      </w:pPr>
      <w:r>
        <w:rPr>
          <w:b/>
          <w:bCs/>
        </w:rPr>
        <w:t>1.1.10.</w:t>
      </w:r>
      <w:r>
        <w:rPr/>
        <w:t xml:space="preserve"> </w:t>
      </w:r>
      <w:r>
        <w:rPr>
          <w:spacing w:val="50"/>
        </w:rPr>
        <w:t>Жаркие помещения</w:t>
      </w:r>
      <w:r>
        <w:rPr/>
        <w:t xml:space="preserve">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pPr>
        <w:pStyle w:val="Normal"/>
        <w:shd w:fill="FFFFFF" w:val="clear"/>
        <w:ind w:firstLine="283"/>
        <w:jc w:val="both"/>
        <w:rPr/>
      </w:pPr>
      <w:r>
        <w:rPr>
          <w:b/>
          <w:bCs/>
        </w:rPr>
        <w:t>1.1.11.</w:t>
      </w:r>
      <w:r>
        <w:rPr/>
        <w:t xml:space="preserve"> </w:t>
      </w:r>
      <w:r>
        <w:rPr>
          <w:spacing w:val="50"/>
        </w:rPr>
        <w:t>Пыльные помещения</w:t>
      </w:r>
      <w:r>
        <w:rPr/>
        <w:t xml:space="preserve">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т.п.</w:t>
      </w:r>
    </w:p>
    <w:p>
      <w:pPr>
        <w:pStyle w:val="Normal"/>
        <w:shd w:fill="FFFFFF" w:val="clear"/>
        <w:ind w:firstLine="283"/>
        <w:jc w:val="both"/>
        <w:rPr/>
      </w:pPr>
      <w:r>
        <w:rPr/>
        <w:t xml:space="preserve">Пыльные помещения разделяются на </w:t>
      </w:r>
      <w:r>
        <w:rPr>
          <w:spacing w:val="50"/>
        </w:rPr>
        <w:t>помещения с токопроводящей пылью и помещения с нетокопроводящей пылью.</w:t>
      </w:r>
    </w:p>
    <w:p>
      <w:pPr>
        <w:pStyle w:val="Normal"/>
        <w:shd w:fill="FFFFFF" w:val="clear"/>
        <w:ind w:firstLine="283"/>
        <w:jc w:val="both"/>
        <w:rPr/>
      </w:pPr>
      <w:r>
        <w:rPr>
          <w:b/>
          <w:bCs/>
        </w:rPr>
        <w:t>1.1.12.</w:t>
      </w:r>
      <w:r>
        <w:rPr/>
        <w:t xml:space="preserve"> </w:t>
      </w:r>
      <w:r>
        <w:rPr>
          <w:spacing w:val="50"/>
        </w:rPr>
        <w:t>Помещения с химически активной или органической средой</w:t>
      </w:r>
      <w:r>
        <w:rPr/>
        <w:t xml:space="preserve">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pPr>
        <w:pStyle w:val="Normal"/>
        <w:shd w:fill="FFFFFF" w:val="clear"/>
        <w:ind w:firstLine="283"/>
        <w:jc w:val="both"/>
        <w:rPr/>
      </w:pPr>
      <w:r>
        <w:rPr>
          <w:b/>
          <w:bCs/>
        </w:rPr>
        <w:t>1.1.13.</w:t>
      </w:r>
      <w:r>
        <w:rPr/>
        <w:t xml:space="preserve"> В отношении опасности поражения людей электрическим током различаются:</w:t>
      </w:r>
    </w:p>
    <w:p>
      <w:pPr>
        <w:pStyle w:val="Normal"/>
        <w:shd w:fill="FFFFFF" w:val="clear"/>
        <w:ind w:firstLine="283"/>
        <w:jc w:val="both"/>
        <w:rPr/>
      </w:pPr>
      <w:r>
        <w:rPr/>
        <w:t xml:space="preserve">1) </w:t>
      </w:r>
      <w:r>
        <w:rPr>
          <w:spacing w:val="50"/>
        </w:rPr>
        <w:t>помещения без повышенной опасности</w:t>
      </w:r>
      <w:r>
        <w:rPr/>
        <w:t>, в которых отсутствуют условия, создающие повышенную или особую опасность (см. пп. 2 и 3);</w:t>
      </w:r>
    </w:p>
    <w:p>
      <w:pPr>
        <w:pStyle w:val="Normal"/>
        <w:shd w:fill="FFFFFF" w:val="clear"/>
        <w:ind w:firstLine="283"/>
        <w:jc w:val="both"/>
        <w:rPr/>
      </w:pPr>
      <w:r>
        <w:rPr/>
        <w:t xml:space="preserve">2) </w:t>
      </w:r>
      <w:r>
        <w:rPr>
          <w:spacing w:val="50"/>
        </w:rPr>
        <w:t>помещения с повышенной опасностью</w:t>
      </w:r>
      <w:r>
        <w:rPr/>
        <w:t>, характеризующиеся наличием одного из следующих условий, создающих повышенную опасность:</w:t>
      </w:r>
    </w:p>
    <w:p>
      <w:pPr>
        <w:pStyle w:val="Normal"/>
        <w:shd w:fill="FFFFFF" w:val="clear"/>
        <w:ind w:firstLine="283"/>
        <w:jc w:val="both"/>
        <w:rPr/>
      </w:pPr>
      <w:r>
        <w:rPr/>
        <w:t xml:space="preserve">сырость или токопроводящая пыль (см. </w:t>
      </w:r>
      <w:r>
        <w:rPr>
          <w:b/>
          <w:bCs/>
        </w:rPr>
        <w:t>1.1.8</w:t>
      </w:r>
      <w:r>
        <w:rPr/>
        <w:t xml:space="preserve"> и </w:t>
      </w:r>
      <w:r>
        <w:rPr>
          <w:b/>
          <w:bCs/>
        </w:rPr>
        <w:t>1.1.11</w:t>
      </w:r>
      <w:r>
        <w:rPr/>
        <w:t>);</w:t>
      </w:r>
    </w:p>
    <w:p>
      <w:pPr>
        <w:pStyle w:val="Normal"/>
        <w:shd w:fill="FFFFFF" w:val="clear"/>
        <w:ind w:firstLine="283"/>
        <w:jc w:val="both"/>
        <w:rPr/>
      </w:pPr>
      <w:r>
        <w:rPr/>
        <w:t>токопроводящие полы (металлические, земляные, железобетонные, кирпичные и т.п.);</w:t>
      </w:r>
    </w:p>
    <w:p>
      <w:pPr>
        <w:pStyle w:val="Normal"/>
        <w:shd w:fill="FFFFFF" w:val="clear"/>
        <w:ind w:firstLine="283"/>
        <w:jc w:val="both"/>
        <w:rPr/>
      </w:pPr>
      <w:r>
        <w:rPr/>
        <w:t xml:space="preserve">высокая температура (см. </w:t>
      </w:r>
      <w:r>
        <w:rPr>
          <w:b/>
          <w:bCs/>
        </w:rPr>
        <w:t>1.1.10</w:t>
      </w:r>
      <w:r>
        <w:rPr/>
        <w:t>);</w:t>
      </w:r>
    </w:p>
    <w:p>
      <w:pPr>
        <w:pStyle w:val="Normal"/>
        <w:shd w:fill="FFFFFF" w:val="clear"/>
        <w:ind w:firstLine="283"/>
        <w:jc w:val="both"/>
        <w:rPr/>
      </w:pPr>
      <w:r>
        <w:rP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pPr>
        <w:pStyle w:val="Normal"/>
        <w:shd w:fill="FFFFFF" w:val="clear"/>
        <w:ind w:firstLine="283"/>
        <w:jc w:val="both"/>
        <w:rPr/>
      </w:pPr>
      <w:r>
        <w:rPr/>
        <w:t xml:space="preserve">3) </w:t>
      </w:r>
      <w:r>
        <w:rPr>
          <w:spacing w:val="50"/>
        </w:rPr>
        <w:t>особо опасные помещения</w:t>
      </w:r>
      <w:r>
        <w:rPr/>
        <w:t>, характеризующиеся наличием одного из следующих условий, создающих особую опасность:</w:t>
      </w:r>
    </w:p>
    <w:p>
      <w:pPr>
        <w:pStyle w:val="Normal"/>
        <w:shd w:fill="FFFFFF" w:val="clear"/>
        <w:ind w:firstLine="283"/>
        <w:jc w:val="both"/>
        <w:rPr/>
      </w:pPr>
      <w:r>
        <w:rPr/>
        <w:t xml:space="preserve">особая сырость (см. </w:t>
      </w:r>
      <w:r>
        <w:rPr>
          <w:b/>
          <w:bCs/>
        </w:rPr>
        <w:t>1.1.9</w:t>
      </w:r>
      <w:r>
        <w:rPr/>
        <w:t>);</w:t>
      </w:r>
    </w:p>
    <w:p>
      <w:pPr>
        <w:pStyle w:val="Normal"/>
        <w:shd w:fill="FFFFFF" w:val="clear"/>
        <w:ind w:firstLine="283"/>
        <w:jc w:val="both"/>
        <w:rPr/>
      </w:pPr>
      <w:r>
        <w:rPr/>
        <w:t xml:space="preserve">химически активная или органическая среда (см. </w:t>
      </w:r>
      <w:r>
        <w:rPr>
          <w:b/>
          <w:bCs/>
        </w:rPr>
        <w:t>1.1.12</w:t>
      </w:r>
      <w:r>
        <w:rPr/>
        <w:t>);</w:t>
      </w:r>
    </w:p>
    <w:p>
      <w:pPr>
        <w:pStyle w:val="Normal"/>
        <w:shd w:fill="FFFFFF" w:val="clear"/>
        <w:ind w:firstLine="283"/>
        <w:jc w:val="both"/>
        <w:rPr/>
      </w:pPr>
      <w:r>
        <w:rPr/>
        <w:t xml:space="preserve">одновременно два или более условий повышенной опасности (см. </w:t>
      </w:r>
      <w:r>
        <w:rPr>
          <w:b/>
          <w:bCs/>
        </w:rPr>
        <w:t>1.1.13</w:t>
      </w:r>
      <w:r>
        <w:rPr/>
        <w:t>, п. 2);</w:t>
      </w:r>
    </w:p>
    <w:p>
      <w:pPr>
        <w:pStyle w:val="Normal"/>
        <w:shd w:fill="FFFFFF" w:val="clear"/>
        <w:ind w:firstLine="283"/>
        <w:jc w:val="both"/>
        <w:rPr/>
      </w:pPr>
      <w:r>
        <w:rPr/>
        <w:t>4) территория открытых электроустановок в отношении опасности поражения людей электрическим током приравнивается к особо опасным помещениям.</w:t>
      </w:r>
    </w:p>
    <w:p>
      <w:pPr>
        <w:pStyle w:val="Normal"/>
        <w:shd w:fill="FFFFFF" w:val="clear"/>
        <w:ind w:firstLine="283"/>
        <w:jc w:val="both"/>
        <w:rPr/>
      </w:pPr>
      <w:r>
        <w:rPr>
          <w:b/>
          <w:bCs/>
        </w:rPr>
        <w:t>1.1.14.</w:t>
      </w:r>
      <w:r>
        <w:rPr/>
        <w:t xml:space="preserve"> </w:t>
      </w:r>
      <w:r>
        <w:rPr>
          <w:spacing w:val="50"/>
        </w:rPr>
        <w:t>Квалифицированный обслуживающий персонал</w:t>
      </w:r>
      <w:r>
        <w:rPr/>
        <w:t xml:space="preserve"> - специально подготовленные работники, прошедшие проверку знаний в объеме, обязательном для 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pPr>
        <w:pStyle w:val="Normal"/>
        <w:shd w:fill="FFFFFF" w:val="clear"/>
        <w:ind w:firstLine="283"/>
        <w:jc w:val="both"/>
        <w:rPr/>
      </w:pPr>
      <w:r>
        <w:rPr>
          <w:b/>
          <w:bCs/>
        </w:rPr>
        <w:t>1.1.15.</w:t>
      </w:r>
      <w:r>
        <w:rPr/>
        <w:t xml:space="preserve"> </w:t>
      </w:r>
      <w:r>
        <w:rPr>
          <w:spacing w:val="50"/>
        </w:rPr>
        <w:t>Номинальное значение параметра</w:t>
      </w:r>
      <w:r>
        <w:rPr/>
        <w:t xml:space="preserve"> - указанное изготовителем значение параметра электротехнического устройства.</w:t>
      </w:r>
    </w:p>
    <w:p>
      <w:pPr>
        <w:pStyle w:val="Normal"/>
        <w:shd w:fill="FFFFFF" w:val="clear"/>
        <w:ind w:firstLine="283"/>
        <w:jc w:val="both"/>
        <w:rPr/>
      </w:pPr>
      <w:r>
        <w:rPr>
          <w:b/>
          <w:bCs/>
        </w:rPr>
        <w:t>1.1.16.</w:t>
      </w:r>
      <w:r>
        <w:rPr/>
        <w:t xml:space="preserve"> </w:t>
      </w:r>
      <w:r>
        <w:rPr>
          <w:spacing w:val="50"/>
        </w:rPr>
        <w:t>Напряжение переменного тока</w:t>
      </w:r>
      <w:r>
        <w:rPr/>
        <w:t xml:space="preserve"> - действующее значение напряжения.</w:t>
      </w:r>
    </w:p>
    <w:p>
      <w:pPr>
        <w:pStyle w:val="Normal"/>
        <w:shd w:fill="FFFFFF" w:val="clear"/>
        <w:ind w:firstLine="283"/>
        <w:jc w:val="both"/>
        <w:rPr/>
      </w:pPr>
      <w:r>
        <w:rPr>
          <w:spacing w:val="50"/>
        </w:rPr>
        <w:t>Напряжение постоянного тока</w:t>
      </w:r>
      <w:r>
        <w:rPr/>
        <w:t xml:space="preserve"> - напряжение постоянного тока или напряжение выпрямленного тока с содержанием пульсаций не более 10 % от действующего значения.</w:t>
      </w:r>
    </w:p>
    <w:p>
      <w:pPr>
        <w:pStyle w:val="Normal"/>
        <w:shd w:fill="FFFFFF" w:val="clear"/>
        <w:ind w:firstLine="283"/>
        <w:jc w:val="both"/>
        <w:rPr/>
      </w:pPr>
      <w:r>
        <w:rPr>
          <w:b/>
          <w:bCs/>
        </w:rPr>
        <w:t>1.1.17.</w:t>
      </w:r>
      <w:r>
        <w:rPr/>
        <w:t xml:space="preserve">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pPr>
        <w:pStyle w:val="Normal"/>
        <w:shd w:fill="FFFFFF" w:val="clear"/>
        <w:ind w:firstLine="283"/>
        <w:jc w:val="both"/>
        <w:rPr/>
      </w:pPr>
      <w:r>
        <w:rPr>
          <w:b/>
          <w:bCs/>
        </w:rPr>
        <w:t>1.1.18.</w:t>
      </w:r>
      <w:r>
        <w:rPr/>
        <w:t xml:space="preserve"> Принятые в ПУЭ нормируемые значения величин с указанием «не менее» являются наименьшими, а с указанием «не более» - наибольшими.</w:t>
      </w:r>
    </w:p>
    <w:p>
      <w:pPr>
        <w:pStyle w:val="Normal"/>
        <w:shd w:fill="FFFFFF" w:val="clear"/>
        <w:ind w:firstLine="283"/>
        <w:jc w:val="both"/>
        <w:rPr/>
      </w:pPr>
      <w:r>
        <w:rPr/>
        <w:t>Все значения величин, приведенные в Правилах с предлогами «от» и «до», следует понимать как «включительно».</w:t>
      </w:r>
    </w:p>
    <w:p>
      <w:pPr>
        <w:pStyle w:val="Heading3"/>
        <w:rPr/>
      </w:pPr>
      <w:r>
        <w:rPr/>
        <w:t>Общие указания по устройству электроустановок</w:t>
      </w:r>
    </w:p>
    <w:p>
      <w:pPr>
        <w:pStyle w:val="Normal"/>
        <w:shd w:fill="FFFFFF" w:val="clear"/>
        <w:ind w:firstLine="283"/>
        <w:jc w:val="both"/>
        <w:rPr/>
      </w:pPr>
      <w:r>
        <w:rPr>
          <w:b/>
          <w:bCs/>
        </w:rPr>
        <w:t>1.1.19.</w:t>
      </w:r>
      <w:r>
        <w:rPr/>
        <w:t xml:space="preserve">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pPr>
        <w:pStyle w:val="Normal"/>
        <w:shd w:fill="FFFFFF" w:val="clear"/>
        <w:ind w:firstLine="283"/>
        <w:jc w:val="both"/>
        <w:rPr/>
      </w:pPr>
      <w:r>
        <w:rPr>
          <w:b/>
          <w:bCs/>
        </w:rPr>
        <w:t>1.1.20.</w:t>
      </w:r>
      <w:r>
        <w:rPr/>
        <w:t xml:space="preserve">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pPr>
        <w:pStyle w:val="Normal"/>
        <w:shd w:fill="FFFFFF" w:val="clear"/>
        <w:ind w:firstLine="283"/>
        <w:jc w:val="both"/>
        <w:rPr/>
      </w:pPr>
      <w:r>
        <w:rPr>
          <w:b/>
          <w:bCs/>
        </w:rPr>
        <w:t>1.1.21.</w:t>
      </w:r>
      <w:r>
        <w:rPr/>
        <w:t xml:space="preserve">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pPr>
        <w:pStyle w:val="Normal"/>
        <w:shd w:fill="FFFFFF" w:val="clear"/>
        <w:ind w:firstLine="283"/>
        <w:jc w:val="both"/>
        <w:rPr/>
      </w:pPr>
      <w:r>
        <w:rPr>
          <w:b/>
          <w:bCs/>
        </w:rPr>
        <w:t>1.1.22.</w:t>
      </w:r>
      <w:r>
        <w:rPr/>
        <w:t xml:space="preserve">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pPr>
        <w:pStyle w:val="Normal"/>
        <w:shd w:fill="FFFFFF" w:val="clear"/>
        <w:ind w:firstLine="283"/>
        <w:jc w:val="both"/>
        <w:rPr/>
      </w:pPr>
      <w:r>
        <w:rPr>
          <w:b/>
          <w:bCs/>
        </w:rPr>
        <w:t>1.1.23.</w:t>
      </w:r>
      <w:r>
        <w:rPr/>
        <w:t xml:space="preserve"> 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pPr>
        <w:pStyle w:val="Normal"/>
        <w:shd w:fill="FFFFFF" w:val="clear"/>
        <w:ind w:firstLine="283"/>
        <w:jc w:val="both"/>
        <w:rPr/>
      </w:pPr>
      <w:r>
        <w:rPr>
          <w:b/>
          <w:bCs/>
        </w:rPr>
        <w:t>1.1.24.</w:t>
      </w:r>
      <w:r>
        <w:rPr/>
        <w:t xml:space="preserve">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pPr>
        <w:pStyle w:val="Normal"/>
        <w:shd w:fill="FFFFFF" w:val="clear"/>
        <w:ind w:firstLine="283"/>
        <w:jc w:val="both"/>
        <w:rPr/>
      </w:pPr>
      <w:r>
        <w:rPr>
          <w:b/>
          <w:bCs/>
        </w:rPr>
        <w:t>1.1.25.</w:t>
      </w:r>
      <w:r>
        <w:rPr/>
        <w:t xml:space="preserve">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pPr>
        <w:pStyle w:val="Normal"/>
        <w:shd w:fill="FFFFFF" w:val="clear"/>
        <w:ind w:firstLine="283"/>
        <w:jc w:val="both"/>
        <w:rPr/>
      </w:pPr>
      <w:r>
        <w:rPr>
          <w:b/>
          <w:bCs/>
        </w:rPr>
        <w:t>1.1.26.</w:t>
      </w:r>
      <w:r>
        <w:rPr/>
        <w:t xml:space="preserve">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pPr>
        <w:pStyle w:val="Normal"/>
        <w:shd w:fill="FFFFFF" w:val="clear"/>
        <w:ind w:firstLine="283"/>
        <w:jc w:val="both"/>
        <w:rPr/>
      </w:pPr>
      <w:r>
        <w:rPr>
          <w:b/>
          <w:bCs/>
        </w:rPr>
        <w:t>1.1.27.</w:t>
      </w:r>
      <w:r>
        <w:rPr/>
        <w:t xml:space="preserve">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pPr>
        <w:pStyle w:val="Normal"/>
        <w:shd w:fill="FFFFFF" w:val="clear"/>
        <w:ind w:firstLine="283"/>
        <w:jc w:val="both"/>
        <w:rPr/>
      </w:pPr>
      <w:r>
        <w:rPr>
          <w:b/>
          <w:bCs/>
        </w:rPr>
        <w:t>1.1.28.</w:t>
      </w:r>
      <w:r>
        <w:rPr/>
        <w:t xml:space="preserve">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pPr>
        <w:pStyle w:val="Normal"/>
        <w:shd w:fill="FFFFFF" w:val="clear"/>
        <w:ind w:firstLine="283"/>
        <w:jc w:val="both"/>
        <w:rPr/>
      </w:pPr>
      <w:r>
        <w:rPr>
          <w:b/>
          <w:bCs/>
        </w:rPr>
        <w:t>1.1.29.</w:t>
      </w:r>
      <w:r>
        <w:rPr/>
        <w:t xml:space="preserve">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ГОСТ Р 50462 «Идентификация проводников по цветам или цифровым обозначениям».</w:t>
      </w:r>
    </w:p>
    <w:p>
      <w:pPr>
        <w:pStyle w:val="Normal"/>
        <w:shd w:fill="FFFFFF" w:val="clear"/>
        <w:ind w:firstLine="283"/>
        <w:jc w:val="both"/>
        <w:rPr/>
      </w:pPr>
      <w:r>
        <w:rPr/>
        <w:t xml:space="preserve">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w:t>
      </w:r>
      <w:r>
        <w:rPr>
          <w:i/>
          <w:iCs/>
        </w:rPr>
        <w:t xml:space="preserve">РЕ </w:t>
      </w:r>
      <w:r>
        <w:rPr/>
        <w:t>и цветовое обозначение чередующимися продольными или поперечными полосами одинаковой ширины (для шин от 15 до 100 мм) желтого и зеленого цветов.</w:t>
      </w:r>
    </w:p>
    <w:p>
      <w:pPr>
        <w:pStyle w:val="Normal"/>
        <w:shd w:fill="FFFFFF" w:val="clear"/>
        <w:ind w:firstLine="283"/>
        <w:jc w:val="both"/>
        <w:rPr/>
      </w:pPr>
      <w:r>
        <w:rPr/>
        <w:t xml:space="preserve">Нулевые рабочие (нейтральные) проводники обозначаются буквой </w:t>
      </w:r>
      <w:r>
        <w:rPr>
          <w:i/>
          <w:iCs/>
        </w:rPr>
        <w:t xml:space="preserve">N </w:t>
      </w:r>
      <w:r>
        <w:rPr/>
        <w:t xml:space="preserve">и голубым цветом. Совмещенные нулевые защитные и нулевые рабочие проводники должны иметь буквенное обозначение </w:t>
      </w:r>
      <w:r>
        <w:rPr>
          <w:i/>
          <w:iCs/>
        </w:rPr>
        <w:t xml:space="preserve">PEN </w:t>
      </w:r>
      <w:r>
        <w:rPr/>
        <w:t>и цветовое обозначение: голубой цвет по всей длине и желто-зеленые полосы на концах.</w:t>
      </w:r>
    </w:p>
    <w:p>
      <w:pPr>
        <w:pStyle w:val="Normal"/>
        <w:shd w:fill="FFFFFF" w:val="clear"/>
        <w:ind w:firstLine="283"/>
        <w:jc w:val="both"/>
        <w:rPr/>
      </w:pPr>
      <w:r>
        <w:rPr>
          <w:b/>
          <w:bCs/>
        </w:rPr>
        <w:t>1.1.30.</w:t>
      </w:r>
      <w:r>
        <w:rPr/>
        <w:t xml:space="preserve"> Буквенно-цифровые и цветовые обозначения одноименных шин в каждой электроустановке должны быть одинаковыми.</w:t>
      </w:r>
    </w:p>
    <w:p>
      <w:pPr>
        <w:pStyle w:val="Normal"/>
        <w:shd w:fill="FFFFFF" w:val="clear"/>
        <w:ind w:firstLine="283"/>
        <w:jc w:val="both"/>
        <w:rPr/>
      </w:pPr>
      <w:r>
        <w:rPr/>
        <w:t>Шины должны быть обозначены:</w:t>
      </w:r>
    </w:p>
    <w:p>
      <w:pPr>
        <w:pStyle w:val="Normal"/>
        <w:shd w:fill="FFFFFF" w:val="clear"/>
        <w:ind w:firstLine="283"/>
        <w:jc w:val="both"/>
        <w:rPr/>
      </w:pPr>
      <w:r>
        <w:rPr/>
        <w:t xml:space="preserve">1) при переменном трехфазном токе: шины фазы </w:t>
      </w:r>
      <w:r>
        <w:rPr>
          <w:i/>
          <w:iCs/>
        </w:rPr>
        <w:t xml:space="preserve">А - </w:t>
      </w:r>
      <w:r>
        <w:rPr/>
        <w:t xml:space="preserve">желтым, фазы </w:t>
      </w:r>
      <w:r>
        <w:rPr>
          <w:i/>
          <w:iCs/>
        </w:rPr>
        <w:t xml:space="preserve">В - </w:t>
      </w:r>
      <w:r>
        <w:rPr/>
        <w:t xml:space="preserve">зеленым, фазы </w:t>
      </w:r>
      <w:r>
        <w:rPr>
          <w:i/>
          <w:iCs/>
        </w:rPr>
        <w:t xml:space="preserve">С - </w:t>
      </w:r>
      <w:r>
        <w:rPr/>
        <w:t>красным цветами;</w:t>
      </w:r>
    </w:p>
    <w:p>
      <w:pPr>
        <w:pStyle w:val="Normal"/>
        <w:shd w:fill="FFFFFF" w:val="clear"/>
        <w:ind w:firstLine="283"/>
        <w:jc w:val="both"/>
        <w:rPr/>
      </w:pPr>
      <w:r>
        <w:rPr/>
        <w:t xml:space="preserve">2) при переменном однофазном токе шина </w:t>
      </w:r>
      <w:r>
        <w:rPr>
          <w:i/>
          <w:iCs/>
        </w:rPr>
        <w:t xml:space="preserve">В, </w:t>
      </w:r>
      <w:r>
        <w:rPr/>
        <w:t xml:space="preserve">присоединенная к концу обмотки источника питания, - красным цветом, шина </w:t>
      </w:r>
      <w:r>
        <w:rPr>
          <w:i/>
          <w:iCs/>
        </w:rPr>
        <w:t xml:space="preserve">А, </w:t>
      </w:r>
      <w:r>
        <w:rPr/>
        <w:t>присоединенная к началу обмотки источника питания, - желтым цветом.</w:t>
      </w:r>
    </w:p>
    <w:p>
      <w:pPr>
        <w:pStyle w:val="Normal"/>
        <w:shd w:fill="FFFFFF" w:val="clear"/>
        <w:ind w:firstLine="283"/>
        <w:jc w:val="both"/>
        <w:rPr/>
      </w:pPr>
      <w:r>
        <w:rPr/>
        <w:t>Шины однофазного тока, если они являются ответвлением от шин трехфазной системы, обозначаются как соответствующие шины трехфазного тока;</w:t>
      </w:r>
    </w:p>
    <w:p>
      <w:pPr>
        <w:pStyle w:val="Normal"/>
        <w:shd w:fill="FFFFFF" w:val="clear"/>
        <w:ind w:firstLine="283"/>
        <w:jc w:val="both"/>
        <w:rPr/>
      </w:pPr>
      <w:r>
        <w:rPr/>
        <w:t xml:space="preserve">3) при постоянном токе: положительная шина (+) - красным цветом, отрицательная (-) - синим и нулевая рабочая </w:t>
      </w:r>
      <w:r>
        <w:rPr>
          <w:i/>
          <w:iCs/>
        </w:rPr>
        <w:t>М</w:t>
      </w:r>
      <w:r>
        <w:rPr/>
        <w:t xml:space="preserve"> - голубым цветом.</w:t>
      </w:r>
    </w:p>
    <w:p>
      <w:pPr>
        <w:pStyle w:val="Normal"/>
        <w:shd w:fill="FFFFFF" w:val="clear"/>
        <w:ind w:firstLine="283"/>
        <w:jc w:val="both"/>
        <w:rPr/>
      </w:pPr>
      <w:r>
        <w:rPr/>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pPr>
        <w:pStyle w:val="Normal"/>
        <w:shd w:fill="FFFFFF" w:val="clear"/>
        <w:ind w:firstLine="283"/>
        <w:jc w:val="both"/>
        <w:rPr/>
      </w:pPr>
      <w:r>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pPr>
        <w:pStyle w:val="Normal"/>
        <w:shd w:fill="FFFFFF" w:val="clear"/>
        <w:ind w:firstLine="283"/>
        <w:jc w:val="both"/>
        <w:rPr/>
      </w:pPr>
      <w:r>
        <w:rPr>
          <w:b/>
          <w:bCs/>
        </w:rPr>
        <w:t>1.1.31.</w:t>
      </w:r>
      <w:r>
        <w:rPr/>
        <w:t xml:space="preserve"> 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 следующие условия:</w:t>
      </w:r>
    </w:p>
    <w:p>
      <w:pPr>
        <w:pStyle w:val="Normal"/>
        <w:shd w:fill="FFFFFF" w:val="clear"/>
        <w:ind w:firstLine="283"/>
        <w:jc w:val="both"/>
        <w:rPr/>
      </w:pPr>
      <w:r>
        <w:rP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pPr>
        <w:pStyle w:val="Normal"/>
        <w:shd w:fill="FFFFFF" w:val="clear"/>
        <w:ind w:firstLine="283"/>
        <w:jc w:val="both"/>
        <w:rPr/>
      </w:pPr>
      <w:r>
        <w:rPr/>
        <w:t>а) при горизонтальном расположении:</w:t>
      </w:r>
    </w:p>
    <w:p>
      <w:pPr>
        <w:pStyle w:val="Normal"/>
        <w:shd w:fill="FFFFFF" w:val="clear"/>
        <w:ind w:firstLine="283"/>
        <w:jc w:val="both"/>
        <w:rPr/>
      </w:pPr>
      <w:r>
        <w:rPr/>
        <w:t xml:space="preserve">одна под другой: сверху вниз </w:t>
      </w:r>
      <w:r>
        <w:rPr>
          <w:i/>
          <w:iCs/>
        </w:rPr>
        <w:t>А-В-С;</w:t>
      </w:r>
    </w:p>
    <w:p>
      <w:pPr>
        <w:pStyle w:val="Normal"/>
        <w:shd w:fill="FFFFFF" w:val="clear"/>
        <w:ind w:firstLine="283"/>
        <w:jc w:val="both"/>
        <w:rPr/>
      </w:pPr>
      <w:r>
        <w:rPr/>
        <w:t xml:space="preserve">одна за другой, наклонно или треугольником: наиболее удаленная шина </w:t>
      </w:r>
      <w:r>
        <w:rPr>
          <w:i/>
          <w:iCs/>
        </w:rPr>
        <w:t xml:space="preserve">А, </w:t>
      </w:r>
      <w:r>
        <w:rPr/>
        <w:t xml:space="preserve">средняя </w:t>
      </w:r>
      <w:r>
        <w:rPr>
          <w:i/>
          <w:iCs/>
        </w:rPr>
        <w:t xml:space="preserve">- В, </w:t>
      </w:r>
      <w:r>
        <w:rPr/>
        <w:t xml:space="preserve">ближайшая к коридору обслуживания - </w:t>
      </w:r>
      <w:r>
        <w:rPr>
          <w:i/>
          <w:iCs/>
        </w:rPr>
        <w:t>С</w:t>
      </w:r>
      <w:r>
        <w:rPr/>
        <w:t>;</w:t>
      </w:r>
    </w:p>
    <w:p>
      <w:pPr>
        <w:pStyle w:val="Normal"/>
        <w:shd w:fill="FFFFFF" w:val="clear"/>
        <w:ind w:firstLine="283"/>
        <w:jc w:val="both"/>
        <w:rPr/>
      </w:pPr>
      <w:r>
        <w:rPr/>
        <w:t>б) при вертикальном расположении (в одной плоскости или треугольником):</w:t>
      </w:r>
    </w:p>
    <w:p>
      <w:pPr>
        <w:pStyle w:val="Normal"/>
        <w:shd w:fill="FFFFFF" w:val="clear"/>
        <w:ind w:firstLine="283"/>
        <w:jc w:val="both"/>
        <w:rPr/>
      </w:pPr>
      <w:r>
        <w:rPr/>
        <w:t xml:space="preserve">слева направо </w:t>
      </w:r>
      <w:r>
        <w:rPr>
          <w:i/>
          <w:iCs/>
        </w:rPr>
        <w:t xml:space="preserve">А-В-С </w:t>
      </w:r>
      <w:r>
        <w:rPr/>
        <w:t xml:space="preserve">или наиболее удаленная шина </w:t>
      </w:r>
      <w:r>
        <w:rPr>
          <w:i/>
          <w:iCs/>
        </w:rPr>
        <w:t>А</w:t>
      </w:r>
      <w:r>
        <w:rPr/>
        <w:t xml:space="preserve">, средняя - </w:t>
      </w:r>
      <w:r>
        <w:rPr>
          <w:i/>
          <w:iCs/>
        </w:rPr>
        <w:t xml:space="preserve">В, </w:t>
      </w:r>
      <w:r>
        <w:rPr/>
        <w:t xml:space="preserve">ближайшая к коридору обслуживания - </w:t>
      </w:r>
      <w:r>
        <w:rPr>
          <w:i/>
          <w:iCs/>
        </w:rPr>
        <w:t>С</w:t>
      </w:r>
      <w:r>
        <w:rPr/>
        <w:t>;</w:t>
      </w:r>
    </w:p>
    <w:p>
      <w:pPr>
        <w:pStyle w:val="Normal"/>
        <w:shd w:fill="FFFFFF" w:val="clear"/>
        <w:ind w:firstLine="283"/>
        <w:jc w:val="both"/>
        <w:rPr/>
      </w:pPr>
      <w:r>
        <w:rPr/>
        <w:t>в) ответвления от сборных шин, если смотреть на шины из коридора обслуживания (при наличии трех коридоров - из центрального):</w:t>
      </w:r>
    </w:p>
    <w:p>
      <w:pPr>
        <w:pStyle w:val="Normal"/>
        <w:shd w:fill="FFFFFF" w:val="clear"/>
        <w:ind w:firstLine="283"/>
        <w:jc w:val="both"/>
        <w:rPr/>
      </w:pPr>
      <w:r>
        <w:rPr/>
        <w:t xml:space="preserve">при горизонтальном расположении: слева направо </w:t>
      </w:r>
      <w:r>
        <w:rPr>
          <w:i/>
          <w:iCs/>
        </w:rPr>
        <w:t>А-В-С</w:t>
      </w:r>
      <w:r>
        <w:rPr/>
        <w:t>;</w:t>
      </w:r>
    </w:p>
    <w:p>
      <w:pPr>
        <w:pStyle w:val="Normal"/>
        <w:shd w:fill="FFFFFF" w:val="clear"/>
        <w:ind w:firstLine="283"/>
        <w:jc w:val="both"/>
        <w:rPr/>
      </w:pPr>
      <w:r>
        <w:rPr/>
        <w:t xml:space="preserve">при вертикальном расположении (в одной плоскости или треугольником): сверху вниз </w:t>
      </w:r>
      <w:r>
        <w:rPr>
          <w:i/>
          <w:iCs/>
        </w:rPr>
        <w:t>А-В-С.</w:t>
      </w:r>
    </w:p>
    <w:p>
      <w:pPr>
        <w:pStyle w:val="Normal"/>
        <w:shd w:fill="FFFFFF" w:val="clear"/>
        <w:ind w:firstLine="283"/>
        <w:jc w:val="both"/>
        <w:rPr/>
      </w:pPr>
      <w:r>
        <w:rPr/>
        <w:t>2. В пяти- и четырехпроводных цепях трехфазного переменного тока в электроустановках напряжением до 1 кВ расположение шин должно быть следующим:</w:t>
      </w:r>
    </w:p>
    <w:p>
      <w:pPr>
        <w:pStyle w:val="Normal"/>
        <w:shd w:fill="FFFFFF" w:val="clear"/>
        <w:ind w:firstLine="283"/>
        <w:jc w:val="both"/>
        <w:rPr/>
      </w:pPr>
      <w:r>
        <w:rPr/>
        <w:t>при горизонтальном расположении:</w:t>
      </w:r>
    </w:p>
    <w:p>
      <w:pPr>
        <w:pStyle w:val="Normal"/>
        <w:shd w:fill="FFFFFF" w:val="clear"/>
        <w:ind w:firstLine="283"/>
        <w:jc w:val="both"/>
        <w:rPr/>
      </w:pPr>
      <w:r>
        <w:rPr/>
        <w:t xml:space="preserve">одна под другой: сверху вниз </w:t>
      </w:r>
      <w:r>
        <w:rPr>
          <w:i/>
          <w:iCs/>
        </w:rPr>
        <w:t>A-B-C-N-PE (PEN);</w:t>
      </w:r>
    </w:p>
    <w:p>
      <w:pPr>
        <w:pStyle w:val="Normal"/>
        <w:shd w:fill="FFFFFF" w:val="clear"/>
        <w:ind w:firstLine="283"/>
        <w:jc w:val="both"/>
        <w:rPr/>
      </w:pPr>
      <w:r>
        <w:rPr/>
        <w:t xml:space="preserve">одна за другой: наиболее удаленная шина </w:t>
      </w:r>
      <w:r>
        <w:rPr>
          <w:i/>
          <w:iCs/>
        </w:rPr>
        <w:t xml:space="preserve">А, </w:t>
      </w:r>
      <w:r>
        <w:rPr/>
        <w:t xml:space="preserve">затем фазы </w:t>
      </w:r>
      <w:r>
        <w:rPr>
          <w:i/>
          <w:iCs/>
        </w:rPr>
        <w:t xml:space="preserve">B-C-N, </w:t>
      </w:r>
      <w:r>
        <w:rPr/>
        <w:t xml:space="preserve">ближайшая к коридору обслуживания - </w:t>
      </w:r>
      <w:r>
        <w:rPr>
          <w:i/>
          <w:iCs/>
        </w:rPr>
        <w:t>РЕ (PEN);</w:t>
      </w:r>
    </w:p>
    <w:p>
      <w:pPr>
        <w:pStyle w:val="Normal"/>
        <w:shd w:fill="FFFFFF" w:val="clear"/>
        <w:ind w:firstLine="283"/>
        <w:jc w:val="both"/>
        <w:rPr/>
      </w:pPr>
      <w:r>
        <w:rPr/>
        <w:t xml:space="preserve">при вертикальном расположении: слева направо </w:t>
      </w:r>
      <w:r>
        <w:rPr>
          <w:i/>
          <w:iCs/>
        </w:rPr>
        <w:t xml:space="preserve">A-B-C-N-PE (PEN) </w:t>
      </w:r>
      <w:r>
        <w:rPr/>
        <w:t xml:space="preserve">или наиболее удаленная шина </w:t>
      </w:r>
      <w:r>
        <w:rPr>
          <w:i/>
          <w:iCs/>
        </w:rPr>
        <w:t xml:space="preserve">А, </w:t>
      </w:r>
      <w:r>
        <w:rPr/>
        <w:t xml:space="preserve">затем фазы </w:t>
      </w:r>
      <w:r>
        <w:rPr>
          <w:i/>
          <w:iCs/>
        </w:rPr>
        <w:t xml:space="preserve">B-C-N, </w:t>
      </w:r>
      <w:r>
        <w:rPr/>
        <w:t xml:space="preserve">ближайшая к коридору обслуживания - </w:t>
      </w:r>
      <w:r>
        <w:rPr>
          <w:i/>
          <w:iCs/>
        </w:rPr>
        <w:t>РЕ (PEN);</w:t>
      </w:r>
    </w:p>
    <w:p>
      <w:pPr>
        <w:pStyle w:val="Normal"/>
        <w:shd w:fill="FFFFFF" w:val="clear"/>
        <w:ind w:firstLine="283"/>
        <w:jc w:val="both"/>
        <w:rPr/>
      </w:pPr>
      <w:r>
        <w:rPr/>
        <w:t>ответвления от сборных шин, если смотреть на шины из коридора обслуживания:</w:t>
      </w:r>
    </w:p>
    <w:p>
      <w:pPr>
        <w:pStyle w:val="Normal"/>
        <w:shd w:fill="FFFFFF" w:val="clear"/>
        <w:ind w:firstLine="283"/>
        <w:jc w:val="both"/>
        <w:rPr/>
      </w:pPr>
      <w:r>
        <w:rPr/>
        <w:t xml:space="preserve">при горизонтальном расположении: слева направо </w:t>
      </w:r>
      <w:r>
        <w:rPr>
          <w:i/>
          <w:iCs/>
        </w:rPr>
        <w:t>A-B-C-N-PE (PEN);</w:t>
      </w:r>
    </w:p>
    <w:p>
      <w:pPr>
        <w:pStyle w:val="Normal"/>
        <w:shd w:fill="FFFFFF" w:val="clear"/>
        <w:ind w:firstLine="283"/>
        <w:jc w:val="both"/>
        <w:rPr/>
      </w:pPr>
      <w:r>
        <w:rPr/>
        <w:t xml:space="preserve">при вертикальном расположении: </w:t>
      </w:r>
      <w:r>
        <w:rPr>
          <w:i/>
          <w:iCs/>
        </w:rPr>
        <w:t xml:space="preserve">A-B-C-N-PE (PEN) </w:t>
      </w:r>
      <w:r>
        <w:rPr/>
        <w:t>сверху вниз.</w:t>
      </w:r>
    </w:p>
    <w:p>
      <w:pPr>
        <w:pStyle w:val="Normal"/>
        <w:shd w:fill="FFFFFF" w:val="clear"/>
        <w:ind w:firstLine="283"/>
        <w:jc w:val="both"/>
        <w:rPr/>
      </w:pPr>
      <w:r>
        <w:rPr/>
        <w:t>3. При постоянном токе шины должны располагаться:</w:t>
      </w:r>
    </w:p>
    <w:p>
      <w:pPr>
        <w:pStyle w:val="Normal"/>
        <w:shd w:fill="FFFFFF" w:val="clear"/>
        <w:ind w:firstLine="283"/>
        <w:jc w:val="both"/>
        <w:rPr/>
      </w:pPr>
      <w:r>
        <w:rPr/>
        <w:t xml:space="preserve">сборные шины при вертикальном расположении: верхняя </w:t>
      </w:r>
      <w:r>
        <w:rPr>
          <w:i/>
          <w:iCs/>
        </w:rPr>
        <w:t xml:space="preserve">М, </w:t>
      </w:r>
      <w:r>
        <w:rPr/>
        <w:t>средняя (-), нижняя (+);</w:t>
      </w:r>
    </w:p>
    <w:p>
      <w:pPr>
        <w:pStyle w:val="Normal"/>
        <w:shd w:fill="FFFFFF" w:val="clear"/>
        <w:ind w:firstLine="283"/>
        <w:jc w:val="both"/>
        <w:rPr/>
      </w:pPr>
      <w:r>
        <w:rPr/>
        <w:t xml:space="preserve">сборные шины при горизонтальном расположении: наиболее удаленная </w:t>
      </w:r>
      <w:r>
        <w:rPr>
          <w:i/>
          <w:iCs/>
        </w:rPr>
        <w:t xml:space="preserve">М, </w:t>
      </w:r>
      <w:r>
        <w:rPr/>
        <w:t>средняя (-) и ближайшая (+), если смотреть на шины из коридора обслуживания;</w:t>
      </w:r>
    </w:p>
    <w:p>
      <w:pPr>
        <w:pStyle w:val="Normal"/>
        <w:shd w:fill="FFFFFF" w:val="clear"/>
        <w:ind w:firstLine="283"/>
        <w:jc w:val="both"/>
        <w:rPr/>
      </w:pPr>
      <w:r>
        <w:rPr/>
        <w:t xml:space="preserve">ответвления от сборных шин: левая шина </w:t>
      </w:r>
      <w:r>
        <w:rPr>
          <w:i/>
          <w:iCs/>
        </w:rPr>
        <w:t xml:space="preserve">М, </w:t>
      </w:r>
      <w:r>
        <w:rPr/>
        <w:t>средняя (-), правая (+), если смотреть на шины из коридора обслуживания.</w:t>
      </w:r>
    </w:p>
    <w:p>
      <w:pPr>
        <w:pStyle w:val="Normal"/>
        <w:shd w:fill="FFFFFF" w:val="clear"/>
        <w:ind w:firstLine="283"/>
        <w:jc w:val="both"/>
        <w:rPr/>
      </w:pPr>
      <w:r>
        <w:rPr/>
        <w:t>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pPr>
        <w:pStyle w:val="Normal"/>
        <w:shd w:fill="FFFFFF" w:val="clear"/>
        <w:ind w:firstLine="283"/>
        <w:jc w:val="both"/>
        <w:rPr/>
      </w:pPr>
      <w:r>
        <w:rPr>
          <w:b/>
          <w:bCs/>
        </w:rPr>
        <w:t>1.1.32.</w:t>
      </w:r>
      <w:r>
        <w:rPr/>
        <w:t xml:space="preserve"> 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pPr>
        <w:pStyle w:val="Normal"/>
        <w:shd w:fill="FFFFFF" w:val="clear"/>
        <w:ind w:firstLine="283"/>
        <w:jc w:val="both"/>
        <w:rPr/>
      </w:pPr>
      <w:r>
        <w:rPr/>
        <w:t>Безопасность обслуживающего персонала и посторонних лиц должна обеспечиваться выполнением мер защиты, предусмотренных в гл. 1.7, а также следующих мероприятий:</w:t>
      </w:r>
    </w:p>
    <w:p>
      <w:pPr>
        <w:pStyle w:val="Normal"/>
        <w:shd w:fill="FFFFFF" w:val="clear"/>
        <w:ind w:firstLine="283"/>
        <w:jc w:val="both"/>
        <w:rPr/>
      </w:pPr>
      <w:r>
        <w:rPr/>
        <w:t>соблюдение соответствующих расстояний до токоведущих частей или путем закрытия, ограждения токоведущих частей;</w:t>
      </w:r>
    </w:p>
    <w:p>
      <w:pPr>
        <w:pStyle w:val="Normal"/>
        <w:shd w:fill="FFFFFF" w:val="clear"/>
        <w:ind w:firstLine="283"/>
        <w:jc w:val="both"/>
        <w:rPr/>
      </w:pPr>
      <w:r>
        <w:rPr/>
        <w:t>применение блокировки аппаратов и ограждающих устройств для предотвращения ошибочных операций и доступа к токоведущим частям;</w:t>
      </w:r>
    </w:p>
    <w:p>
      <w:pPr>
        <w:pStyle w:val="Normal"/>
        <w:shd w:fill="FFFFFF" w:val="clear"/>
        <w:ind w:firstLine="283"/>
        <w:jc w:val="both"/>
        <w:rPr/>
      </w:pPr>
      <w:r>
        <w:rPr/>
        <w:t>применение предупреждающей сигнализации, надписей и плакатов;</w:t>
      </w:r>
    </w:p>
    <w:p>
      <w:pPr>
        <w:pStyle w:val="Normal"/>
        <w:shd w:fill="FFFFFF" w:val="clear"/>
        <w:ind w:firstLine="283"/>
        <w:jc w:val="both"/>
        <w:rPr/>
      </w:pPr>
      <w:r>
        <w:rPr/>
        <w:t>применение устройств для снижения напряженности электрических и магнитных полей до допустимых значений;</w:t>
      </w:r>
    </w:p>
    <w:p>
      <w:pPr>
        <w:pStyle w:val="Normal"/>
        <w:shd w:fill="FFFFFF" w:val="clear"/>
        <w:ind w:firstLine="283"/>
        <w:jc w:val="both"/>
        <w:rPr/>
      </w:pPr>
      <w:r>
        <w:rP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pPr>
        <w:pStyle w:val="Normal"/>
        <w:shd w:fill="FFFFFF" w:val="clear"/>
        <w:ind w:firstLine="283"/>
        <w:jc w:val="both"/>
        <w:rPr/>
      </w:pPr>
      <w:r>
        <w:rPr>
          <w:b/>
          <w:bCs/>
        </w:rPr>
        <w:t>1.1.33.</w:t>
      </w:r>
      <w:r>
        <w:rPr/>
        <w:t xml:space="preserve">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pPr>
        <w:pStyle w:val="Normal"/>
        <w:shd w:fill="FFFFFF" w:val="clear"/>
        <w:ind w:firstLine="283"/>
        <w:jc w:val="both"/>
        <w:rPr/>
      </w:pPr>
      <w:r>
        <w:rPr>
          <w:b/>
          <w:bCs/>
        </w:rPr>
        <w:t>1.1.34.</w:t>
      </w:r>
      <w:r>
        <w:rPr/>
        <w:t xml:space="preserve"> В жилых, общественных и других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 сетчатые или дырчатые.</w:t>
      </w:r>
    </w:p>
    <w:p>
      <w:pPr>
        <w:pStyle w:val="Normal"/>
        <w:shd w:fill="FFFFFF" w:val="clear"/>
        <w:ind w:firstLine="283"/>
        <w:jc w:val="both"/>
        <w:rPr/>
      </w:pPr>
      <w:r>
        <w:rPr/>
        <w:t>Ограждающие и закрывающие устройства должны быть выполнены так, чтобы снимать или открывать их можно было только при помощи ключей или инструментов.</w:t>
      </w:r>
    </w:p>
    <w:p>
      <w:pPr>
        <w:pStyle w:val="Normal"/>
        <w:shd w:fill="FFFFFF" w:val="clear"/>
        <w:ind w:firstLine="283"/>
        <w:jc w:val="both"/>
        <w:rPr/>
      </w:pPr>
      <w:r>
        <w:rPr>
          <w:b/>
          <w:bCs/>
        </w:rPr>
        <w:t>1.1.35.</w:t>
      </w:r>
      <w:r>
        <w:rPr/>
        <w:t xml:space="preserve"> 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1 мм.</w:t>
      </w:r>
    </w:p>
    <w:p>
      <w:pPr>
        <w:pStyle w:val="Normal"/>
        <w:shd w:fill="FFFFFF" w:val="clear"/>
        <w:ind w:firstLine="283"/>
        <w:jc w:val="both"/>
        <w:rPr/>
      </w:pPr>
      <w:r>
        <w:rPr>
          <w:b/>
          <w:bCs/>
        </w:rPr>
        <w:t>1.1.36.</w:t>
      </w:r>
      <w:r>
        <w:rPr/>
        <w:t xml:space="preserve"> Для защиты обслуживающего персонала от поражения электрическим током, от действия электрической дуги и т.п.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pPr>
        <w:pStyle w:val="Normal"/>
        <w:shd w:fill="FFFFFF" w:val="clear"/>
        <w:ind w:firstLine="283"/>
        <w:jc w:val="both"/>
        <w:rPr/>
      </w:pPr>
      <w:r>
        <w:rPr>
          <w:b/>
          <w:bCs/>
        </w:rPr>
        <w:t>1.1.37.</w:t>
      </w:r>
      <w:r>
        <w:rPr/>
        <w:t xml:space="preserve"> Пожаро- и взрывобезопасность электроустановок должны обеспечиваться выполнением требований, приведенных в соответствующих главах настоящих Правил.</w:t>
      </w:r>
    </w:p>
    <w:p>
      <w:pPr>
        <w:pStyle w:val="Normal"/>
        <w:shd w:fill="FFFFFF" w:val="clear"/>
        <w:ind w:firstLine="283"/>
        <w:jc w:val="both"/>
        <w:rPr/>
      </w:pPr>
      <w:r>
        <w:rP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pPr>
        <w:pStyle w:val="Normal"/>
        <w:shd w:fill="FFFFFF" w:val="clear"/>
        <w:ind w:firstLine="283"/>
        <w:jc w:val="both"/>
        <w:rPr/>
      </w:pPr>
      <w:r>
        <w:rPr>
          <w:b/>
          <w:bCs/>
        </w:rPr>
        <w:t>1.1.38.</w:t>
      </w:r>
      <w:r>
        <w:rPr/>
        <w:t xml:space="preserve"> Вновь сооруженные и реконструированные электроустановки и установленное в них электрооборудование должно быть подвергнуто приемо-сдаточным испытаниям.</w:t>
      </w:r>
    </w:p>
    <w:p>
      <w:pPr>
        <w:pStyle w:val="Normal"/>
        <w:shd w:fill="FFFFFF" w:val="clear"/>
        <w:ind w:firstLine="283"/>
        <w:jc w:val="both"/>
        <w:rPr/>
      </w:pPr>
      <w:r>
        <w:rPr>
          <w:b/>
          <w:bCs/>
        </w:rPr>
        <w:t>1.1.39.</w:t>
      </w:r>
      <w:r>
        <w:rPr/>
        <w:t xml:space="preserve"> 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pPr>
        <w:pStyle w:val="Heading2"/>
        <w:rPr/>
      </w:pPr>
      <w:bookmarkStart w:id="2" w:name="_%D0%93%D0%BB%D0%B0%D0%B2%D0%B0_1.2_%D0%"/>
      <w:bookmarkEnd w:id="2"/>
      <w:r>
        <w:rPr/>
        <w:t>Глава 1.2 ЭЛЕКТРОСНАБЖЕНИЕ И ЭЛЕКТРИЧЕСКИЕ СЕТИ</w:t>
      </w:r>
    </w:p>
    <w:p>
      <w:pPr>
        <w:pStyle w:val="Heading3"/>
        <w:rPr/>
      </w:pPr>
      <w:r>
        <w:rPr/>
        <w:t>Область применения. Определения</w:t>
      </w:r>
    </w:p>
    <w:p>
      <w:pPr>
        <w:pStyle w:val="Normal"/>
        <w:shd w:fill="FFFFFF" w:val="clear"/>
        <w:ind w:firstLine="283"/>
        <w:jc w:val="both"/>
        <w:rPr/>
      </w:pPr>
      <w:r>
        <w:rPr>
          <w:b/>
          <w:bCs/>
        </w:rPr>
        <w:t xml:space="preserve">1.2.1. </w:t>
      </w:r>
      <w:r>
        <w:rPr/>
        <w:t>Настоящая глава Правил распространяется на все системы электроснабжения.</w:t>
      </w:r>
    </w:p>
    <w:p>
      <w:pPr>
        <w:pStyle w:val="Normal"/>
        <w:shd w:fill="FFFFFF" w:val="clear"/>
        <w:ind w:firstLine="283"/>
        <w:jc w:val="both"/>
        <w:rPr/>
      </w:pPr>
      <w:r>
        <w:rP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pPr>
        <w:pStyle w:val="Normal"/>
        <w:shd w:fill="FFFFFF" w:val="clear"/>
        <w:ind w:firstLine="283"/>
        <w:jc w:val="both"/>
        <w:rPr/>
      </w:pPr>
      <w:r>
        <w:rPr>
          <w:b/>
          <w:bCs/>
        </w:rPr>
        <w:t>1.2.2.</w:t>
      </w:r>
      <w:r>
        <w:rPr/>
        <w:t xml:space="preserve"> </w:t>
      </w:r>
      <w:r>
        <w:rPr>
          <w:spacing w:val="50"/>
        </w:rPr>
        <w:t>Энергетическая система (энергосистема)</w:t>
      </w:r>
      <w:r>
        <w:rPr/>
        <w:t xml:space="preserve">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pPr>
        <w:pStyle w:val="Normal"/>
        <w:shd w:fill="FFFFFF" w:val="clear"/>
        <w:ind w:firstLine="283"/>
        <w:jc w:val="both"/>
        <w:rPr/>
      </w:pPr>
      <w:r>
        <w:rPr>
          <w:b/>
          <w:bCs/>
        </w:rPr>
        <w:t>1.2.3.</w:t>
      </w:r>
      <w:r>
        <w:rPr/>
        <w:t xml:space="preserve"> </w:t>
      </w:r>
      <w:r>
        <w:rPr>
          <w:spacing w:val="50"/>
        </w:rPr>
        <w:t>Электрическая часть энергосистемы</w:t>
      </w:r>
      <w:r>
        <w:rPr/>
        <w:t xml:space="preserve"> - совокупность электроустановок электрических станций и электрических сетей энергосистемы.</w:t>
      </w:r>
    </w:p>
    <w:p>
      <w:pPr>
        <w:pStyle w:val="Normal"/>
        <w:shd w:fill="FFFFFF" w:val="clear"/>
        <w:ind w:firstLine="283"/>
        <w:jc w:val="both"/>
        <w:rPr/>
      </w:pPr>
      <w:r>
        <w:rPr>
          <w:b/>
          <w:bCs/>
        </w:rPr>
        <w:t>1.2.4.</w:t>
      </w:r>
      <w:r>
        <w:rPr/>
        <w:t xml:space="preserve"> </w:t>
      </w:r>
      <w:r>
        <w:rPr>
          <w:spacing w:val="50"/>
        </w:rPr>
        <w:t>Электроэнергетическая система</w:t>
      </w:r>
      <w:r>
        <w:rPr/>
        <w:t xml:space="preserve">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pPr>
        <w:pStyle w:val="Normal"/>
        <w:shd w:fill="FFFFFF" w:val="clear"/>
        <w:ind w:firstLine="283"/>
        <w:jc w:val="both"/>
        <w:rPr/>
      </w:pPr>
      <w:r>
        <w:rPr>
          <w:b/>
          <w:bCs/>
        </w:rPr>
        <w:t>1.2.5.</w:t>
      </w:r>
      <w:r>
        <w:rPr/>
        <w:t xml:space="preserve"> </w:t>
      </w:r>
      <w:r>
        <w:rPr>
          <w:spacing w:val="50"/>
        </w:rPr>
        <w:t>Электроснабжение</w:t>
      </w:r>
      <w:r>
        <w:rPr/>
        <w:t xml:space="preserve"> - обеспечение потребителей электрической энергией.</w:t>
      </w:r>
    </w:p>
    <w:p>
      <w:pPr>
        <w:pStyle w:val="Normal"/>
        <w:shd w:fill="FFFFFF" w:val="clear"/>
        <w:ind w:firstLine="283"/>
        <w:jc w:val="both"/>
        <w:rPr/>
      </w:pPr>
      <w:r>
        <w:rPr>
          <w:spacing w:val="50"/>
        </w:rPr>
        <w:t>Система электроснабжения</w:t>
      </w:r>
      <w:r>
        <w:rPr/>
        <w:t xml:space="preserve"> - совокупность электроустановок, предназначенных для обеспечения потребителей электрической энергией.</w:t>
      </w:r>
    </w:p>
    <w:p>
      <w:pPr>
        <w:pStyle w:val="Normal"/>
        <w:shd w:fill="FFFFFF" w:val="clear"/>
        <w:ind w:firstLine="283"/>
        <w:jc w:val="both"/>
        <w:rPr/>
      </w:pPr>
      <w:r>
        <w:rPr>
          <w:spacing w:val="50"/>
        </w:rPr>
        <w:t>Централизованное электроснабжение</w:t>
      </w:r>
      <w:r>
        <w:rPr/>
        <w:t xml:space="preserve"> - электроснабжение потребителей электрической энергии от энергосистемы.</w:t>
      </w:r>
    </w:p>
    <w:p>
      <w:pPr>
        <w:pStyle w:val="Normal"/>
        <w:shd w:fill="FFFFFF" w:val="clear"/>
        <w:ind w:firstLine="283"/>
        <w:jc w:val="both"/>
        <w:rPr/>
      </w:pPr>
      <w:r>
        <w:rPr>
          <w:b/>
          <w:bCs/>
        </w:rPr>
        <w:t>1.2.6.</w:t>
      </w:r>
      <w:r>
        <w:rPr/>
        <w:t xml:space="preserve"> </w:t>
      </w:r>
      <w:r>
        <w:rPr>
          <w:spacing w:val="50"/>
        </w:rPr>
        <w:t>Электрическая сеть</w:t>
      </w:r>
      <w:r>
        <w:rPr/>
        <w:t xml:space="preserve">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pPr>
        <w:pStyle w:val="Normal"/>
        <w:shd w:fill="FFFFFF" w:val="clear"/>
        <w:ind w:firstLine="283"/>
        <w:jc w:val="both"/>
        <w:rPr/>
      </w:pPr>
      <w:r>
        <w:rPr>
          <w:b/>
          <w:bCs/>
        </w:rPr>
        <w:t>1.2.7.</w:t>
      </w:r>
      <w:r>
        <w:rPr/>
        <w:t xml:space="preserve"> </w:t>
      </w:r>
      <w:r>
        <w:rPr>
          <w:spacing w:val="50"/>
        </w:rPr>
        <w:t>Приемник электрической энергии (электроприемник)</w:t>
      </w:r>
      <w:r>
        <w:rPr/>
        <w:t xml:space="preserve"> - аппарат, агрегат и др., предназначенный для преобразования электрической энергии в другой вид энергии.</w:t>
      </w:r>
    </w:p>
    <w:p>
      <w:pPr>
        <w:pStyle w:val="Normal"/>
        <w:shd w:fill="FFFFFF" w:val="clear"/>
        <w:ind w:firstLine="283"/>
        <w:jc w:val="both"/>
        <w:rPr/>
      </w:pPr>
      <w:r>
        <w:rPr>
          <w:b/>
          <w:bCs/>
        </w:rPr>
        <w:t>1.2.8.</w:t>
      </w:r>
      <w:r>
        <w:rPr/>
        <w:t xml:space="preserve"> </w:t>
      </w:r>
      <w:r>
        <w:rPr>
          <w:spacing w:val="50"/>
        </w:rPr>
        <w:t>Потребитель электрической энергии</w:t>
      </w:r>
      <w:r>
        <w:rPr/>
        <w:t xml:space="preserve"> - электроприемник или группа электроприемников, объединенных технологическим процессом и размещающихся на определенной территории.</w:t>
      </w:r>
    </w:p>
    <w:p>
      <w:pPr>
        <w:pStyle w:val="Normal"/>
        <w:shd w:fill="FFFFFF" w:val="clear"/>
        <w:ind w:firstLine="283"/>
        <w:jc w:val="both"/>
        <w:rPr/>
      </w:pPr>
      <w:r>
        <w:rPr>
          <w:b/>
          <w:bCs/>
        </w:rPr>
        <w:t>1.2.9.</w:t>
      </w:r>
      <w:r>
        <w:rPr/>
        <w:t xml:space="preserve"> </w:t>
      </w:r>
      <w:r>
        <w:rPr>
          <w:spacing w:val="50"/>
        </w:rPr>
        <w:t>Нормальный режим</w:t>
      </w:r>
      <w:r>
        <w:rPr/>
        <w:t xml:space="preserve"> потребителя электрической энергии - режим, при котором обеспечиваются заданные значения параметров его работы.</w:t>
      </w:r>
    </w:p>
    <w:p>
      <w:pPr>
        <w:pStyle w:val="Normal"/>
        <w:shd w:fill="FFFFFF" w:val="clear"/>
        <w:ind w:firstLine="283"/>
        <w:jc w:val="both"/>
        <w:rPr/>
      </w:pPr>
      <w:r>
        <w:rPr>
          <w:spacing w:val="50"/>
        </w:rPr>
        <w:t>Послеаварийный режим</w:t>
      </w:r>
      <w:r>
        <w:rPr/>
        <w:t xml:space="preserve">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pPr>
        <w:pStyle w:val="Normal"/>
        <w:shd w:fill="FFFFFF" w:val="clear"/>
        <w:ind w:firstLine="283"/>
        <w:jc w:val="both"/>
        <w:rPr/>
      </w:pPr>
      <w:r>
        <w:rPr>
          <w:b/>
          <w:bCs/>
        </w:rPr>
        <w:t>1.2.10.</w:t>
      </w:r>
      <w:r>
        <w:rPr/>
        <w:t xml:space="preserve"> </w:t>
      </w:r>
      <w:r>
        <w:rPr>
          <w:spacing w:val="50"/>
        </w:rPr>
        <w:t>Независимый источник питания</w:t>
      </w:r>
      <w:r>
        <w:rPr/>
        <w:t xml:space="preserve">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pPr>
        <w:pStyle w:val="Normal"/>
        <w:shd w:fill="FFFFFF" w:val="clear"/>
        <w:ind w:firstLine="283"/>
        <w:jc w:val="both"/>
        <w:rPr/>
      </w:pPr>
      <w:r>
        <w:rP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pPr>
        <w:pStyle w:val="Normal"/>
        <w:shd w:fill="FFFFFF" w:val="clear"/>
        <w:ind w:firstLine="283"/>
        <w:jc w:val="both"/>
        <w:rPr/>
      </w:pPr>
      <w:r>
        <w:rPr/>
        <w:t>1) каждая из секций или систем шин в свою очередь имеет питание от независимого источника питания;</w:t>
      </w:r>
    </w:p>
    <w:p>
      <w:pPr>
        <w:pStyle w:val="Normal"/>
        <w:shd w:fill="FFFFFF" w:val="clear"/>
        <w:ind w:firstLine="283"/>
        <w:jc w:val="both"/>
        <w:rPr/>
      </w:pPr>
      <w:r>
        <w:rP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pPr>
        <w:pStyle w:val="Heading3"/>
        <w:rPr/>
      </w:pPr>
      <w:r>
        <w:rPr/>
        <w:t>Общие требования</w:t>
      </w:r>
    </w:p>
    <w:p>
      <w:pPr>
        <w:pStyle w:val="Normal"/>
        <w:shd w:fill="FFFFFF" w:val="clear"/>
        <w:ind w:firstLine="283"/>
        <w:jc w:val="both"/>
        <w:rPr/>
      </w:pPr>
      <w:r>
        <w:rPr>
          <w:b/>
          <w:bCs/>
        </w:rPr>
        <w:t>1.2.11.</w:t>
      </w:r>
      <w:r>
        <w:rPr/>
        <w:t xml:space="preserve"> При проектировании систем электроснабжения и реконструкции электроустановок должны рассматриваться следующие вопросы:</w:t>
      </w:r>
    </w:p>
    <w:p>
      <w:pPr>
        <w:pStyle w:val="Normal"/>
        <w:shd w:fill="FFFFFF" w:val="clear"/>
        <w:ind w:firstLine="283"/>
        <w:jc w:val="both"/>
        <w:rPr/>
      </w:pPr>
      <w:r>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pPr>
        <w:pStyle w:val="Normal"/>
        <w:shd w:fill="FFFFFF" w:val="clear"/>
        <w:ind w:firstLine="283"/>
        <w:jc w:val="both"/>
        <w:rPr/>
      </w:pPr>
      <w:r>
        <w:rP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pPr>
        <w:pStyle w:val="Normal"/>
        <w:shd w:fill="FFFFFF" w:val="clear"/>
        <w:ind w:firstLine="283"/>
        <w:jc w:val="both"/>
        <w:rPr/>
      </w:pPr>
      <w:r>
        <w:rPr/>
        <w:t>3) ограничение токов КЗ предельными уровнями, определяемыми на перспективу;</w:t>
      </w:r>
    </w:p>
    <w:p>
      <w:pPr>
        <w:pStyle w:val="Normal"/>
        <w:shd w:fill="FFFFFF" w:val="clear"/>
        <w:ind w:firstLine="283"/>
        <w:jc w:val="both"/>
        <w:rPr/>
      </w:pPr>
      <w:r>
        <w:rPr/>
        <w:t>4) снижение потерь электрической энергии;</w:t>
      </w:r>
    </w:p>
    <w:p>
      <w:pPr>
        <w:pStyle w:val="Normal"/>
        <w:shd w:fill="FFFFFF" w:val="clear"/>
        <w:ind w:firstLine="283"/>
        <w:jc w:val="both"/>
        <w:rPr/>
      </w:pPr>
      <w:r>
        <w:rPr/>
        <w:t>5) соответствие принимаемых решений условиям охраны окружающей среды.</w:t>
      </w:r>
    </w:p>
    <w:p>
      <w:pPr>
        <w:pStyle w:val="Normal"/>
        <w:shd w:fill="FFFFFF" w:val="clear"/>
        <w:ind w:firstLine="283"/>
        <w:jc w:val="both"/>
        <w:rPr/>
      </w:pPr>
      <w:r>
        <w:rP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pPr>
        <w:pStyle w:val="Normal"/>
        <w:shd w:fill="FFFFFF" w:val="clear"/>
        <w:ind w:firstLine="283"/>
        <w:jc w:val="both"/>
        <w:rPr/>
      </w:pPr>
      <w:r>
        <w:rP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pPr>
        <w:pStyle w:val="Normal"/>
        <w:shd w:fill="FFFFFF" w:val="clear"/>
        <w:ind w:firstLine="283"/>
        <w:jc w:val="both"/>
        <w:rPr/>
      </w:pPr>
      <w:r>
        <w:rPr>
          <w:b/>
          <w:bCs/>
        </w:rPr>
        <w:t>1.2.12.</w:t>
      </w:r>
      <w:r>
        <w:rPr/>
        <w:t xml:space="preserve"> При решении вопросов развития систем электроснабжения следует учитывать ремонтные, аварийные и послеаварийные режимы.</w:t>
      </w:r>
    </w:p>
    <w:p>
      <w:pPr>
        <w:pStyle w:val="Normal"/>
        <w:shd w:fill="FFFFFF" w:val="clear"/>
        <w:ind w:firstLine="283"/>
        <w:jc w:val="both"/>
        <w:rPr/>
      </w:pPr>
      <w:r>
        <w:rPr>
          <w:b/>
          <w:bCs/>
        </w:rPr>
        <w:t>1.2.13.</w:t>
      </w:r>
      <w:r>
        <w:rPr/>
        <w:t xml:space="preserve">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pPr>
        <w:pStyle w:val="Normal"/>
        <w:shd w:fill="FFFFFF" w:val="clear"/>
        <w:ind w:firstLine="283"/>
        <w:jc w:val="both"/>
        <w:rPr/>
      </w:pPr>
      <w:r>
        <w:rPr>
          <w:b/>
          <w:bCs/>
        </w:rPr>
        <w:t>1.2.14.</w:t>
      </w:r>
      <w:r>
        <w:rPr/>
        <w:t xml:space="preserve"> Требования </w:t>
      </w:r>
      <w:r>
        <w:rPr>
          <w:b/>
          <w:bCs/>
        </w:rPr>
        <w:t xml:space="preserve">1.2.11-1.2.13 </w:t>
      </w:r>
      <w:r>
        <w:rPr/>
        <w:t>должны быть учтены на всех этапах развития энергосистем и систем электроснабжения.</w:t>
      </w:r>
    </w:p>
    <w:p>
      <w:pPr>
        <w:pStyle w:val="Normal"/>
        <w:shd w:fill="FFFFFF" w:val="clear"/>
        <w:ind w:firstLine="283"/>
        <w:jc w:val="both"/>
        <w:rPr/>
      </w:pPr>
      <w:r>
        <w:rPr>
          <w:b/>
          <w:bCs/>
        </w:rPr>
        <w:t>1.2.15.</w:t>
      </w:r>
      <w:r>
        <w:rPr/>
        <w:t xml:space="preserve">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pPr>
        <w:pStyle w:val="Normal"/>
        <w:shd w:fill="FFFFFF" w:val="clear"/>
        <w:ind w:firstLine="283"/>
        <w:jc w:val="both"/>
        <w:rPr/>
      </w:pPr>
      <w:r>
        <w:rPr>
          <w:b/>
          <w:bCs/>
        </w:rPr>
        <w:t>1.2.16.</w:t>
      </w:r>
      <w:r>
        <w:rPr/>
        <w:t xml:space="preserve">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pPr>
        <w:pStyle w:val="Normal"/>
        <w:shd w:fill="FFFFFF" w:val="clear"/>
        <w:ind w:firstLine="283"/>
        <w:jc w:val="both"/>
        <w:rPr/>
      </w:pPr>
      <w:r>
        <w:rPr/>
        <w:t>Компенсация емкостного тока замыкания на землю должна применяться при значениях этого тока в нормальных режимах:</w:t>
      </w:r>
    </w:p>
    <w:p>
      <w:pPr>
        <w:pStyle w:val="Normal"/>
        <w:shd w:fill="FFFFFF" w:val="clear"/>
        <w:ind w:firstLine="283"/>
        <w:jc w:val="both"/>
        <w:rPr/>
      </w:pPr>
      <w:r>
        <w:rPr/>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pPr>
        <w:pStyle w:val="Normal"/>
        <w:shd w:fill="FFFFFF" w:val="clear"/>
        <w:ind w:firstLine="283"/>
        <w:jc w:val="both"/>
        <w:rPr/>
      </w:pPr>
      <w:r>
        <w:rPr/>
        <w:t>в сетях, не имеющих железобетонных и металлических опор на воздушных линиях электропередачи:</w:t>
      </w:r>
    </w:p>
    <w:p>
      <w:pPr>
        <w:pStyle w:val="Normal"/>
        <w:shd w:fill="FFFFFF" w:val="clear"/>
        <w:ind w:firstLine="283"/>
        <w:jc w:val="both"/>
        <w:rPr/>
      </w:pPr>
      <w:r>
        <w:rPr/>
        <w:t>более 30 А при напряжении 3-6 кВ;</w:t>
      </w:r>
    </w:p>
    <w:p>
      <w:pPr>
        <w:pStyle w:val="Normal"/>
        <w:shd w:fill="FFFFFF" w:val="clear"/>
        <w:ind w:firstLine="283"/>
        <w:jc w:val="both"/>
        <w:rPr/>
      </w:pPr>
      <w:r>
        <w:rPr/>
        <w:t>более 20 А при напряжении 10 кВ;</w:t>
      </w:r>
    </w:p>
    <w:p>
      <w:pPr>
        <w:pStyle w:val="Normal"/>
        <w:shd w:fill="FFFFFF" w:val="clear"/>
        <w:ind w:firstLine="283"/>
        <w:jc w:val="both"/>
        <w:rPr/>
      </w:pPr>
      <w:r>
        <w:rPr/>
        <w:t>более 15 А при напряжении 15-20 кВ;</w:t>
      </w:r>
    </w:p>
    <w:p>
      <w:pPr>
        <w:pStyle w:val="Normal"/>
        <w:shd w:fill="FFFFFF" w:val="clear"/>
        <w:ind w:firstLine="283"/>
        <w:jc w:val="both"/>
        <w:rPr/>
      </w:pPr>
      <w:r>
        <w:rPr/>
        <w:t>в схемах генераторного напряжения 6-20 кВ блоков генератор-трансформатор - более 5 А.</w:t>
      </w:r>
    </w:p>
    <w:p>
      <w:pPr>
        <w:pStyle w:val="Normal"/>
        <w:shd w:fill="FFFFFF" w:val="clear"/>
        <w:ind w:firstLine="283"/>
        <w:jc w:val="both"/>
        <w:rPr/>
      </w:pPr>
      <w:r>
        <w:rPr/>
        <w:t>При токах замыкания на землю более 50 А рекомендуется применение не менее двух заземляющих реакторов.</w:t>
      </w:r>
    </w:p>
    <w:p>
      <w:pPr>
        <w:pStyle w:val="Normal"/>
        <w:shd w:fill="FFFFFF" w:val="clear"/>
        <w:ind w:firstLine="283"/>
        <w:jc w:val="both"/>
        <w:rPr/>
      </w:pPr>
      <w:r>
        <w:rPr/>
        <w:t>Работа электрических сетей напряжением 110 кВ может предусматриваться как с глухозаземленной, так с эффективно заземленной нейтралью.</w:t>
      </w:r>
    </w:p>
    <w:p>
      <w:pPr>
        <w:pStyle w:val="Normal"/>
        <w:shd w:fill="FFFFFF" w:val="clear"/>
        <w:ind w:firstLine="283"/>
        <w:jc w:val="both"/>
        <w:rPr/>
      </w:pPr>
      <w:r>
        <w:rPr/>
        <w:t>Электрические сети напряжением 220 кВ и выше должны работать только с глухозаземленной нейтралью.</w:t>
      </w:r>
    </w:p>
    <w:p>
      <w:pPr>
        <w:pStyle w:val="Heading3"/>
        <w:rPr/>
      </w:pPr>
      <w:r>
        <w:rPr/>
        <w:t>Категории электроприемников и обеспечение надежности электроснабжения</w:t>
      </w:r>
    </w:p>
    <w:p>
      <w:pPr>
        <w:pStyle w:val="Normal"/>
        <w:shd w:fill="FFFFFF" w:val="clear"/>
        <w:ind w:firstLine="283"/>
        <w:jc w:val="both"/>
        <w:rPr/>
      </w:pPr>
      <w:r>
        <w:rPr>
          <w:b/>
          <w:bCs/>
        </w:rPr>
        <w:t>1.2.17.</w:t>
      </w:r>
      <w:r>
        <w:rPr/>
        <w:t xml:space="preserve"> 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pPr>
        <w:pStyle w:val="Normal"/>
        <w:shd w:fill="FFFFFF" w:val="clear"/>
        <w:ind w:firstLine="283"/>
        <w:jc w:val="both"/>
        <w:rPr/>
      </w:pPr>
      <w:r>
        <w:rPr>
          <w:b/>
          <w:bCs/>
        </w:rPr>
        <w:t>1.2.18.</w:t>
      </w:r>
      <w:r>
        <w:rPr/>
        <w:t xml:space="preserve"> В отношении обеспечения надежности электроснабжения электроприемники разделяются на следующие три категории.</w:t>
      </w:r>
    </w:p>
    <w:p>
      <w:pPr>
        <w:pStyle w:val="Normal"/>
        <w:shd w:fill="FFFFFF" w:val="clear"/>
        <w:ind w:firstLine="283"/>
        <w:jc w:val="both"/>
        <w:rPr/>
      </w:pPr>
      <w:r>
        <w:rPr/>
        <w:t xml:space="preserve">Электроприемники </w:t>
      </w:r>
      <w:r>
        <w:rPr>
          <w:spacing w:val="50"/>
        </w:rPr>
        <w:t>первой категории</w:t>
      </w:r>
      <w:r>
        <w:rPr/>
        <w:t xml:space="preserve">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pPr>
        <w:pStyle w:val="Normal"/>
        <w:shd w:fill="FFFFFF" w:val="clear"/>
        <w:ind w:firstLine="283"/>
        <w:jc w:val="both"/>
        <w:rPr/>
      </w:pPr>
      <w:r>
        <w:rPr/>
        <w:t xml:space="preserve">Из состава электроприемников первой категории выделяется </w:t>
      </w:r>
      <w:r>
        <w:rPr>
          <w:i/>
          <w:iCs/>
        </w:rPr>
        <w:t xml:space="preserve">особая группа </w:t>
      </w:r>
      <w:r>
        <w:rP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pPr>
        <w:pStyle w:val="Normal"/>
        <w:shd w:fill="FFFFFF" w:val="clear"/>
        <w:ind w:firstLine="283"/>
        <w:jc w:val="both"/>
        <w:rPr/>
      </w:pPr>
      <w:r>
        <w:rPr/>
        <w:t xml:space="preserve">Электроприемники </w:t>
      </w:r>
      <w:r>
        <w:rPr>
          <w:spacing w:val="50"/>
        </w:rPr>
        <w:t>второй категории</w:t>
      </w:r>
      <w:r>
        <w:rP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pPr>
        <w:pStyle w:val="Normal"/>
        <w:shd w:fill="FFFFFF" w:val="clear"/>
        <w:ind w:firstLine="283"/>
        <w:jc w:val="both"/>
        <w:rPr/>
      </w:pPr>
      <w:r>
        <w:rPr/>
        <w:t xml:space="preserve">Электроприемники </w:t>
      </w:r>
      <w:r>
        <w:rPr>
          <w:spacing w:val="50"/>
        </w:rPr>
        <w:t>третьей категории</w:t>
      </w:r>
      <w:r>
        <w:rPr/>
        <w:t xml:space="preserve"> - все остальные электроприемники, не подпадающие под определения первой и второй категорий.</w:t>
      </w:r>
    </w:p>
    <w:p>
      <w:pPr>
        <w:pStyle w:val="Normal"/>
        <w:shd w:fill="FFFFFF" w:val="clear"/>
        <w:ind w:firstLine="283"/>
        <w:jc w:val="both"/>
        <w:rPr/>
      </w:pPr>
      <w:r>
        <w:rPr>
          <w:b/>
          <w:bCs/>
        </w:rPr>
        <w:t>1.2.19.</w:t>
      </w:r>
      <w:r>
        <w:rPr/>
        <w:t xml:space="preserve">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pPr>
        <w:pStyle w:val="Normal"/>
        <w:shd w:fill="FFFFFF" w:val="clear"/>
        <w:ind w:firstLine="283"/>
        <w:jc w:val="both"/>
        <w:rPr/>
      </w:pPr>
      <w:r>
        <w:rP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pPr>
        <w:pStyle w:val="Normal"/>
        <w:shd w:fill="FFFFFF" w:val="clear"/>
        <w:ind w:firstLine="283"/>
        <w:jc w:val="both"/>
        <w:rPr/>
      </w:pPr>
      <w:r>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т.п.</w:t>
      </w:r>
    </w:p>
    <w:p>
      <w:pPr>
        <w:pStyle w:val="Normal"/>
        <w:shd w:fill="FFFFFF" w:val="clear"/>
        <w:ind w:firstLine="283"/>
        <w:jc w:val="both"/>
        <w:rPr/>
      </w:pPr>
      <w:r>
        <w:rP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pPr>
        <w:pStyle w:val="Normal"/>
        <w:shd w:fill="FFFFFF" w:val="clear"/>
        <w:ind w:firstLine="283"/>
        <w:jc w:val="both"/>
        <w:rPr/>
      </w:pPr>
      <w:r>
        <w:rP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pPr>
        <w:pStyle w:val="Normal"/>
        <w:shd w:fill="FFFFFF" w:val="clear"/>
        <w:ind w:firstLine="283"/>
        <w:jc w:val="both"/>
        <w:rPr/>
      </w:pPr>
      <w:r>
        <w:rPr>
          <w:b/>
          <w:bCs/>
        </w:rPr>
        <w:t>1.2.20.</w:t>
      </w:r>
      <w:r>
        <w:rPr/>
        <w:t xml:space="preserve">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pPr>
        <w:pStyle w:val="Normal"/>
        <w:shd w:fill="FFFFFF" w:val="clear"/>
        <w:ind w:firstLine="283"/>
        <w:jc w:val="both"/>
        <w:rPr/>
      </w:pPr>
      <w:r>
        <w:rP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pPr>
        <w:pStyle w:val="Normal"/>
        <w:shd w:fill="FFFFFF" w:val="clear"/>
        <w:ind w:firstLine="283"/>
        <w:jc w:val="both"/>
        <w:rPr/>
      </w:pPr>
      <w:r>
        <w:rPr>
          <w:b/>
          <w:bCs/>
        </w:rPr>
        <w:t>1.2.21.</w:t>
      </w:r>
      <w:r>
        <w:rPr/>
        <w:t xml:space="preserve">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pPr>
        <w:pStyle w:val="Heading3"/>
        <w:rPr/>
      </w:pPr>
      <w:r>
        <w:rPr/>
        <w:t>Уровни и регулирование напряжения, компенсация реактивной мощности</w:t>
      </w:r>
    </w:p>
    <w:p>
      <w:pPr>
        <w:pStyle w:val="Normal"/>
        <w:shd w:fill="FFFFFF" w:val="clear"/>
        <w:ind w:firstLine="283"/>
        <w:jc w:val="both"/>
        <w:rPr/>
      </w:pPr>
      <w:r>
        <w:rPr>
          <w:b/>
          <w:bCs/>
        </w:rPr>
        <w:t>1.2.22.</w:t>
      </w:r>
      <w:r>
        <w:rPr/>
        <w:t xml:space="preserve">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ГОСТ 13109.</w:t>
      </w:r>
    </w:p>
    <w:p>
      <w:pPr>
        <w:pStyle w:val="Normal"/>
        <w:shd w:fill="FFFFFF" w:val="clear"/>
        <w:ind w:firstLine="283"/>
        <w:jc w:val="both"/>
        <w:rPr/>
      </w:pPr>
      <w:r>
        <w:rPr>
          <w:b/>
          <w:bCs/>
        </w:rPr>
        <w:t>1.2.23.</w:t>
      </w:r>
      <w:r>
        <w:rPr/>
        <w:t xml:space="preserve"> 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Отклонения от указанных уровней напряжения должны быть обоснованы.</w:t>
      </w:r>
    </w:p>
    <w:p>
      <w:pPr>
        <w:pStyle w:val="Normal"/>
        <w:shd w:fill="FFFFFF" w:val="clear"/>
        <w:ind w:firstLine="283"/>
        <w:jc w:val="both"/>
        <w:rPr/>
      </w:pPr>
      <w:r>
        <w:rPr>
          <w:b/>
          <w:bCs/>
        </w:rPr>
        <w:t xml:space="preserve">1.2.24. </w:t>
      </w:r>
      <w:r>
        <w:rPr/>
        <w:t>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pPr>
        <w:pStyle w:val="Heading2"/>
        <w:rPr/>
      </w:pPr>
      <w:bookmarkStart w:id="3" w:name="_%D0%93%D0%BB%D0%B0%D0%B2%D0%B0_1.7_%D0%"/>
      <w:bookmarkEnd w:id="3"/>
      <w:r>
        <w:rPr/>
        <w:t>Глава 1.7 ЗАЗЕМЛЕНИЕ И ЗАЩИТНЫЕ МЕРЫ ЭЛЕКТРОБЕЗОПАСНОСТИ</w:t>
      </w:r>
    </w:p>
    <w:p>
      <w:pPr>
        <w:pStyle w:val="Heading3"/>
        <w:rPr/>
      </w:pPr>
      <w:r>
        <w:rPr/>
        <w:t>Область применения. Термины и определения</w:t>
      </w:r>
    </w:p>
    <w:p>
      <w:pPr>
        <w:pStyle w:val="Normal"/>
        <w:shd w:fill="FFFFFF" w:val="clear"/>
        <w:ind w:firstLine="283"/>
        <w:jc w:val="both"/>
        <w:rPr/>
      </w:pPr>
      <w:r>
        <w:rPr>
          <w:b/>
          <w:bCs/>
        </w:rPr>
        <w:t>1.7.1.</w:t>
      </w:r>
      <w:r>
        <w:rPr/>
        <w:t xml:space="preserve">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pPr>
        <w:pStyle w:val="Normal"/>
        <w:shd w:fill="FFFFFF" w:val="clear"/>
        <w:ind w:firstLine="283"/>
        <w:jc w:val="both"/>
        <w:rPr/>
      </w:pPr>
      <w:r>
        <w:rPr/>
        <w:t>Дополнительные требования приведены в соответствующих главах ПУЭ.</w:t>
      </w:r>
    </w:p>
    <w:p>
      <w:pPr>
        <w:pStyle w:val="Normal"/>
        <w:shd w:fill="FFFFFF" w:val="clear"/>
        <w:ind w:firstLine="283"/>
        <w:jc w:val="both"/>
        <w:rPr/>
      </w:pPr>
      <w:r>
        <w:rPr>
          <w:b/>
          <w:bCs/>
        </w:rPr>
        <w:t>1.7.2.</w:t>
      </w:r>
      <w:r>
        <w:rPr/>
        <w:t xml:space="preserve"> Электроустановки в отношении мер электробезопасности разделяются на:</w:t>
      </w:r>
    </w:p>
    <w:p>
      <w:pPr>
        <w:pStyle w:val="Normal"/>
        <w:shd w:fill="FFFFFF" w:val="clear"/>
        <w:ind w:firstLine="283"/>
        <w:jc w:val="both"/>
        <w:rPr/>
      </w:pPr>
      <w:r>
        <w:rPr/>
        <w:t xml:space="preserve">электроустановки напряжением выше 1 кВ в сетях с глухозаземленной или эффективно заземленной нейтралью (см. </w:t>
      </w:r>
      <w:r>
        <w:rPr>
          <w:b/>
          <w:bCs/>
        </w:rPr>
        <w:t>1.2.16);</w:t>
      </w:r>
    </w:p>
    <w:p>
      <w:pPr>
        <w:pStyle w:val="Normal"/>
        <w:shd w:fill="FFFFFF" w:val="clear"/>
        <w:ind w:firstLine="283"/>
        <w:jc w:val="both"/>
        <w:rPr/>
      </w:pPr>
      <w:r>
        <w:rPr/>
        <w:t>электроустановки напряжением выше 1 кВ в сетях с изолированной или заземленной через дугогасящий реактор или резистор нейтралью;</w:t>
      </w:r>
    </w:p>
    <w:p>
      <w:pPr>
        <w:pStyle w:val="Normal"/>
        <w:shd w:fill="FFFFFF" w:val="clear"/>
        <w:ind w:firstLine="283"/>
        <w:jc w:val="both"/>
        <w:rPr/>
      </w:pPr>
      <w:r>
        <w:rPr/>
        <w:t>электроустановки напряжением до 1 кВ в сетях с глухозаземленной нейтралью;</w:t>
      </w:r>
    </w:p>
    <w:p>
      <w:pPr>
        <w:pStyle w:val="Normal"/>
        <w:shd w:fill="FFFFFF" w:val="clear"/>
        <w:ind w:firstLine="283"/>
        <w:jc w:val="both"/>
        <w:rPr/>
      </w:pPr>
      <w:r>
        <w:rPr/>
        <w:t>электроустановки напряжением до 1 кВ в сетях с изолированной нейтралью.</w:t>
      </w:r>
    </w:p>
    <w:p>
      <w:pPr>
        <w:pStyle w:val="Normal"/>
        <w:shd w:fill="FFFFFF" w:val="clear"/>
        <w:ind w:firstLine="283"/>
        <w:jc w:val="both"/>
        <w:rPr/>
      </w:pPr>
      <w:r>
        <w:rPr>
          <w:b/>
          <w:bCs/>
        </w:rPr>
        <w:t>1.7.3.</w:t>
      </w:r>
      <w:r>
        <w:rPr/>
        <w:t xml:space="preserve"> Для электроустановок напряжением до 1 кВ приняты следующие обозначения:</w:t>
      </w:r>
    </w:p>
    <w:p>
      <w:pPr>
        <w:pStyle w:val="Normal"/>
        <w:shd w:fill="FFFFFF" w:val="clear"/>
        <w:ind w:firstLine="283"/>
        <w:jc w:val="both"/>
        <w:rPr/>
      </w:pPr>
      <w:r>
        <w:rPr>
          <w:spacing w:val="50"/>
        </w:rPr>
        <w:t>система</w:t>
      </w:r>
      <w:r>
        <w:rPr/>
        <w:t xml:space="preserve"> </w:t>
      </w:r>
      <w:r>
        <w:rPr>
          <w:i/>
          <w:iCs/>
        </w:rPr>
        <w:t xml:space="preserve">TN - </w:t>
      </w:r>
      <w:r>
        <w:rPr/>
        <w:t>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062220" cy="23622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8"/>
                    <a:srcRect l="-7" t="-15" r="-7" b="-15"/>
                    <a:stretch>
                      <a:fillRect/>
                    </a:stretch>
                  </pic:blipFill>
                  <pic:spPr bwMode="auto">
                    <a:xfrm>
                      <a:off x="0" y="0"/>
                      <a:ext cx="5062220" cy="2362200"/>
                    </a:xfrm>
                    <a:prstGeom prst="rect">
                      <a:avLst/>
                    </a:prstGeom>
                  </pic:spPr>
                </pic:pic>
              </a:graphicData>
            </a:graphic>
          </wp:inline>
        </w:drawing>
      </w:r>
    </w:p>
    <w:p>
      <w:pPr>
        <w:pStyle w:val="Normal"/>
        <w:shd w:fill="FFFFFF" w:val="clear"/>
        <w:jc w:val="center"/>
        <w:rPr/>
      </w:pPr>
      <w:r>
        <w:rPr>
          <w:b/>
          <w:bCs/>
          <w:i/>
          <w:iCs/>
        </w:rPr>
        <w:t>Рис. 1.7.1.</w:t>
      </w:r>
      <w:r>
        <w:rPr>
          <w:i/>
          <w:iCs/>
        </w:rPr>
        <w:t xml:space="preserve"> </w:t>
      </w:r>
      <w:r>
        <w:rPr/>
        <w:t xml:space="preserve">Система </w:t>
      </w:r>
      <w:r>
        <w:rPr>
          <w:i/>
          <w:iCs/>
        </w:rPr>
        <w:t>TN-C</w:t>
      </w:r>
      <w:r>
        <w:rPr/>
        <w:t xml:space="preserve"> переменного </w:t>
      </w:r>
      <w:r>
        <w:rPr>
          <w:i/>
          <w:iCs/>
        </w:rPr>
        <w:t xml:space="preserve">(а) </w:t>
      </w:r>
      <w:r>
        <w:rPr/>
        <w:t xml:space="preserve">и постоянного </w:t>
      </w:r>
      <w:r>
        <w:rPr>
          <w:i/>
          <w:iCs/>
        </w:rPr>
        <w:t xml:space="preserve">(б) </w:t>
      </w:r>
      <w:r>
        <w:rPr/>
        <w:t>тока. Нулевой защитный и нулевой рабочий проводники совмещены в одном проводнике:</w:t>
      </w:r>
    </w:p>
    <w:p>
      <w:pPr>
        <w:pStyle w:val="Normal"/>
        <w:shd w:fill="FFFFFF" w:val="clear"/>
        <w:spacing w:before="120" w:after="120"/>
        <w:jc w:val="center"/>
        <w:rPr/>
      </w:pPr>
      <w:r>
        <w:rPr>
          <w:i/>
          <w:iCs/>
        </w:rPr>
        <w:t>1</w:t>
      </w:r>
      <w:r>
        <w:rPr/>
        <w:t xml:space="preserve"> - заземлитель нейтрали (средней точки) источника питания; </w:t>
      </w:r>
      <w:r>
        <w:rPr>
          <w:i/>
          <w:iCs/>
        </w:rPr>
        <w:t>2</w:t>
      </w:r>
      <w:r>
        <w:rPr/>
        <w:t xml:space="preserve"> - открытые проводящие части; </w:t>
      </w:r>
      <w:r>
        <w:rPr>
          <w:i/>
          <w:iCs/>
        </w:rPr>
        <w:t xml:space="preserve">3 - </w:t>
      </w:r>
      <w:r>
        <w:rPr/>
        <w:t>источник питания постоянного тока</w:t>
      </w:r>
    </w:p>
    <w:p>
      <w:pPr>
        <w:pStyle w:val="Normal"/>
        <w:shd w:fill="FFFFFF" w:val="clear"/>
        <w:ind w:firstLine="283"/>
        <w:jc w:val="both"/>
        <w:rPr/>
      </w:pPr>
      <w:r>
        <w:rPr>
          <w:spacing w:val="50"/>
        </w:rPr>
        <w:t>система</w:t>
      </w:r>
      <w:r>
        <w:rPr/>
        <w:t xml:space="preserve"> </w:t>
      </w:r>
      <w:r>
        <w:rPr>
          <w:i/>
          <w:iCs/>
        </w:rPr>
        <w:t xml:space="preserve">TN-С - </w:t>
      </w:r>
      <w:r>
        <w:rPr/>
        <w:t xml:space="preserve">система </w:t>
      </w:r>
      <w:r>
        <w:rPr>
          <w:i/>
          <w:iCs/>
        </w:rPr>
        <w:t xml:space="preserve">TN, </w:t>
      </w:r>
      <w:r>
        <w:rPr/>
        <w:t>в которой нулевой защитный и нулевой рабочий проводники совмещены в одном проводнике на всем ее протяжении (рис. 1.7.1);</w:t>
      </w:r>
    </w:p>
    <w:p>
      <w:pPr>
        <w:pStyle w:val="Normal"/>
        <w:shd w:fill="FFFFFF" w:val="clear"/>
        <w:ind w:firstLine="283"/>
        <w:jc w:val="both"/>
        <w:rPr/>
      </w:pPr>
      <w:r>
        <w:rPr>
          <w:spacing w:val="50"/>
        </w:rPr>
        <w:t>система</w:t>
      </w:r>
      <w:r>
        <w:rPr/>
        <w:t xml:space="preserve"> </w:t>
      </w:r>
      <w:r>
        <w:rPr>
          <w:i/>
          <w:iCs/>
        </w:rPr>
        <w:t xml:space="preserve">TN-S - </w:t>
      </w:r>
      <w:r>
        <w:rPr/>
        <w:t xml:space="preserve">система </w:t>
      </w:r>
      <w:r>
        <w:rPr>
          <w:i/>
          <w:iCs/>
        </w:rPr>
        <w:t xml:space="preserve">TN, </w:t>
      </w:r>
      <w:r>
        <w:rPr/>
        <w:t>в которой нулевой защитный и нулевой рабочий проводники разделены на всем ее протяжении (рис. 1.7.2);</w:t>
      </w:r>
    </w:p>
    <w:p>
      <w:pPr>
        <w:pStyle w:val="Normal"/>
        <w:shd w:fill="FFFFFF" w:val="clear"/>
        <w:ind w:firstLine="283"/>
        <w:jc w:val="both"/>
        <w:rPr/>
      </w:pPr>
      <w:r>
        <w:rPr>
          <w:spacing w:val="50"/>
        </w:rPr>
        <w:t>система</w:t>
      </w:r>
      <w:r>
        <w:rPr/>
        <w:t xml:space="preserve"> </w:t>
      </w:r>
      <w:r>
        <w:rPr>
          <w:i/>
          <w:iCs/>
        </w:rPr>
        <w:t xml:space="preserve">TN-C-S - </w:t>
      </w:r>
      <w:r>
        <w:rPr/>
        <w:t xml:space="preserve">система </w:t>
      </w:r>
      <w:r>
        <w:rPr>
          <w:i/>
          <w:iCs/>
        </w:rPr>
        <w:t xml:space="preserve">TN, </w:t>
      </w:r>
      <w:r>
        <w:rPr/>
        <w:t>в которой функции нулевого защитного и нулевого рабочего проводников совмещены в одном проводнике в какой-то ее части, начиная от источника питания (рис. 1.7.3);</w:t>
      </w:r>
    </w:p>
    <w:p>
      <w:pPr>
        <w:pStyle w:val="Normal"/>
        <w:shd w:fill="FFFFFF" w:val="clear"/>
        <w:ind w:firstLine="283"/>
        <w:jc w:val="both"/>
        <w:rPr/>
      </w:pPr>
      <w:r>
        <w:rPr>
          <w:spacing w:val="50"/>
        </w:rPr>
        <w:t>система</w:t>
      </w:r>
      <w:r>
        <w:rPr/>
        <w:t xml:space="preserve"> </w:t>
      </w:r>
      <w:r>
        <w:rPr>
          <w:i/>
          <w:iCs/>
        </w:rPr>
        <w:t xml:space="preserve">IT - </w:t>
      </w:r>
      <w:r>
        <w:rPr/>
        <w:t>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1.7.4);</w:t>
      </w:r>
    </w:p>
    <w:p>
      <w:pPr>
        <w:pStyle w:val="Normal"/>
        <w:shd w:fill="FFFFFF" w:val="clear"/>
        <w:ind w:firstLine="283"/>
        <w:jc w:val="both"/>
        <w:rPr/>
      </w:pPr>
      <w:r>
        <w:rPr>
          <w:spacing w:val="50"/>
        </w:rPr>
        <w:t>система</w:t>
      </w:r>
      <w:r>
        <w:rPr/>
        <w:t xml:space="preserve"> </w:t>
      </w:r>
      <w:r>
        <w:rPr>
          <w:i/>
          <w:iCs/>
        </w:rPr>
        <w:t xml:space="preserve">ТТ - </w:t>
      </w:r>
      <w:r>
        <w:rPr/>
        <w:t>система, в которой нейтраль источника питания глухо заземлена, а открытые проводящие части электроустановки заземлены при помощи заземляющего устройства, электрически независимого от глухозаземленной нейтрали источника (рис. 1.7.5).</w:t>
      </w:r>
    </w:p>
    <w:p>
      <w:pPr>
        <w:pStyle w:val="Normal"/>
        <w:shd w:fill="FFFFFF" w:val="clear"/>
        <w:ind w:firstLine="283"/>
        <w:jc w:val="both"/>
        <w:rPr/>
      </w:pPr>
      <w:r>
        <w:rPr/>
        <w:t>Первая буква - состояние нейтрали источника питания относительно земли:</w:t>
      </w:r>
    </w:p>
    <w:p>
      <w:pPr>
        <w:pStyle w:val="Normal"/>
        <w:shd w:fill="FFFFFF" w:val="clear"/>
        <w:ind w:firstLine="283"/>
        <w:jc w:val="both"/>
        <w:rPr/>
      </w:pPr>
      <w:r>
        <w:rPr>
          <w:i/>
          <w:iCs/>
        </w:rPr>
        <w:t xml:space="preserve">Т - </w:t>
      </w:r>
      <w:r>
        <w:rPr/>
        <w:t>заземленная нейтраль;</w:t>
      </w:r>
    </w:p>
    <w:p>
      <w:pPr>
        <w:pStyle w:val="Normal"/>
        <w:shd w:fill="FFFFFF" w:val="clear"/>
        <w:ind w:firstLine="283"/>
        <w:jc w:val="both"/>
        <w:rPr/>
      </w:pPr>
      <w:r>
        <w:rPr/>
        <w:t>I - изолированная нейтраль.</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676775" cy="4181475"/>
            <wp:effectExtent l="0" t="0" r="0" b="0"/>
            <wp:docPr id="2" name="image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2" descr=""/>
                    <pic:cNvPicPr>
                      <a:picLocks noChangeAspect="1" noChangeArrowheads="1"/>
                    </pic:cNvPicPr>
                  </pic:nvPicPr>
                  <pic:blipFill>
                    <a:blip r:embed="rId9"/>
                    <a:srcRect l="-7" t="-8" r="-7" b="-8"/>
                    <a:stretch>
                      <a:fillRect/>
                    </a:stretch>
                  </pic:blipFill>
                  <pic:spPr bwMode="auto">
                    <a:xfrm>
                      <a:off x="0" y="0"/>
                      <a:ext cx="4676775" cy="4181475"/>
                    </a:xfrm>
                    <a:prstGeom prst="rect">
                      <a:avLst/>
                    </a:prstGeom>
                  </pic:spPr>
                </pic:pic>
              </a:graphicData>
            </a:graphic>
          </wp:inline>
        </w:drawing>
      </w:r>
    </w:p>
    <w:p>
      <w:pPr>
        <w:pStyle w:val="Normal"/>
        <w:shd w:fill="FFFFFF" w:val="clear"/>
        <w:jc w:val="center"/>
        <w:rPr/>
      </w:pPr>
      <w:r>
        <w:rPr>
          <w:b/>
          <w:bCs/>
          <w:i/>
          <w:iCs/>
        </w:rPr>
        <w:t>Рис. 1.7.2.</w:t>
      </w:r>
      <w:r>
        <w:rPr>
          <w:i/>
          <w:iCs/>
        </w:rPr>
        <w:t xml:space="preserve"> </w:t>
      </w:r>
      <w:r>
        <w:rPr/>
        <w:t xml:space="preserve">Система </w:t>
      </w:r>
      <w:r>
        <w:rPr>
          <w:i/>
          <w:iCs/>
        </w:rPr>
        <w:t xml:space="preserve">TN-S </w:t>
      </w:r>
      <w:r>
        <w:rPr/>
        <w:t xml:space="preserve">переменного </w:t>
      </w:r>
      <w:r>
        <w:rPr>
          <w:i/>
          <w:iCs/>
        </w:rPr>
        <w:t xml:space="preserve">(а) </w:t>
      </w:r>
      <w:r>
        <w:rPr/>
        <w:t xml:space="preserve">и постоянного </w:t>
      </w:r>
      <w:r>
        <w:rPr>
          <w:i/>
          <w:iCs/>
        </w:rPr>
        <w:t xml:space="preserve">(б) </w:t>
      </w:r>
      <w:r>
        <w:rPr/>
        <w:t>тока.</w:t>
      </w:r>
    </w:p>
    <w:p>
      <w:pPr>
        <w:pStyle w:val="Normal"/>
        <w:shd w:fill="FFFFFF" w:val="clear"/>
        <w:jc w:val="center"/>
        <w:rPr/>
      </w:pPr>
      <w:r>
        <w:rPr/>
        <w:t>Нулевой защитный и нулевой рабочий проводники разделены:</w:t>
      </w:r>
    </w:p>
    <w:p>
      <w:pPr>
        <w:pStyle w:val="Normal"/>
        <w:shd w:fill="FFFFFF" w:val="clear"/>
        <w:spacing w:before="120" w:after="120"/>
        <w:jc w:val="center"/>
        <w:rPr/>
      </w:pPr>
      <w:r>
        <w:rPr>
          <w:i/>
          <w:iCs/>
        </w:rPr>
        <w:t xml:space="preserve">1 - </w:t>
      </w:r>
      <w:r>
        <w:rPr/>
        <w:t xml:space="preserve">заземлитель нейтрали источника переменного тока; </w:t>
      </w:r>
      <w:r>
        <w:rPr>
          <w:i/>
          <w:iCs/>
        </w:rPr>
        <w:t xml:space="preserve">1-1 - </w:t>
      </w:r>
      <w:r>
        <w:rPr/>
        <w:t xml:space="preserve">заземлитель вывода источника постоянного тока; </w:t>
      </w:r>
      <w:r>
        <w:rPr>
          <w:i/>
          <w:iCs/>
        </w:rPr>
        <w:t xml:space="preserve">1-2 - </w:t>
      </w:r>
      <w:r>
        <w:rPr/>
        <w:t xml:space="preserve">заземлитель средней точки источника постоянного тока; </w:t>
      </w:r>
      <w:r>
        <w:rPr>
          <w:i/>
          <w:iCs/>
        </w:rPr>
        <w:t>2</w:t>
      </w:r>
      <w:r>
        <w:rPr/>
        <w:t xml:space="preserve"> - открытые проводящие части; </w:t>
      </w:r>
      <w:r>
        <w:rPr>
          <w:i/>
          <w:iCs/>
        </w:rPr>
        <w:t xml:space="preserve">3 - </w:t>
      </w:r>
      <w:r>
        <w:rPr/>
        <w:t>источник питания</w:t>
      </w:r>
    </w:p>
    <w:p>
      <w:pPr>
        <w:pStyle w:val="Normal"/>
        <w:shd w:fill="FFFFFF" w:val="clear"/>
        <w:ind w:firstLine="283"/>
        <w:jc w:val="both"/>
        <w:rPr/>
      </w:pPr>
      <w:r>
        <w:rPr/>
        <w:t>Вторая буква - состояние открытых проводящих частей относительно земли:</w:t>
      </w:r>
    </w:p>
    <w:p>
      <w:pPr>
        <w:pStyle w:val="Normal"/>
        <w:shd w:fill="FFFFFF" w:val="clear"/>
        <w:ind w:firstLine="283"/>
        <w:jc w:val="both"/>
        <w:rPr/>
      </w:pPr>
      <w:r>
        <w:rPr>
          <w:i/>
          <w:iCs/>
        </w:rPr>
        <w:t xml:space="preserve">Т - </w:t>
      </w:r>
      <w:r>
        <w:rPr/>
        <w:t>открытые проводящие части заземлены, независимо от отношения к земле нейтрали источника питания или какой-либо точки питающей сети;</w:t>
      </w:r>
    </w:p>
    <w:p>
      <w:pPr>
        <w:pStyle w:val="Normal"/>
        <w:shd w:fill="FFFFFF" w:val="clear"/>
        <w:ind w:firstLine="283"/>
        <w:jc w:val="both"/>
        <w:rPr/>
      </w:pPr>
      <w:r>
        <w:rPr>
          <w:i/>
          <w:iCs/>
        </w:rPr>
        <w:t xml:space="preserve">N - </w:t>
      </w:r>
      <w:r>
        <w:rPr/>
        <w:t>открытые проводящие части присоединены к глухозаземленной нейтрали источника питания.</w:t>
      </w:r>
    </w:p>
    <w:p>
      <w:pPr>
        <w:pStyle w:val="Normal"/>
        <w:shd w:fill="FFFFFF" w:val="clear"/>
        <w:ind w:firstLine="283"/>
        <w:jc w:val="both"/>
        <w:rPr/>
      </w:pPr>
      <w:r>
        <w:rPr/>
        <w:t xml:space="preserve">Последующие (после </w:t>
      </w:r>
      <w:r>
        <w:rPr>
          <w:i/>
          <w:iCs/>
        </w:rPr>
        <w:t>N</w:t>
      </w:r>
      <w:r>
        <w:rPr/>
        <w:t>) буквы - совмещение в одном проводнике или разделение функций нулевого рабочего и нулевого защитного проводников:</w:t>
      </w:r>
    </w:p>
    <w:p>
      <w:pPr>
        <w:pStyle w:val="Normal"/>
        <w:shd w:fill="FFFFFF" w:val="clear"/>
        <w:ind w:firstLine="283"/>
        <w:jc w:val="both"/>
        <w:rPr/>
      </w:pPr>
      <w:r>
        <w:rPr>
          <w:i/>
          <w:iCs/>
        </w:rPr>
        <w:t xml:space="preserve">S - </w:t>
      </w:r>
      <w:r>
        <w:rPr/>
        <w:t xml:space="preserve">нулевой рабочий </w:t>
      </w:r>
      <w:r>
        <w:rPr>
          <w:i/>
          <w:iCs/>
        </w:rPr>
        <w:t xml:space="preserve">(N) </w:t>
      </w:r>
      <w:r>
        <w:rPr/>
        <w:t xml:space="preserve">и нулевой защитный </w:t>
      </w:r>
      <w:r>
        <w:rPr>
          <w:i/>
          <w:iCs/>
        </w:rPr>
        <w:t xml:space="preserve">(РЕ) </w:t>
      </w:r>
      <w:r>
        <w:rPr/>
        <w:t>проводники разделены;</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848225" cy="4371975"/>
            <wp:effectExtent l="0" t="0" r="0" b="0"/>
            <wp:docPr id="3" name="image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3" descr=""/>
                    <pic:cNvPicPr>
                      <a:picLocks noChangeAspect="1" noChangeArrowheads="1"/>
                    </pic:cNvPicPr>
                  </pic:nvPicPr>
                  <pic:blipFill>
                    <a:blip r:embed="rId10"/>
                    <a:srcRect l="-7" t="-8" r="-7" b="-8"/>
                    <a:stretch>
                      <a:fillRect/>
                    </a:stretch>
                  </pic:blipFill>
                  <pic:spPr bwMode="auto">
                    <a:xfrm>
                      <a:off x="0" y="0"/>
                      <a:ext cx="4848225" cy="4371975"/>
                    </a:xfrm>
                    <a:prstGeom prst="rect">
                      <a:avLst/>
                    </a:prstGeom>
                  </pic:spPr>
                </pic:pic>
              </a:graphicData>
            </a:graphic>
          </wp:inline>
        </w:drawing>
      </w:r>
    </w:p>
    <w:p>
      <w:pPr>
        <w:pStyle w:val="Normal"/>
        <w:shd w:fill="FFFFFF" w:val="clear"/>
        <w:jc w:val="center"/>
        <w:rPr/>
      </w:pPr>
      <w:r>
        <w:rPr>
          <w:b/>
          <w:bCs/>
          <w:i/>
          <w:iCs/>
        </w:rPr>
        <w:t>Рис. 1.7.3.</w:t>
      </w:r>
      <w:r>
        <w:rPr>
          <w:i/>
          <w:iCs/>
        </w:rPr>
        <w:t xml:space="preserve"> </w:t>
      </w:r>
      <w:r>
        <w:rPr/>
        <w:t xml:space="preserve">Система </w:t>
      </w:r>
      <w:r>
        <w:rPr>
          <w:i/>
          <w:iCs/>
        </w:rPr>
        <w:t xml:space="preserve">TN-C-S </w:t>
      </w:r>
      <w:r>
        <w:rPr/>
        <w:t xml:space="preserve">переменного </w:t>
      </w:r>
      <w:r>
        <w:rPr>
          <w:i/>
          <w:iCs/>
        </w:rPr>
        <w:t xml:space="preserve">(а) </w:t>
      </w:r>
      <w:r>
        <w:rPr/>
        <w:t xml:space="preserve">и постоянного </w:t>
      </w:r>
      <w:r>
        <w:rPr>
          <w:i/>
          <w:iCs/>
        </w:rPr>
        <w:t xml:space="preserve">(б) </w:t>
      </w:r>
      <w:r>
        <w:rPr/>
        <w:t>тока. Нулевой защитный и нулевой рабочий проводники совмещены в одном проводнике в части системы:</w:t>
      </w:r>
    </w:p>
    <w:p>
      <w:pPr>
        <w:pStyle w:val="Normal"/>
        <w:shd w:fill="FFFFFF" w:val="clear"/>
        <w:spacing w:before="120" w:after="120"/>
        <w:jc w:val="center"/>
        <w:rPr/>
      </w:pPr>
      <w:r>
        <w:rPr>
          <w:i/>
          <w:iCs/>
        </w:rPr>
        <w:t>1</w:t>
      </w:r>
      <w:r>
        <w:rPr/>
        <w:t xml:space="preserve"> - заземлитель нейтрали источника переменного тока; </w:t>
      </w:r>
      <w:r>
        <w:rPr>
          <w:i/>
          <w:iCs/>
        </w:rPr>
        <w:t xml:space="preserve">1-1 - </w:t>
      </w:r>
      <w:r>
        <w:rPr/>
        <w:t xml:space="preserve">заземлитель вывода источника постоянного тока; </w:t>
      </w:r>
      <w:r>
        <w:rPr>
          <w:i/>
          <w:iCs/>
        </w:rPr>
        <w:t xml:space="preserve">1-2 - </w:t>
      </w:r>
      <w:r>
        <w:rPr/>
        <w:t xml:space="preserve">заземлитель средней точки источника постоянного тока; </w:t>
      </w:r>
      <w:r>
        <w:rPr>
          <w:i/>
          <w:iCs/>
        </w:rPr>
        <w:t>2</w:t>
      </w:r>
      <w:r>
        <w:rPr/>
        <w:t xml:space="preserve"> - открытые проводящие части, </w:t>
      </w:r>
      <w:r>
        <w:rPr>
          <w:i/>
          <w:iCs/>
        </w:rPr>
        <w:t xml:space="preserve">3 - </w:t>
      </w:r>
      <w:r>
        <w:rPr/>
        <w:t>источник питания</w:t>
      </w:r>
    </w:p>
    <w:p>
      <w:pPr>
        <w:pStyle w:val="Normal"/>
        <w:shd w:fill="FFFFFF" w:val="clear"/>
        <w:ind w:firstLine="283"/>
        <w:jc w:val="both"/>
        <w:rPr/>
      </w:pPr>
      <w:r>
        <w:rPr>
          <w:i/>
          <w:iCs/>
        </w:rPr>
        <w:t xml:space="preserve">С - </w:t>
      </w:r>
      <w:r>
        <w:rPr/>
        <w:t>функции нулевого защитного и нулевого рабочего проводников совмещены в одном проводнике (</w:t>
      </w:r>
      <w:r>
        <w:rPr>
          <w:i/>
          <w:iCs/>
        </w:rPr>
        <w:t>PEN</w:t>
      </w:r>
      <w:r>
        <w:rPr/>
        <w:t>-проводник);</w:t>
      </w:r>
    </w:p>
    <w:p>
      <w:pPr>
        <w:pStyle w:val="Normal"/>
        <w:shd w:fill="FFFFFF" w:val="clear"/>
        <w:ind w:firstLine="283"/>
        <w:jc w:val="both"/>
        <w:rPr/>
      </w:pPr>
      <w:r>
        <w:rPr>
          <w:i/>
          <w:iCs/>
        </w:rPr>
        <w:t xml:space="preserve">N - </w:t>
      </w:r>
      <w:r>
        <w:rPr>
          <w:i/>
          <w:iCs/>
        </w:rPr>
        <w:drawing>
          <wp:inline distT="0" distB="0" distL="0" distR="0">
            <wp:extent cx="95250" cy="22225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1"/>
                    <a:srcRect l="-377" t="-164" r="-377" b="-164"/>
                    <a:stretch>
                      <a:fillRect/>
                    </a:stretch>
                  </pic:blipFill>
                  <pic:spPr bwMode="auto">
                    <a:xfrm>
                      <a:off x="0" y="0"/>
                      <a:ext cx="95250" cy="222250"/>
                    </a:xfrm>
                    <a:prstGeom prst="rect">
                      <a:avLst/>
                    </a:prstGeom>
                  </pic:spPr>
                </pic:pic>
              </a:graphicData>
            </a:graphic>
          </wp:inline>
        </w:drawing>
      </w:r>
      <w:r>
        <w:rPr>
          <w:i/>
          <w:iCs/>
        </w:rPr>
        <w:t> </w:t>
      </w:r>
      <w:r>
        <w:rPr/>
        <w:t>- нулевой рабочий (нейтральный) проводник;</w:t>
      </w:r>
    </w:p>
    <w:p>
      <w:pPr>
        <w:pStyle w:val="Normal"/>
        <w:shd w:fill="FFFFFF" w:val="clear"/>
        <w:ind w:firstLine="283"/>
        <w:jc w:val="both"/>
        <w:rPr/>
      </w:pPr>
      <w:r>
        <w:rPr>
          <w:i/>
          <w:iCs/>
        </w:rPr>
        <w:t xml:space="preserve">РЕ - </w:t>
      </w:r>
      <w:r>
        <w:rPr>
          <w:i/>
          <w:iCs/>
        </w:rPr>
        <w:drawing>
          <wp:inline distT="0" distB="0" distL="0" distR="0">
            <wp:extent cx="134620" cy="24638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12"/>
                    <a:srcRect l="-270" t="-145" r="-270" b="-145"/>
                    <a:stretch>
                      <a:fillRect/>
                    </a:stretch>
                  </pic:blipFill>
                  <pic:spPr bwMode="auto">
                    <a:xfrm>
                      <a:off x="0" y="0"/>
                      <a:ext cx="134620" cy="246380"/>
                    </a:xfrm>
                    <a:prstGeom prst="rect">
                      <a:avLst/>
                    </a:prstGeom>
                  </pic:spPr>
                </pic:pic>
              </a:graphicData>
            </a:graphic>
          </wp:inline>
        </w:drawing>
      </w:r>
      <w:r>
        <w:rPr>
          <w:i/>
          <w:iCs/>
        </w:rPr>
        <w:t xml:space="preserve"> - </w:t>
      </w:r>
      <w:r>
        <w:rPr/>
        <w:t>защитный проводник (заземляющий проводник, нулевой защитный проводник, защитный проводник системы уравнивания потенциалов);</w:t>
      </w:r>
    </w:p>
    <w:p>
      <w:pPr>
        <w:pStyle w:val="Normal"/>
        <w:shd w:fill="FFFFFF" w:val="clear"/>
        <w:ind w:firstLine="283"/>
        <w:jc w:val="both"/>
        <w:rPr/>
      </w:pPr>
      <w:r>
        <w:rPr>
          <w:i/>
          <w:iCs/>
        </w:rPr>
        <w:t xml:space="preserve">PEN - </w:t>
      </w:r>
      <w:r>
        <w:rPr>
          <w:i/>
          <w:iCs/>
        </w:rPr>
        <w:drawing>
          <wp:inline distT="0" distB="0" distL="0" distR="0">
            <wp:extent cx="142875" cy="22225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13"/>
                    <a:srcRect l="-251" t="-164" r="-251" b="-164"/>
                    <a:stretch>
                      <a:fillRect/>
                    </a:stretch>
                  </pic:blipFill>
                  <pic:spPr bwMode="auto">
                    <a:xfrm>
                      <a:off x="0" y="0"/>
                      <a:ext cx="142875" cy="222250"/>
                    </a:xfrm>
                    <a:prstGeom prst="rect">
                      <a:avLst/>
                    </a:prstGeom>
                  </pic:spPr>
                </pic:pic>
              </a:graphicData>
            </a:graphic>
          </wp:inline>
        </w:drawing>
      </w:r>
      <w:r>
        <w:rPr>
          <w:i/>
          <w:iCs/>
        </w:rPr>
        <w:t xml:space="preserve"> - </w:t>
      </w:r>
      <w:r>
        <w:rPr/>
        <w:t>совмещенный нулевой защитный и нулевой рабочий проводники.</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933950" cy="4276725"/>
            <wp:effectExtent l="0" t="0" r="0" b="0"/>
            <wp:docPr id="7" name="image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7" descr=""/>
                    <pic:cNvPicPr>
                      <a:picLocks noChangeAspect="1" noChangeArrowheads="1"/>
                    </pic:cNvPicPr>
                  </pic:nvPicPr>
                  <pic:blipFill>
                    <a:blip r:embed="rId14"/>
                    <a:srcRect l="-7" t="-8" r="-7" b="-8"/>
                    <a:stretch>
                      <a:fillRect/>
                    </a:stretch>
                  </pic:blipFill>
                  <pic:spPr bwMode="auto">
                    <a:xfrm>
                      <a:off x="0" y="0"/>
                      <a:ext cx="4933950" cy="4276725"/>
                    </a:xfrm>
                    <a:prstGeom prst="rect">
                      <a:avLst/>
                    </a:prstGeom>
                  </pic:spPr>
                </pic:pic>
              </a:graphicData>
            </a:graphic>
          </wp:inline>
        </w:drawing>
      </w:r>
    </w:p>
    <w:p>
      <w:pPr>
        <w:pStyle w:val="Normal"/>
        <w:shd w:fill="FFFFFF" w:val="clear"/>
        <w:jc w:val="center"/>
        <w:rPr/>
      </w:pPr>
      <w:r>
        <w:rPr>
          <w:b/>
          <w:bCs/>
          <w:i/>
          <w:iCs/>
        </w:rPr>
        <w:t>Рис. 1.7.4.</w:t>
      </w:r>
      <w:r>
        <w:rPr>
          <w:i/>
          <w:iCs/>
        </w:rPr>
        <w:t xml:space="preserve"> </w:t>
      </w:r>
      <w:r>
        <w:rPr/>
        <w:t xml:space="preserve">Система </w:t>
      </w:r>
      <w:r>
        <w:rPr>
          <w:i/>
          <w:iCs/>
        </w:rPr>
        <w:t xml:space="preserve">IT </w:t>
      </w:r>
      <w:r>
        <w:rPr/>
        <w:t xml:space="preserve">переменного </w:t>
      </w:r>
      <w:r>
        <w:rPr>
          <w:i/>
          <w:iCs/>
        </w:rPr>
        <w:t xml:space="preserve">(а) </w:t>
      </w:r>
      <w:r>
        <w:rPr/>
        <w:t xml:space="preserve">и постоянного </w:t>
      </w:r>
      <w:r>
        <w:rPr>
          <w:i/>
          <w:iCs/>
        </w:rPr>
        <w:t xml:space="preserve">(б) </w:t>
      </w:r>
      <w:r>
        <w:rPr/>
        <w:t>тока. Открытые проводящие части электроустановки заземлены. Нейтраль источника питания изолирована от земли или заземлена через большое сопротивление:</w:t>
      </w:r>
    </w:p>
    <w:p>
      <w:pPr>
        <w:pStyle w:val="Normal"/>
        <w:shd w:fill="FFFFFF" w:val="clear"/>
        <w:spacing w:before="120" w:after="120"/>
        <w:jc w:val="center"/>
        <w:rPr/>
      </w:pPr>
      <w:r>
        <w:rPr>
          <w:i/>
          <w:iCs/>
        </w:rPr>
        <w:t>1</w:t>
      </w:r>
      <w:r>
        <w:rPr/>
        <w:t xml:space="preserve"> - сопротивление заземления нейтрали источника питания (если имеется); </w:t>
      </w:r>
      <w:r>
        <w:rPr>
          <w:i/>
          <w:iCs/>
        </w:rPr>
        <w:t xml:space="preserve">2 - </w:t>
      </w:r>
      <w:r>
        <w:rPr/>
        <w:t xml:space="preserve">заземлитель; </w:t>
      </w:r>
      <w:r>
        <w:rPr>
          <w:i/>
          <w:iCs/>
        </w:rPr>
        <w:t xml:space="preserve">3 - </w:t>
      </w:r>
      <w:r>
        <w:rPr/>
        <w:t xml:space="preserve">открытые проводящие части; </w:t>
      </w:r>
      <w:r>
        <w:rPr>
          <w:i/>
          <w:iCs/>
        </w:rPr>
        <w:t>4</w:t>
      </w:r>
      <w:r>
        <w:rPr/>
        <w:t xml:space="preserve"> - заземляющее устройство электроустановки; </w:t>
      </w:r>
      <w:r>
        <w:rPr>
          <w:i/>
          <w:iCs/>
        </w:rPr>
        <w:t>5</w:t>
      </w:r>
      <w:r>
        <w:rPr/>
        <w:t xml:space="preserve"> - источник питания</w:t>
      </w:r>
    </w:p>
    <w:p>
      <w:pPr>
        <w:pStyle w:val="Normal"/>
        <w:shd w:fill="FFFFFF" w:val="clear"/>
        <w:ind w:firstLine="283"/>
        <w:jc w:val="both"/>
        <w:rPr/>
      </w:pPr>
      <w:r>
        <w:rPr>
          <w:b/>
          <w:bCs/>
        </w:rPr>
        <w:t>1.7.4.</w:t>
      </w:r>
      <w:r>
        <w:rPr/>
        <w:t xml:space="preserve"> </w:t>
      </w:r>
      <w:r>
        <w:rPr>
          <w:spacing w:val="50"/>
        </w:rPr>
        <w:t>Электрическая сеть с эффективно заземленной нейтралью</w:t>
      </w:r>
      <w:r>
        <w:rPr/>
        <w:t xml:space="preserve"> - трехфазная электрическая сеть напряжением выше 1 кВ, в которой коэффициент замыкания на землю не превышает 1,4.</w:t>
      </w:r>
    </w:p>
    <w:p>
      <w:pPr>
        <w:pStyle w:val="Normal"/>
        <w:shd w:fill="FFFFFF" w:val="clear"/>
        <w:ind w:firstLine="283"/>
        <w:jc w:val="both"/>
        <w:rPr/>
      </w:pPr>
      <w:r>
        <w:rPr>
          <w:spacing w:val="50"/>
        </w:rPr>
        <w:t>Коэффициент замыкания на землю</w:t>
      </w:r>
      <w:r>
        <w:rPr/>
        <w:t xml:space="preserve">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190490" cy="3742690"/>
            <wp:effectExtent l="0" t="0" r="0" b="0"/>
            <wp:docPr id="8" name="image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8" descr=""/>
                    <pic:cNvPicPr>
                      <a:picLocks noChangeAspect="1" noChangeArrowheads="1"/>
                    </pic:cNvPicPr>
                  </pic:nvPicPr>
                  <pic:blipFill>
                    <a:blip r:embed="rId15"/>
                    <a:srcRect l="-6" t="-9" r="-6" b="-9"/>
                    <a:stretch>
                      <a:fillRect/>
                    </a:stretch>
                  </pic:blipFill>
                  <pic:spPr bwMode="auto">
                    <a:xfrm>
                      <a:off x="0" y="0"/>
                      <a:ext cx="5190490" cy="3742690"/>
                    </a:xfrm>
                    <a:prstGeom prst="rect">
                      <a:avLst/>
                    </a:prstGeom>
                  </pic:spPr>
                </pic:pic>
              </a:graphicData>
            </a:graphic>
          </wp:inline>
        </w:drawing>
      </w:r>
    </w:p>
    <w:p>
      <w:pPr>
        <w:pStyle w:val="Normal"/>
        <w:shd w:fill="FFFFFF" w:val="clear"/>
        <w:jc w:val="center"/>
        <w:rPr/>
      </w:pPr>
      <w:r>
        <w:rPr>
          <w:b/>
          <w:bCs/>
          <w:i/>
          <w:iCs/>
        </w:rPr>
        <w:t>Рис. 1.7.5.</w:t>
      </w:r>
      <w:r>
        <w:rPr>
          <w:i/>
          <w:iCs/>
        </w:rPr>
        <w:t xml:space="preserve"> </w:t>
      </w:r>
      <w:r>
        <w:rPr/>
        <w:t xml:space="preserve">Система </w:t>
      </w:r>
      <w:r>
        <w:rPr>
          <w:i/>
          <w:iCs/>
        </w:rPr>
        <w:t xml:space="preserve">ТТ </w:t>
      </w:r>
      <w:r>
        <w:rPr/>
        <w:t xml:space="preserve">переменного </w:t>
      </w:r>
      <w:r>
        <w:rPr>
          <w:i/>
          <w:iCs/>
        </w:rPr>
        <w:t xml:space="preserve">(а) </w:t>
      </w:r>
      <w:r>
        <w:rPr/>
        <w:t xml:space="preserve">и постоянного </w:t>
      </w:r>
      <w:r>
        <w:rPr>
          <w:i/>
          <w:iCs/>
        </w:rPr>
        <w:t xml:space="preserve">(б) </w:t>
      </w:r>
      <w:r>
        <w:rPr/>
        <w:t>тока. Открытые проводящие части электроустановки заземлены при помощи заземления, электрически независимого от заземлителя нейтрали:</w:t>
      </w:r>
    </w:p>
    <w:p>
      <w:pPr>
        <w:pStyle w:val="Normal"/>
        <w:shd w:fill="FFFFFF" w:val="clear"/>
        <w:spacing w:before="120" w:after="120"/>
        <w:jc w:val="center"/>
        <w:rPr/>
      </w:pPr>
      <w:r>
        <w:rPr>
          <w:i/>
          <w:iCs/>
        </w:rPr>
        <w:t xml:space="preserve">1 - </w:t>
      </w:r>
      <w:r>
        <w:rPr/>
        <w:t xml:space="preserve">заземлитель нейтрали источника переменного тока; </w:t>
      </w:r>
      <w:r>
        <w:rPr>
          <w:i/>
          <w:iCs/>
        </w:rPr>
        <w:t>1-1</w:t>
      </w:r>
      <w:r>
        <w:rPr/>
        <w:t xml:space="preserve"> - заземлитель вывода источника постоянного тока; </w:t>
      </w:r>
      <w:r>
        <w:rPr>
          <w:i/>
          <w:iCs/>
        </w:rPr>
        <w:t xml:space="preserve">1-2 - </w:t>
      </w:r>
      <w:r>
        <w:rPr/>
        <w:t xml:space="preserve">заземлитель средней точки источника постоянного тока; </w:t>
      </w:r>
      <w:r>
        <w:rPr>
          <w:i/>
          <w:iCs/>
        </w:rPr>
        <w:t xml:space="preserve">2 - </w:t>
      </w:r>
      <w:r>
        <w:rPr/>
        <w:t xml:space="preserve">открытые проводящие части; </w:t>
      </w:r>
      <w:r>
        <w:rPr>
          <w:i/>
          <w:iCs/>
        </w:rPr>
        <w:t xml:space="preserve">3 - </w:t>
      </w:r>
      <w:r>
        <w:rPr/>
        <w:t xml:space="preserve">заземлитель открытых проводящих частей электроустановки; </w:t>
      </w:r>
      <w:r>
        <w:rPr>
          <w:i/>
          <w:iCs/>
        </w:rPr>
        <w:t xml:space="preserve">4 - </w:t>
      </w:r>
      <w:r>
        <w:rPr/>
        <w:t>источник питания</w:t>
      </w:r>
    </w:p>
    <w:p>
      <w:pPr>
        <w:pStyle w:val="Normal"/>
        <w:shd w:fill="FFFFFF" w:val="clear"/>
        <w:ind w:firstLine="283"/>
        <w:jc w:val="both"/>
        <w:rPr/>
      </w:pPr>
      <w:r>
        <w:rPr>
          <w:b/>
          <w:bCs/>
        </w:rPr>
        <w:t>1.7.5.</w:t>
      </w:r>
      <w:r>
        <w:rPr/>
        <w:t xml:space="preserve"> </w:t>
      </w:r>
      <w:r>
        <w:rPr>
          <w:spacing w:val="50"/>
        </w:rPr>
        <w:t>Глухозаземленная нейтраль</w:t>
      </w:r>
      <w:r>
        <w:rPr/>
        <w:t xml:space="preserve">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pPr>
        <w:pStyle w:val="Normal"/>
        <w:shd w:fill="FFFFFF" w:val="clear"/>
        <w:ind w:firstLine="283"/>
        <w:jc w:val="both"/>
        <w:rPr/>
      </w:pPr>
      <w:r>
        <w:rPr>
          <w:b/>
          <w:bCs/>
        </w:rPr>
        <w:t>1.7.6.</w:t>
      </w:r>
      <w:r>
        <w:rPr/>
        <w:t xml:space="preserve"> </w:t>
      </w:r>
      <w:r>
        <w:rPr>
          <w:spacing w:val="50"/>
        </w:rPr>
        <w:t>Изолированная нейтраль</w:t>
      </w:r>
      <w:r>
        <w:rPr/>
        <w:t xml:space="preserve">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pPr>
        <w:pStyle w:val="Normal"/>
        <w:shd w:fill="FFFFFF" w:val="clear"/>
        <w:ind w:firstLine="283"/>
        <w:jc w:val="both"/>
        <w:rPr/>
      </w:pPr>
      <w:r>
        <w:rPr>
          <w:b/>
          <w:bCs/>
        </w:rPr>
        <w:t>1.7.7.</w:t>
      </w:r>
      <w:r>
        <w:rPr/>
        <w:t xml:space="preserve"> </w:t>
      </w:r>
      <w:r>
        <w:rPr>
          <w:spacing w:val="50"/>
        </w:rPr>
        <w:t>Проводящая часть</w:t>
      </w:r>
      <w:r>
        <w:rPr/>
        <w:t xml:space="preserve"> - часть, которая может проводить электрический ток.</w:t>
      </w:r>
    </w:p>
    <w:p>
      <w:pPr>
        <w:pStyle w:val="Normal"/>
        <w:shd w:fill="FFFFFF" w:val="clear"/>
        <w:ind w:firstLine="283"/>
        <w:jc w:val="both"/>
        <w:rPr/>
      </w:pPr>
      <w:r>
        <w:rPr>
          <w:b/>
          <w:bCs/>
        </w:rPr>
        <w:t>1.7.8.</w:t>
      </w:r>
      <w:r>
        <w:rPr/>
        <w:t xml:space="preserve"> </w:t>
      </w:r>
      <w:r>
        <w:rPr>
          <w:spacing w:val="50"/>
        </w:rPr>
        <w:t>Токоведущая часть</w:t>
      </w:r>
      <w:r>
        <w:rPr/>
        <w:t xml:space="preserve"> - проводящая часть электроустановки, находящаяся в процессе ее работы под рабочим напряжением, в том числе нулевой рабочий проводник (но не </w:t>
      </w:r>
      <w:r>
        <w:rPr>
          <w:i/>
          <w:iCs/>
        </w:rPr>
        <w:t>PEN-</w:t>
      </w:r>
      <w:r>
        <w:rPr/>
        <w:t>проводник).</w:t>
      </w:r>
    </w:p>
    <w:p>
      <w:pPr>
        <w:pStyle w:val="Normal"/>
        <w:shd w:fill="FFFFFF" w:val="clear"/>
        <w:ind w:firstLine="283"/>
        <w:jc w:val="both"/>
        <w:rPr/>
      </w:pPr>
      <w:r>
        <w:rPr>
          <w:b/>
          <w:bCs/>
        </w:rPr>
        <w:t>1.7.9.</w:t>
      </w:r>
      <w:r>
        <w:rPr/>
        <w:t xml:space="preserve"> </w:t>
      </w:r>
      <w:r>
        <w:rPr>
          <w:spacing w:val="50"/>
        </w:rPr>
        <w:t>Открытая проводящая часть</w:t>
      </w:r>
      <w:r>
        <w:rPr/>
        <w:t xml:space="preserve">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pPr>
        <w:pStyle w:val="Normal"/>
        <w:shd w:fill="FFFFFF" w:val="clear"/>
        <w:ind w:firstLine="283"/>
        <w:jc w:val="both"/>
        <w:rPr/>
      </w:pPr>
      <w:r>
        <w:rPr>
          <w:b/>
          <w:bCs/>
        </w:rPr>
        <w:t>1.7.10.</w:t>
      </w:r>
      <w:r>
        <w:rPr/>
        <w:t xml:space="preserve"> </w:t>
      </w:r>
      <w:r>
        <w:rPr>
          <w:spacing w:val="50"/>
        </w:rPr>
        <w:t>Сторонняя проводящая часть</w:t>
      </w:r>
      <w:r>
        <w:rPr/>
        <w:t xml:space="preserve"> - проводящая часть, не являющаяся частью электроустановки.</w:t>
      </w:r>
    </w:p>
    <w:p>
      <w:pPr>
        <w:pStyle w:val="Normal"/>
        <w:shd w:fill="FFFFFF" w:val="clear"/>
        <w:ind w:firstLine="283"/>
        <w:jc w:val="both"/>
        <w:rPr/>
      </w:pPr>
      <w:r>
        <w:rPr>
          <w:b/>
          <w:bCs/>
        </w:rPr>
        <w:t xml:space="preserve">1.7.11. </w:t>
      </w:r>
      <w:r>
        <w:rPr>
          <w:spacing w:val="50"/>
        </w:rPr>
        <w:t>Прямое прикосновение</w:t>
      </w:r>
      <w:r>
        <w:rPr/>
        <w:t xml:space="preserve"> - электрический контакт людей или животных с токоведущими частями, находящимися под напряжением.</w:t>
      </w:r>
    </w:p>
    <w:p>
      <w:pPr>
        <w:pStyle w:val="Normal"/>
        <w:shd w:fill="FFFFFF" w:val="clear"/>
        <w:ind w:firstLine="283"/>
        <w:jc w:val="both"/>
        <w:rPr/>
      </w:pPr>
      <w:r>
        <w:rPr>
          <w:b/>
          <w:bCs/>
        </w:rPr>
        <w:t>1.7.12.</w:t>
      </w:r>
      <w:r>
        <w:rPr/>
        <w:t xml:space="preserve"> </w:t>
      </w:r>
      <w:r>
        <w:rPr>
          <w:spacing w:val="50"/>
        </w:rPr>
        <w:t>Косвенное прикосновение</w:t>
      </w:r>
      <w:r>
        <w:rPr/>
        <w:t xml:space="preserve"> - электрический контакт людей или животных с открытыми проводящими частями, оказавшимися под напряжением при повреждении изоляции.</w:t>
      </w:r>
    </w:p>
    <w:p>
      <w:pPr>
        <w:pStyle w:val="Normal"/>
        <w:shd w:fill="FFFFFF" w:val="clear"/>
        <w:ind w:firstLine="283"/>
        <w:jc w:val="both"/>
        <w:rPr/>
      </w:pPr>
      <w:r>
        <w:rPr>
          <w:b/>
          <w:bCs/>
        </w:rPr>
        <w:t>1.7.13.</w:t>
      </w:r>
      <w:r>
        <w:rPr/>
        <w:t xml:space="preserve"> </w:t>
      </w:r>
      <w:r>
        <w:rPr>
          <w:spacing w:val="50"/>
        </w:rPr>
        <w:t>Защита от прямого прикосновения</w:t>
      </w:r>
      <w:r>
        <w:rPr/>
        <w:t xml:space="preserve"> - защита для предотвращения прикосновения к токоведущим частям, находящимся под напряжением.</w:t>
      </w:r>
    </w:p>
    <w:p>
      <w:pPr>
        <w:pStyle w:val="Normal"/>
        <w:shd w:fill="FFFFFF" w:val="clear"/>
        <w:ind w:firstLine="283"/>
        <w:jc w:val="both"/>
        <w:rPr/>
      </w:pPr>
      <w:r>
        <w:rPr>
          <w:b/>
          <w:bCs/>
        </w:rPr>
        <w:t>1.7.14.</w:t>
      </w:r>
      <w:r>
        <w:rPr/>
        <w:t xml:space="preserve"> </w:t>
      </w:r>
      <w:r>
        <w:rPr>
          <w:spacing w:val="50"/>
        </w:rPr>
        <w:t>Защита при косвенном прикосновении</w:t>
      </w:r>
      <w:r>
        <w:rPr/>
        <w:t xml:space="preserve"> - защита от поражения электрическим током при прикосновении к открытым проводящим частям, оказавшимся под напряжением при повреждении изоляции.</w:t>
      </w:r>
    </w:p>
    <w:p>
      <w:pPr>
        <w:pStyle w:val="Normal"/>
        <w:shd w:fill="FFFFFF" w:val="clear"/>
        <w:ind w:firstLine="283"/>
        <w:jc w:val="both"/>
        <w:rPr/>
      </w:pPr>
      <w:r>
        <w:rPr/>
        <w:t xml:space="preserve">Термин </w:t>
      </w:r>
      <w:r>
        <w:rPr>
          <w:spacing w:val="50"/>
        </w:rPr>
        <w:t>повреждение изоляции</w:t>
      </w:r>
      <w:r>
        <w:rPr/>
        <w:t xml:space="preserve"> следует понимать как единственное повреждение изоляции.</w:t>
      </w:r>
    </w:p>
    <w:p>
      <w:pPr>
        <w:pStyle w:val="Normal"/>
        <w:shd w:fill="FFFFFF" w:val="clear"/>
        <w:ind w:firstLine="283"/>
        <w:jc w:val="both"/>
        <w:rPr/>
      </w:pPr>
      <w:r>
        <w:rPr>
          <w:b/>
          <w:bCs/>
        </w:rPr>
        <w:t>1.7.15.</w:t>
      </w:r>
      <w:r>
        <w:rPr/>
        <w:t xml:space="preserve"> </w:t>
      </w:r>
      <w:r>
        <w:rPr>
          <w:spacing w:val="50"/>
        </w:rPr>
        <w:t>Заземлитель</w:t>
      </w:r>
      <w:r>
        <w:rPr/>
        <w:t xml:space="preserve">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pPr>
        <w:pStyle w:val="Normal"/>
        <w:shd w:fill="FFFFFF" w:val="clear"/>
        <w:ind w:firstLine="283"/>
        <w:jc w:val="both"/>
        <w:rPr/>
      </w:pPr>
      <w:r>
        <w:rPr>
          <w:b/>
          <w:bCs/>
        </w:rPr>
        <w:t>1.7.16.</w:t>
      </w:r>
      <w:r>
        <w:rPr/>
        <w:t xml:space="preserve"> </w:t>
      </w:r>
      <w:r>
        <w:rPr>
          <w:spacing w:val="50"/>
        </w:rPr>
        <w:t>Искусственный заземлитель</w:t>
      </w:r>
      <w:r>
        <w:rPr/>
        <w:t xml:space="preserve"> - заземлитель, специально выполняемый для целей заземления.</w:t>
      </w:r>
    </w:p>
    <w:p>
      <w:pPr>
        <w:pStyle w:val="Normal"/>
        <w:shd w:fill="FFFFFF" w:val="clear"/>
        <w:ind w:firstLine="283"/>
        <w:jc w:val="both"/>
        <w:rPr/>
      </w:pPr>
      <w:r>
        <w:rPr>
          <w:b/>
          <w:bCs/>
        </w:rPr>
        <w:t>1.7.17.</w:t>
      </w:r>
      <w:r>
        <w:rPr/>
        <w:t xml:space="preserve"> </w:t>
      </w:r>
      <w:r>
        <w:rPr>
          <w:spacing w:val="50"/>
        </w:rPr>
        <w:t>Естественный заземлитель</w:t>
      </w:r>
      <w:r>
        <w:rPr/>
        <w:t xml:space="preserve">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pPr>
        <w:pStyle w:val="Normal"/>
        <w:shd w:fill="FFFFFF" w:val="clear"/>
        <w:ind w:firstLine="283"/>
        <w:jc w:val="both"/>
        <w:rPr/>
      </w:pPr>
      <w:r>
        <w:rPr>
          <w:b/>
          <w:bCs/>
        </w:rPr>
        <w:t>1.7.18.</w:t>
      </w:r>
      <w:r>
        <w:rPr/>
        <w:t xml:space="preserve"> </w:t>
      </w:r>
      <w:r>
        <w:rPr>
          <w:spacing w:val="50"/>
        </w:rPr>
        <w:t>Заземляющий проводник</w:t>
      </w:r>
      <w:r>
        <w:rPr/>
        <w:t xml:space="preserve"> - проводник, соединяющий заземляемую часть (точку) с заземлителем.</w:t>
      </w:r>
    </w:p>
    <w:p>
      <w:pPr>
        <w:pStyle w:val="Normal"/>
        <w:shd w:fill="FFFFFF" w:val="clear"/>
        <w:ind w:firstLine="283"/>
        <w:jc w:val="both"/>
        <w:rPr/>
      </w:pPr>
      <w:r>
        <w:rPr>
          <w:b/>
          <w:bCs/>
        </w:rPr>
        <w:t xml:space="preserve">1.7.19. </w:t>
      </w:r>
      <w:r>
        <w:rPr>
          <w:spacing w:val="50"/>
        </w:rPr>
        <w:t>Заземляющее устройство</w:t>
      </w:r>
      <w:r>
        <w:rPr/>
        <w:t xml:space="preserve"> - совокупность заземлителя и заземляющих проводников.</w:t>
      </w:r>
    </w:p>
    <w:p>
      <w:pPr>
        <w:pStyle w:val="Normal"/>
        <w:shd w:fill="FFFFFF" w:val="clear"/>
        <w:ind w:firstLine="283"/>
        <w:jc w:val="both"/>
        <w:rPr/>
      </w:pPr>
      <w:r>
        <w:rPr>
          <w:b/>
          <w:bCs/>
        </w:rPr>
        <w:t>1.7.20.</w:t>
      </w:r>
      <w:r>
        <w:rPr/>
        <w:t xml:space="preserve"> </w:t>
      </w:r>
      <w:r>
        <w:rPr>
          <w:spacing w:val="50"/>
        </w:rPr>
        <w:t>Зона нулевого потенциала (относительная земля)</w:t>
      </w:r>
      <w:r>
        <w:rPr/>
        <w:t xml:space="preserve"> - часть земли, находящаяся вне зоны влияния какого-либо заземлителя, электрический потенциал которой принимается равным нулю.</w:t>
      </w:r>
    </w:p>
    <w:p>
      <w:pPr>
        <w:pStyle w:val="Normal"/>
        <w:shd w:fill="FFFFFF" w:val="clear"/>
        <w:ind w:firstLine="283"/>
        <w:jc w:val="both"/>
        <w:rPr/>
      </w:pPr>
      <w:r>
        <w:rPr>
          <w:b/>
          <w:bCs/>
        </w:rPr>
        <w:t>1.7.21.</w:t>
      </w:r>
      <w:r>
        <w:rPr/>
        <w:t xml:space="preserve"> </w:t>
      </w:r>
      <w:r>
        <w:rPr>
          <w:spacing w:val="50"/>
        </w:rPr>
        <w:t>Зона растекания (локальная земля)</w:t>
      </w:r>
      <w:r>
        <w:rPr/>
        <w:t xml:space="preserve"> - зона земли между заземлителем и зоной нулевого потенциала.</w:t>
      </w:r>
    </w:p>
    <w:p>
      <w:pPr>
        <w:pStyle w:val="Normal"/>
        <w:shd w:fill="FFFFFF" w:val="clear"/>
        <w:ind w:firstLine="283"/>
        <w:jc w:val="both"/>
        <w:rPr/>
      </w:pPr>
      <w:r>
        <w:rPr/>
        <w:t xml:space="preserve">Термин </w:t>
      </w:r>
      <w:r>
        <w:rPr>
          <w:spacing w:val="50"/>
        </w:rPr>
        <w:t>земля</w:t>
      </w:r>
      <w:r>
        <w:rPr/>
        <w:t xml:space="preserve">, используемый в главе, следует понимать как </w:t>
      </w:r>
      <w:r>
        <w:rPr>
          <w:spacing w:val="50"/>
        </w:rPr>
        <w:t>земля в зоне растекания.</w:t>
      </w:r>
    </w:p>
    <w:p>
      <w:pPr>
        <w:pStyle w:val="Normal"/>
        <w:shd w:fill="FFFFFF" w:val="clear"/>
        <w:ind w:firstLine="283"/>
        <w:jc w:val="both"/>
        <w:rPr/>
      </w:pPr>
      <w:r>
        <w:rPr>
          <w:b/>
          <w:bCs/>
        </w:rPr>
        <w:t>1.7.22.</w:t>
      </w:r>
      <w:r>
        <w:rPr/>
        <w:t xml:space="preserve"> </w:t>
      </w:r>
      <w:r>
        <w:rPr>
          <w:spacing w:val="50"/>
        </w:rPr>
        <w:t>Замыкание на землю</w:t>
      </w:r>
      <w:r>
        <w:rPr/>
        <w:t xml:space="preserve"> - случайный электрический контакт между токоведущими частями, находящимися под напряжением, и землей.</w:t>
      </w:r>
    </w:p>
    <w:p>
      <w:pPr>
        <w:pStyle w:val="Normal"/>
        <w:shd w:fill="FFFFFF" w:val="clear"/>
        <w:ind w:firstLine="283"/>
        <w:jc w:val="both"/>
        <w:rPr/>
      </w:pPr>
      <w:r>
        <w:rPr>
          <w:b/>
          <w:bCs/>
        </w:rPr>
        <w:t>1.7.23.</w:t>
      </w:r>
      <w:r>
        <w:rPr/>
        <w:t xml:space="preserve"> </w:t>
      </w:r>
      <w:r>
        <w:rPr>
          <w:spacing w:val="50"/>
        </w:rPr>
        <w:t>Напряжение на заземляющем устройстве</w:t>
      </w:r>
      <w:r>
        <w:rPr/>
        <w:t xml:space="preserve"> - напряжение, возникающее при стекании тока с заземлителя в землю между точкой ввода тока в заземлитель и зоной нулевого потенциала.</w:t>
      </w:r>
    </w:p>
    <w:p>
      <w:pPr>
        <w:pStyle w:val="Normal"/>
        <w:shd w:fill="FFFFFF" w:val="clear"/>
        <w:ind w:firstLine="283"/>
        <w:jc w:val="both"/>
        <w:rPr/>
      </w:pPr>
      <w:r>
        <w:rPr>
          <w:b/>
          <w:bCs/>
        </w:rPr>
        <w:t>1.7.24.</w:t>
      </w:r>
      <w:r>
        <w:rPr/>
        <w:t xml:space="preserve"> </w:t>
      </w:r>
      <w:r>
        <w:rPr>
          <w:spacing w:val="50"/>
        </w:rPr>
        <w:t>Напряжение прикосновения</w:t>
      </w:r>
      <w:r>
        <w:rPr/>
        <w:t xml:space="preserve"> - напряжение между двумя проводящими частями или между проводящей частью и землей при одновременном прикосновении к ним человека или животного.</w:t>
      </w:r>
    </w:p>
    <w:p>
      <w:pPr>
        <w:pStyle w:val="Normal"/>
        <w:shd w:fill="FFFFFF" w:val="clear"/>
        <w:ind w:firstLine="283"/>
        <w:jc w:val="both"/>
        <w:rPr/>
      </w:pPr>
      <w:r>
        <w:rPr>
          <w:spacing w:val="50"/>
        </w:rPr>
        <w:t>Ожидаемое напряжение прикосновения</w:t>
      </w:r>
      <w:r>
        <w:rPr/>
        <w:t xml:space="preserve"> - напряжение между одновременно доступными прикосновению проводящими частями, когда человек или животное их не касается.</w:t>
      </w:r>
    </w:p>
    <w:p>
      <w:pPr>
        <w:pStyle w:val="Normal"/>
        <w:shd w:fill="FFFFFF" w:val="clear"/>
        <w:ind w:firstLine="283"/>
        <w:jc w:val="both"/>
        <w:rPr/>
      </w:pPr>
      <w:r>
        <w:rPr>
          <w:b/>
          <w:bCs/>
        </w:rPr>
        <w:t>1.7.25.</w:t>
      </w:r>
      <w:r>
        <w:rPr/>
        <w:t xml:space="preserve"> </w:t>
      </w:r>
      <w:r>
        <w:rPr>
          <w:spacing w:val="50"/>
        </w:rPr>
        <w:t>Напряжение шага</w:t>
      </w:r>
      <w:r>
        <w:rPr/>
        <w:t xml:space="preserve"> - напряжение между двумя точками на поверхности земли, на расстоянии 1 м одна от другой, которое принимается равным длине шага человека.</w:t>
      </w:r>
    </w:p>
    <w:p>
      <w:pPr>
        <w:pStyle w:val="Normal"/>
        <w:shd w:fill="FFFFFF" w:val="clear"/>
        <w:ind w:firstLine="283"/>
        <w:jc w:val="both"/>
        <w:rPr/>
      </w:pPr>
      <w:r>
        <w:rPr>
          <w:b/>
          <w:bCs/>
        </w:rPr>
        <w:t>1.7.26.</w:t>
      </w:r>
      <w:r>
        <w:rPr/>
        <w:t xml:space="preserve"> </w:t>
      </w:r>
      <w:r>
        <w:rPr>
          <w:spacing w:val="50"/>
        </w:rPr>
        <w:t>Сопротивление заземляющего устройства</w:t>
      </w:r>
      <w:r>
        <w:rPr/>
        <w:t xml:space="preserve"> - отношение напряжения на заземляющем устройстве к току, стекающему с заземлителя в землю.</w:t>
      </w:r>
    </w:p>
    <w:p>
      <w:pPr>
        <w:pStyle w:val="Normal"/>
        <w:shd w:fill="FFFFFF" w:val="clear"/>
        <w:ind w:firstLine="283"/>
        <w:jc w:val="both"/>
        <w:rPr/>
      </w:pPr>
      <w:r>
        <w:rPr>
          <w:b/>
          <w:bCs/>
        </w:rPr>
        <w:t>1.7.27.</w:t>
      </w:r>
      <w:r>
        <w:rPr/>
        <w:t xml:space="preserve"> </w:t>
      </w:r>
      <w:r>
        <w:rPr>
          <w:spacing w:val="50"/>
        </w:rPr>
        <w:t>Эквивалентное удельное сопротивление земли</w:t>
      </w:r>
      <w:r>
        <w:rPr/>
        <w:t xml:space="preserve">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pPr>
        <w:pStyle w:val="Normal"/>
        <w:shd w:fill="FFFFFF" w:val="clear"/>
        <w:ind w:firstLine="283"/>
        <w:jc w:val="both"/>
        <w:rPr/>
      </w:pPr>
      <w:r>
        <w:rPr/>
        <w:t xml:space="preserve">Термин </w:t>
      </w:r>
      <w:r>
        <w:rPr>
          <w:spacing w:val="50"/>
        </w:rPr>
        <w:t>удельное сопротивление</w:t>
      </w:r>
      <w:r>
        <w:rPr/>
        <w:t xml:space="preserve">, используемый в главе для земли с неоднородной структурой, следует понимать как </w:t>
      </w:r>
      <w:r>
        <w:rPr>
          <w:spacing w:val="50"/>
        </w:rPr>
        <w:t>эквивалентное удельное сопротивление.</w:t>
      </w:r>
    </w:p>
    <w:p>
      <w:pPr>
        <w:pStyle w:val="Normal"/>
        <w:shd w:fill="FFFFFF" w:val="clear"/>
        <w:ind w:firstLine="283"/>
        <w:jc w:val="both"/>
        <w:rPr/>
      </w:pPr>
      <w:r>
        <w:rPr>
          <w:b/>
          <w:bCs/>
        </w:rPr>
        <w:t>1.7.28.</w:t>
      </w:r>
      <w:r>
        <w:rPr/>
        <w:t xml:space="preserve"> </w:t>
      </w:r>
      <w:r>
        <w:rPr>
          <w:spacing w:val="50"/>
        </w:rPr>
        <w:t>Заземление</w:t>
      </w:r>
      <w:r>
        <w:rPr/>
        <w:t xml:space="preserve"> - преднамеренное электрическое соединение какой-либо точки сети, электроустановки или оборудования с заземляющим устройством.</w:t>
      </w:r>
    </w:p>
    <w:p>
      <w:pPr>
        <w:pStyle w:val="Normal"/>
        <w:shd w:fill="FFFFFF" w:val="clear"/>
        <w:ind w:firstLine="283"/>
        <w:jc w:val="both"/>
        <w:rPr/>
      </w:pPr>
      <w:r>
        <w:rPr>
          <w:b/>
          <w:bCs/>
        </w:rPr>
        <w:t>1.7.29.</w:t>
      </w:r>
      <w:r>
        <w:rPr/>
        <w:t xml:space="preserve"> </w:t>
      </w:r>
      <w:r>
        <w:rPr>
          <w:spacing w:val="50"/>
        </w:rPr>
        <w:t>Защитное заземление</w:t>
      </w:r>
      <w:r>
        <w:rPr/>
        <w:t xml:space="preserve"> - заземление, выполняемое в целях электробезопасности.</w:t>
      </w:r>
    </w:p>
    <w:p>
      <w:pPr>
        <w:pStyle w:val="Normal"/>
        <w:shd w:fill="FFFFFF" w:val="clear"/>
        <w:ind w:firstLine="283"/>
        <w:jc w:val="both"/>
        <w:rPr/>
      </w:pPr>
      <w:r>
        <w:rPr>
          <w:b/>
          <w:bCs/>
        </w:rPr>
        <w:t>1.7.30.</w:t>
      </w:r>
      <w:r>
        <w:rPr/>
        <w:t xml:space="preserve"> </w:t>
      </w:r>
      <w:r>
        <w:rPr>
          <w:spacing w:val="50"/>
        </w:rPr>
        <w:t>Рабочее (функциональное) заземление</w:t>
      </w:r>
      <w:r>
        <w:rPr/>
        <w:t xml:space="preserve">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pPr>
        <w:pStyle w:val="Normal"/>
        <w:shd w:fill="FFFFFF" w:val="clear"/>
        <w:ind w:firstLine="283"/>
        <w:jc w:val="both"/>
        <w:rPr/>
      </w:pPr>
      <w:r>
        <w:rPr>
          <w:b/>
          <w:bCs/>
        </w:rPr>
        <w:t>1.7.31.</w:t>
      </w:r>
      <w:r>
        <w:rPr/>
        <w:t xml:space="preserve"> </w:t>
      </w:r>
      <w:r>
        <w:rPr>
          <w:spacing w:val="50"/>
        </w:rPr>
        <w:t>Защитное зануление</w:t>
      </w:r>
      <w:r>
        <w:rPr/>
        <w:t xml:space="preserve">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pPr>
        <w:pStyle w:val="Normal"/>
        <w:shd w:fill="FFFFFF" w:val="clear"/>
        <w:ind w:firstLine="283"/>
        <w:jc w:val="both"/>
        <w:rPr/>
      </w:pPr>
      <w:r>
        <w:rPr>
          <w:b/>
          <w:bCs/>
        </w:rPr>
        <w:t>1.7.32.</w:t>
      </w:r>
      <w:r>
        <w:rPr/>
        <w:t xml:space="preserve"> </w:t>
      </w:r>
      <w:r>
        <w:rPr>
          <w:spacing w:val="50"/>
        </w:rPr>
        <w:t>Уравнивание потенциалов</w:t>
      </w:r>
      <w:r>
        <w:rPr/>
        <w:t xml:space="preserve"> - электрическое соединение проводящих частей для достижения равенства их потенциалов.</w:t>
      </w:r>
    </w:p>
    <w:p>
      <w:pPr>
        <w:pStyle w:val="Normal"/>
        <w:shd w:fill="FFFFFF" w:val="clear"/>
        <w:ind w:firstLine="283"/>
        <w:jc w:val="both"/>
        <w:rPr/>
      </w:pPr>
      <w:r>
        <w:rPr>
          <w:spacing w:val="50"/>
        </w:rPr>
        <w:t>Защитное уравнивание потенциалов</w:t>
      </w:r>
      <w:r>
        <w:rPr/>
        <w:t xml:space="preserve"> - уравнивание потенциалов, выполняемое в целях электробезопасности.</w:t>
      </w:r>
    </w:p>
    <w:p>
      <w:pPr>
        <w:pStyle w:val="Normal"/>
        <w:shd w:fill="FFFFFF" w:val="clear"/>
        <w:ind w:firstLine="283"/>
        <w:jc w:val="both"/>
        <w:rPr/>
      </w:pPr>
      <w:r>
        <w:rPr/>
        <w:t xml:space="preserve">Термин </w:t>
      </w:r>
      <w:r>
        <w:rPr>
          <w:spacing w:val="50"/>
        </w:rPr>
        <w:t>уравнивание потенциалов</w:t>
      </w:r>
      <w:r>
        <w:rPr/>
        <w:t xml:space="preserve">, используемый в главе, следует понимать как </w:t>
      </w:r>
      <w:r>
        <w:rPr>
          <w:spacing w:val="50"/>
        </w:rPr>
        <w:t>защитное уравнивание потенциалов</w:t>
      </w:r>
      <w:r>
        <w:rPr/>
        <w:t>.</w:t>
      </w:r>
    </w:p>
    <w:p>
      <w:pPr>
        <w:pStyle w:val="Normal"/>
        <w:shd w:fill="FFFFFF" w:val="clear"/>
        <w:ind w:firstLine="283"/>
        <w:jc w:val="both"/>
        <w:rPr/>
      </w:pPr>
      <w:r>
        <w:rPr>
          <w:b/>
          <w:bCs/>
        </w:rPr>
        <w:t>1.7.33.</w:t>
      </w:r>
      <w:r>
        <w:rPr/>
        <w:t xml:space="preserve"> </w:t>
      </w:r>
      <w:r>
        <w:rPr>
          <w:spacing w:val="50"/>
        </w:rPr>
        <w:t>Выравнивание потенциалов</w:t>
      </w:r>
      <w:r>
        <w:rPr/>
        <w:t xml:space="preserve"> - снижение разности потенциалов (шагового напряжения)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pPr>
        <w:pStyle w:val="Normal"/>
        <w:shd w:fill="FFFFFF" w:val="clear"/>
        <w:ind w:firstLine="283"/>
        <w:jc w:val="both"/>
        <w:rPr/>
      </w:pPr>
      <w:r>
        <w:rPr>
          <w:b/>
          <w:bCs/>
        </w:rPr>
        <w:t>1.7.34.</w:t>
      </w:r>
      <w:r>
        <w:rPr/>
        <w:t xml:space="preserve"> </w:t>
      </w:r>
      <w:r>
        <w:rPr>
          <w:spacing w:val="50"/>
        </w:rPr>
        <w:t>Защитный</w:t>
      </w:r>
      <w:r>
        <w:rPr/>
        <w:t xml:space="preserve"> </w:t>
      </w:r>
      <w:r>
        <w:rPr>
          <w:i/>
          <w:iCs/>
        </w:rPr>
        <w:t xml:space="preserve">(РЕ) </w:t>
      </w:r>
      <w:r>
        <w:rPr>
          <w:spacing w:val="50"/>
        </w:rPr>
        <w:t>проводник</w:t>
      </w:r>
      <w:r>
        <w:rPr/>
        <w:t xml:space="preserve"> - проводник, предназначенный для целей электробезопасности.</w:t>
      </w:r>
    </w:p>
    <w:p>
      <w:pPr>
        <w:pStyle w:val="Normal"/>
        <w:shd w:fill="FFFFFF" w:val="clear"/>
        <w:ind w:firstLine="283"/>
        <w:jc w:val="both"/>
        <w:rPr/>
      </w:pPr>
      <w:r>
        <w:rPr>
          <w:spacing w:val="50"/>
        </w:rPr>
        <w:t>Защитный заземляющий проводник</w:t>
      </w:r>
      <w:r>
        <w:rPr/>
        <w:t xml:space="preserve"> - защитный проводник, предназначенный для защитного заземления.</w:t>
      </w:r>
    </w:p>
    <w:p>
      <w:pPr>
        <w:pStyle w:val="Normal"/>
        <w:shd w:fill="FFFFFF" w:val="clear"/>
        <w:ind w:firstLine="283"/>
        <w:jc w:val="both"/>
        <w:rPr/>
      </w:pPr>
      <w:r>
        <w:rPr>
          <w:spacing w:val="50"/>
        </w:rPr>
        <w:t>Защитный проводник уравнивания потенциалов</w:t>
      </w:r>
      <w:r>
        <w:rPr/>
        <w:t xml:space="preserve"> - защитный проводник, предназначенный для защитного уравнивания потенциалов.</w:t>
      </w:r>
    </w:p>
    <w:p>
      <w:pPr>
        <w:pStyle w:val="Normal"/>
        <w:shd w:fill="FFFFFF" w:val="clear"/>
        <w:ind w:firstLine="283"/>
        <w:jc w:val="both"/>
        <w:rPr/>
      </w:pPr>
      <w:r>
        <w:rPr>
          <w:spacing w:val="50"/>
        </w:rPr>
        <w:t>Нулевой защитный проводник</w:t>
      </w:r>
      <w:r>
        <w:rPr/>
        <w:t xml:space="preserve">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pPr>
        <w:pStyle w:val="Normal"/>
        <w:shd w:fill="FFFFFF" w:val="clear"/>
        <w:ind w:firstLine="283"/>
        <w:jc w:val="both"/>
        <w:rPr/>
      </w:pPr>
      <w:r>
        <w:rPr>
          <w:b/>
          <w:bCs/>
        </w:rPr>
        <w:t>1.7.35.</w:t>
      </w:r>
      <w:r>
        <w:rPr/>
        <w:t xml:space="preserve"> </w:t>
      </w:r>
      <w:r>
        <w:rPr>
          <w:spacing w:val="50"/>
        </w:rPr>
        <w:t>Нулевой рабочий (нейтральный) проводник</w:t>
      </w:r>
      <w:r>
        <w:rPr/>
        <w:t xml:space="preserve"> </w:t>
      </w:r>
      <w:r>
        <w:rPr>
          <w:i/>
          <w:iCs/>
        </w:rPr>
        <w:t xml:space="preserve">(N) - </w:t>
      </w:r>
      <w:r>
        <w:rPr/>
        <w:t>проводник в электроустановках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pPr>
        <w:pStyle w:val="Normal"/>
        <w:shd w:fill="FFFFFF" w:val="clear"/>
        <w:ind w:firstLine="283"/>
        <w:jc w:val="both"/>
        <w:rPr/>
      </w:pPr>
      <w:r>
        <w:rPr>
          <w:b/>
          <w:bCs/>
        </w:rPr>
        <w:t>1.7.36.</w:t>
      </w:r>
      <w:r>
        <w:rPr/>
        <w:t xml:space="preserve"> </w:t>
      </w:r>
      <w:r>
        <w:rPr>
          <w:spacing w:val="50"/>
        </w:rPr>
        <w:t>Совмещенные нулевой защитный и нулевой рабочий</w:t>
      </w:r>
      <w:r>
        <w:rPr/>
        <w:t xml:space="preserve"> </w:t>
      </w:r>
      <w:r>
        <w:rPr>
          <w:i/>
          <w:iCs/>
        </w:rPr>
        <w:t xml:space="preserve">(PEN) </w:t>
      </w:r>
      <w:r>
        <w:rPr>
          <w:spacing w:val="50"/>
        </w:rPr>
        <w:t>проводники</w:t>
      </w:r>
      <w:r>
        <w:rPr/>
        <w:t xml:space="preserve"> - проводники в электроустановках напряжением до 1 кВ, совмещающие функции нулевого защитного и нулевого рабочего проводников.</w:t>
      </w:r>
    </w:p>
    <w:p>
      <w:pPr>
        <w:pStyle w:val="Normal"/>
        <w:shd w:fill="FFFFFF" w:val="clear"/>
        <w:ind w:firstLine="283"/>
        <w:jc w:val="both"/>
        <w:rPr/>
      </w:pPr>
      <w:r>
        <w:rPr>
          <w:b/>
          <w:bCs/>
        </w:rPr>
        <w:t>1.7.37.</w:t>
      </w:r>
      <w:r>
        <w:rPr/>
        <w:t xml:space="preserve"> </w:t>
      </w:r>
      <w:r>
        <w:rPr>
          <w:spacing w:val="50"/>
        </w:rPr>
        <w:t>Главная заземляющая шина</w:t>
      </w:r>
      <w:r>
        <w:rPr/>
        <w:t xml:space="preserve"> - шина, являющаяся частью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pPr>
        <w:pStyle w:val="Normal"/>
        <w:shd w:fill="FFFFFF" w:val="clear"/>
        <w:ind w:firstLine="283"/>
        <w:jc w:val="both"/>
        <w:rPr/>
      </w:pPr>
      <w:r>
        <w:rPr>
          <w:b/>
          <w:bCs/>
        </w:rPr>
        <w:t>1.7.38.</w:t>
      </w:r>
      <w:r>
        <w:rPr/>
        <w:t xml:space="preserve"> </w:t>
      </w:r>
      <w:r>
        <w:rPr>
          <w:spacing w:val="50"/>
        </w:rPr>
        <w:t>Защитное автоматическое отключение питания</w:t>
      </w:r>
      <w:r>
        <w:rPr/>
        <w:t xml:space="preserve">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pPr>
        <w:pStyle w:val="Normal"/>
        <w:shd w:fill="FFFFFF" w:val="clear"/>
        <w:ind w:firstLine="283"/>
        <w:jc w:val="both"/>
        <w:rPr/>
      </w:pPr>
      <w:r>
        <w:rPr/>
        <w:t xml:space="preserve">Термин </w:t>
      </w:r>
      <w:r>
        <w:rPr>
          <w:spacing w:val="50"/>
        </w:rPr>
        <w:t>автоматическое отключение питания</w:t>
      </w:r>
      <w:r>
        <w:rPr/>
        <w:t xml:space="preserve">, используемый в главе, следует понимать как </w:t>
      </w:r>
      <w:r>
        <w:rPr>
          <w:spacing w:val="50"/>
        </w:rPr>
        <w:t>защитное автоматическое отключение питания</w:t>
      </w:r>
      <w:r>
        <w:rPr/>
        <w:t>.</w:t>
      </w:r>
    </w:p>
    <w:p>
      <w:pPr>
        <w:pStyle w:val="Normal"/>
        <w:shd w:fill="FFFFFF" w:val="clear"/>
        <w:ind w:firstLine="283"/>
        <w:jc w:val="both"/>
        <w:rPr/>
      </w:pPr>
      <w:r>
        <w:rPr>
          <w:b/>
          <w:bCs/>
        </w:rPr>
        <w:t>1.7.39.</w:t>
      </w:r>
      <w:r>
        <w:rPr/>
        <w:t xml:space="preserve"> </w:t>
      </w:r>
      <w:r>
        <w:rPr>
          <w:spacing w:val="50"/>
        </w:rPr>
        <w:t>Основная изоляция</w:t>
      </w:r>
      <w:r>
        <w:rPr/>
        <w:t xml:space="preserve"> - изоляция токоведущих частей, обеспечивающая в том числе защиту от прямого прикосновения.</w:t>
      </w:r>
    </w:p>
    <w:p>
      <w:pPr>
        <w:pStyle w:val="Normal"/>
        <w:shd w:fill="FFFFFF" w:val="clear"/>
        <w:ind w:firstLine="283"/>
        <w:jc w:val="both"/>
        <w:rPr/>
      </w:pPr>
      <w:r>
        <w:rPr>
          <w:b/>
          <w:bCs/>
        </w:rPr>
        <w:t>1.7.40.</w:t>
      </w:r>
      <w:r>
        <w:rPr/>
        <w:t xml:space="preserve"> </w:t>
      </w:r>
      <w:r>
        <w:rPr>
          <w:spacing w:val="50"/>
        </w:rPr>
        <w:t>Дополнительная изоляция</w:t>
      </w:r>
      <w:r>
        <w:rPr/>
        <w:t xml:space="preserve">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pPr>
        <w:pStyle w:val="Normal"/>
        <w:shd w:fill="FFFFFF" w:val="clear"/>
        <w:ind w:firstLine="283"/>
        <w:jc w:val="both"/>
        <w:rPr/>
      </w:pPr>
      <w:r>
        <w:rPr>
          <w:b/>
          <w:bCs/>
        </w:rPr>
        <w:t>1.7.41.</w:t>
      </w:r>
      <w:r>
        <w:rPr/>
        <w:t xml:space="preserve"> </w:t>
      </w:r>
      <w:r>
        <w:rPr>
          <w:spacing w:val="50"/>
        </w:rPr>
        <w:t>Двойная изоляция</w:t>
      </w:r>
      <w:r>
        <w:rPr/>
        <w:t xml:space="preserve"> - изоляция в электроустановках напряжением до 1 кВ, состоящая из основной и дополнительной изоляций.</w:t>
      </w:r>
    </w:p>
    <w:p>
      <w:pPr>
        <w:pStyle w:val="Normal"/>
        <w:shd w:fill="FFFFFF" w:val="clear"/>
        <w:ind w:firstLine="283"/>
        <w:jc w:val="both"/>
        <w:rPr/>
      </w:pPr>
      <w:r>
        <w:rPr>
          <w:b/>
          <w:bCs/>
        </w:rPr>
        <w:t>1.7.42.</w:t>
      </w:r>
      <w:r>
        <w:rPr/>
        <w:t xml:space="preserve"> </w:t>
      </w:r>
      <w:r>
        <w:rPr>
          <w:spacing w:val="50"/>
        </w:rPr>
        <w:t>Усиленная изоляция</w:t>
      </w:r>
      <w:r>
        <w:rPr/>
        <w:t xml:space="preserve"> - изоляция в электроустановках напряжением до 1 кВ, обеспечивающая степень защиты от поражения электрическим током, равноценную двойной изоляции.</w:t>
      </w:r>
    </w:p>
    <w:p>
      <w:pPr>
        <w:pStyle w:val="Normal"/>
        <w:shd w:fill="FFFFFF" w:val="clear"/>
        <w:ind w:firstLine="283"/>
        <w:jc w:val="both"/>
        <w:rPr/>
      </w:pPr>
      <w:r>
        <w:rPr>
          <w:b/>
          <w:bCs/>
        </w:rPr>
        <w:t>1.7.43.</w:t>
      </w:r>
      <w:r>
        <w:rPr/>
        <w:t xml:space="preserve"> </w:t>
      </w:r>
      <w:r>
        <w:rPr>
          <w:spacing w:val="50"/>
        </w:rPr>
        <w:t>Сверхнизкое (малое) напряжение (СНН)</w:t>
      </w:r>
      <w:r>
        <w:rPr/>
        <w:t xml:space="preserve"> - напряжение, не превышающее 50 В переменного и 120 В постоянного тока.</w:t>
      </w:r>
    </w:p>
    <w:p>
      <w:pPr>
        <w:pStyle w:val="Normal"/>
        <w:shd w:fill="FFFFFF" w:val="clear"/>
        <w:ind w:firstLine="283"/>
        <w:jc w:val="both"/>
        <w:rPr/>
      </w:pPr>
      <w:r>
        <w:rPr>
          <w:b/>
          <w:bCs/>
        </w:rPr>
        <w:t>1.7.44.</w:t>
      </w:r>
      <w:r>
        <w:rPr/>
        <w:t xml:space="preserve"> </w:t>
      </w:r>
      <w:r>
        <w:rPr>
          <w:spacing w:val="50"/>
        </w:rPr>
        <w:t>Разделительный трансформатор</w:t>
      </w:r>
      <w:r>
        <w:rPr/>
        <w:t xml:space="preserve"> - трансформатор, первичная обмотка которого отделена от вторичных обмоток при помощи защитного электрического разделения цепей.</w:t>
      </w:r>
    </w:p>
    <w:p>
      <w:pPr>
        <w:pStyle w:val="Normal"/>
        <w:shd w:fill="FFFFFF" w:val="clear"/>
        <w:ind w:firstLine="283"/>
        <w:jc w:val="both"/>
        <w:rPr/>
      </w:pPr>
      <w:r>
        <w:rPr>
          <w:b/>
          <w:bCs/>
        </w:rPr>
        <w:t>1.7.45.</w:t>
      </w:r>
      <w:r>
        <w:rPr/>
        <w:t xml:space="preserve"> </w:t>
      </w:r>
      <w:r>
        <w:rPr>
          <w:spacing w:val="50"/>
        </w:rPr>
        <w:t>Безопасный разделительный трансформатор</w:t>
      </w:r>
      <w:r>
        <w:rPr/>
        <w:t xml:space="preserve"> - разделительный трансформатор, предназначенный для питания цепей сверхнизким напряжением.</w:t>
      </w:r>
    </w:p>
    <w:p>
      <w:pPr>
        <w:pStyle w:val="Normal"/>
        <w:shd w:fill="FFFFFF" w:val="clear"/>
        <w:ind w:firstLine="283"/>
        <w:jc w:val="both"/>
        <w:rPr/>
      </w:pPr>
      <w:r>
        <w:rPr>
          <w:b/>
          <w:bCs/>
        </w:rPr>
        <w:t>1.7.46.</w:t>
      </w:r>
      <w:r>
        <w:rPr/>
        <w:t xml:space="preserve"> </w:t>
      </w:r>
      <w:r>
        <w:rPr>
          <w:spacing w:val="50"/>
        </w:rPr>
        <w:t>Защитный экран</w:t>
      </w:r>
      <w:r>
        <w:rPr/>
        <w:t xml:space="preserve"> - проводящий экран, предназначенный для отделения электрической цепи и/или проводников от токоведущих частей других цепей.</w:t>
      </w:r>
    </w:p>
    <w:p>
      <w:pPr>
        <w:pStyle w:val="Normal"/>
        <w:shd w:fill="FFFFFF" w:val="clear"/>
        <w:ind w:firstLine="283"/>
        <w:jc w:val="both"/>
        <w:rPr/>
      </w:pPr>
      <w:r>
        <w:rPr>
          <w:b/>
          <w:bCs/>
        </w:rPr>
        <w:t>1.7.47.</w:t>
      </w:r>
      <w:r>
        <w:rPr/>
        <w:t xml:space="preserve"> </w:t>
      </w:r>
      <w:r>
        <w:rPr>
          <w:spacing w:val="50"/>
        </w:rPr>
        <w:t>Защитное электрическое разделение цепей</w:t>
      </w:r>
      <w:r>
        <w:rPr/>
        <w:t xml:space="preserve"> - отделение одной электрической цепи от других цепей в электроустановках напряжением до 1 кВ с помощью:</w:t>
      </w:r>
    </w:p>
    <w:p>
      <w:pPr>
        <w:pStyle w:val="Normal"/>
        <w:shd w:fill="FFFFFF" w:val="clear"/>
        <w:ind w:firstLine="283"/>
        <w:jc w:val="both"/>
        <w:rPr/>
      </w:pPr>
      <w:r>
        <w:rPr/>
        <w:t>двойной изоляции;</w:t>
      </w:r>
    </w:p>
    <w:p>
      <w:pPr>
        <w:pStyle w:val="Normal"/>
        <w:shd w:fill="FFFFFF" w:val="clear"/>
        <w:ind w:firstLine="283"/>
        <w:jc w:val="both"/>
        <w:rPr/>
      </w:pPr>
      <w:r>
        <w:rPr/>
        <w:t>основной изоляции и защитного экрана;</w:t>
      </w:r>
    </w:p>
    <w:p>
      <w:pPr>
        <w:pStyle w:val="Normal"/>
        <w:shd w:fill="FFFFFF" w:val="clear"/>
        <w:ind w:firstLine="283"/>
        <w:jc w:val="both"/>
        <w:rPr/>
      </w:pPr>
      <w:r>
        <w:rPr/>
        <w:t>усиленной изоляции.</w:t>
      </w:r>
    </w:p>
    <w:p>
      <w:pPr>
        <w:pStyle w:val="Normal"/>
        <w:shd w:fill="FFFFFF" w:val="clear"/>
        <w:ind w:firstLine="283"/>
        <w:jc w:val="both"/>
        <w:rPr/>
      </w:pPr>
      <w:r>
        <w:rPr>
          <w:b/>
          <w:bCs/>
        </w:rPr>
        <w:t>1.7.48.</w:t>
      </w:r>
      <w:r>
        <w:rPr/>
        <w:t xml:space="preserve"> </w:t>
      </w:r>
      <w:r>
        <w:rPr>
          <w:spacing w:val="50"/>
        </w:rPr>
        <w:t>Непроводящие (изолирующие) помещения, зоны, площадки</w:t>
      </w:r>
      <w:r>
        <w:rPr/>
        <w:t xml:space="preserve">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pPr>
        <w:pStyle w:val="Heading3"/>
        <w:rPr/>
      </w:pPr>
      <w:r>
        <w:rPr/>
        <w:t>Общие требования</w:t>
      </w:r>
    </w:p>
    <w:p>
      <w:pPr>
        <w:pStyle w:val="Normal"/>
        <w:shd w:fill="FFFFFF" w:val="clear"/>
        <w:ind w:firstLine="283"/>
        <w:jc w:val="both"/>
        <w:rPr/>
      </w:pPr>
      <w:r>
        <w:rPr>
          <w:b/>
          <w:bCs/>
        </w:rPr>
        <w:t>1.7.49.</w:t>
      </w:r>
      <w:r>
        <w:rPr/>
        <w:t xml:space="preserve">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pPr>
        <w:pStyle w:val="Normal"/>
        <w:shd w:fill="FFFFFF" w:val="clear"/>
        <w:ind w:firstLine="283"/>
        <w:jc w:val="both"/>
        <w:rPr/>
      </w:pPr>
      <w:r>
        <w:rPr>
          <w:b/>
          <w:bCs/>
        </w:rPr>
        <w:t>1.7.50.</w:t>
      </w:r>
      <w:r>
        <w:rPr/>
        <w:t xml:space="preserve">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pPr>
        <w:pStyle w:val="Normal"/>
        <w:shd w:fill="FFFFFF" w:val="clear"/>
        <w:ind w:firstLine="283"/>
        <w:jc w:val="both"/>
        <w:rPr/>
      </w:pPr>
      <w:r>
        <w:rPr/>
        <w:t>основная изоляция токоведущих частей;</w:t>
      </w:r>
    </w:p>
    <w:p>
      <w:pPr>
        <w:pStyle w:val="Normal"/>
        <w:shd w:fill="FFFFFF" w:val="clear"/>
        <w:ind w:firstLine="283"/>
        <w:jc w:val="both"/>
        <w:rPr/>
      </w:pPr>
      <w:r>
        <w:rPr/>
        <w:t>ограждения и оболочки;</w:t>
      </w:r>
    </w:p>
    <w:p>
      <w:pPr>
        <w:pStyle w:val="Normal"/>
        <w:shd w:fill="FFFFFF" w:val="clear"/>
        <w:ind w:firstLine="283"/>
        <w:jc w:val="both"/>
        <w:rPr/>
      </w:pPr>
      <w:r>
        <w:rPr/>
        <w:t>установка барьеров;</w:t>
      </w:r>
    </w:p>
    <w:p>
      <w:pPr>
        <w:pStyle w:val="Normal"/>
        <w:shd w:fill="FFFFFF" w:val="clear"/>
        <w:ind w:firstLine="283"/>
        <w:jc w:val="both"/>
        <w:rPr/>
      </w:pPr>
      <w:r>
        <w:rPr/>
        <w:t>размещение вне зоны досягаемости;</w:t>
      </w:r>
    </w:p>
    <w:p>
      <w:pPr>
        <w:pStyle w:val="Normal"/>
        <w:shd w:fill="FFFFFF" w:val="clear"/>
        <w:ind w:firstLine="283"/>
        <w:jc w:val="both"/>
        <w:rPr/>
      </w:pPr>
      <w:r>
        <w:rPr/>
        <w:t>применение сверхнизкого (малого) напряжения.</w:t>
      </w:r>
    </w:p>
    <w:p>
      <w:pPr>
        <w:pStyle w:val="Normal"/>
        <w:shd w:fill="FFFFFF" w:val="clear"/>
        <w:ind w:firstLine="283"/>
        <w:jc w:val="both"/>
        <w:rPr/>
      </w:pPr>
      <w:r>
        <w:rP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pPr>
        <w:pStyle w:val="Normal"/>
        <w:shd w:fill="FFFFFF" w:val="clear"/>
        <w:ind w:firstLine="283"/>
        <w:jc w:val="both"/>
        <w:rPr/>
      </w:pPr>
      <w:r>
        <w:rPr>
          <w:b/>
          <w:bCs/>
        </w:rPr>
        <w:t>1.7.51.</w:t>
      </w:r>
      <w:r>
        <w:rPr/>
        <w:t xml:space="preserve">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pPr>
        <w:pStyle w:val="Normal"/>
        <w:shd w:fill="FFFFFF" w:val="clear"/>
        <w:ind w:firstLine="283"/>
        <w:jc w:val="both"/>
        <w:rPr/>
      </w:pPr>
      <w:r>
        <w:rPr/>
        <w:t>защитное заземление;</w:t>
      </w:r>
    </w:p>
    <w:p>
      <w:pPr>
        <w:pStyle w:val="Normal"/>
        <w:shd w:fill="FFFFFF" w:val="clear"/>
        <w:ind w:firstLine="283"/>
        <w:jc w:val="both"/>
        <w:rPr/>
      </w:pPr>
      <w:r>
        <w:rPr/>
        <w:t>автоматическое отключение питания;</w:t>
      </w:r>
    </w:p>
    <w:p>
      <w:pPr>
        <w:pStyle w:val="Normal"/>
        <w:shd w:fill="FFFFFF" w:val="clear"/>
        <w:ind w:firstLine="283"/>
        <w:jc w:val="both"/>
        <w:rPr/>
      </w:pPr>
      <w:r>
        <w:rPr/>
        <w:t>уравнивание потенциалов;</w:t>
      </w:r>
    </w:p>
    <w:p>
      <w:pPr>
        <w:pStyle w:val="Normal"/>
        <w:shd w:fill="FFFFFF" w:val="clear"/>
        <w:ind w:firstLine="283"/>
        <w:jc w:val="both"/>
        <w:rPr/>
      </w:pPr>
      <w:r>
        <w:rPr/>
        <w:t>выравнивание потенциалов;</w:t>
      </w:r>
    </w:p>
    <w:p>
      <w:pPr>
        <w:pStyle w:val="Normal"/>
        <w:shd w:fill="FFFFFF" w:val="clear"/>
        <w:ind w:firstLine="283"/>
        <w:jc w:val="both"/>
        <w:rPr/>
      </w:pPr>
      <w:r>
        <w:rPr/>
        <w:t>двойная или усиленная изоляция;</w:t>
      </w:r>
    </w:p>
    <w:p>
      <w:pPr>
        <w:pStyle w:val="Normal"/>
        <w:shd w:fill="FFFFFF" w:val="clear"/>
        <w:ind w:firstLine="283"/>
        <w:jc w:val="both"/>
        <w:rPr/>
      </w:pPr>
      <w:r>
        <w:rPr/>
        <w:t>сверхнизкое (малое) напряжение;</w:t>
      </w:r>
    </w:p>
    <w:p>
      <w:pPr>
        <w:pStyle w:val="Normal"/>
        <w:shd w:fill="FFFFFF" w:val="clear"/>
        <w:ind w:firstLine="283"/>
        <w:jc w:val="both"/>
        <w:rPr/>
      </w:pPr>
      <w:r>
        <w:rPr/>
        <w:t>защитное электрическое разделение цепей;</w:t>
      </w:r>
    </w:p>
    <w:p>
      <w:pPr>
        <w:pStyle w:val="Normal"/>
        <w:shd w:fill="FFFFFF" w:val="clear"/>
        <w:ind w:firstLine="283"/>
        <w:jc w:val="both"/>
        <w:rPr/>
      </w:pPr>
      <w:r>
        <w:rPr/>
        <w:t>изолирующие (непроводящие) помещения, зоны, площадки.</w:t>
      </w:r>
    </w:p>
    <w:p>
      <w:pPr>
        <w:pStyle w:val="Normal"/>
        <w:shd w:fill="FFFFFF" w:val="clear"/>
        <w:ind w:firstLine="283"/>
        <w:jc w:val="both"/>
        <w:rPr/>
      </w:pPr>
      <w:r>
        <w:rPr>
          <w:b/>
          <w:bCs/>
        </w:rPr>
        <w:t>1.7.52.</w:t>
      </w:r>
      <w:r>
        <w:rPr/>
        <w:t xml:space="preserve">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pPr>
        <w:pStyle w:val="Normal"/>
        <w:shd w:fill="FFFFFF" w:val="clear"/>
        <w:ind w:firstLine="283"/>
        <w:jc w:val="both"/>
        <w:rPr/>
      </w:pPr>
      <w:r>
        <w:rPr/>
        <w:t>Применение двух и более мер защиты в электроустановке не должно оказывать взаимного влияния, снижающего эффективность каждой из них.</w:t>
      </w:r>
    </w:p>
    <w:p>
      <w:pPr>
        <w:pStyle w:val="Normal"/>
        <w:shd w:fill="FFFFFF" w:val="clear"/>
        <w:ind w:firstLine="283"/>
        <w:jc w:val="both"/>
        <w:rPr/>
      </w:pPr>
      <w:r>
        <w:rPr>
          <w:b/>
          <w:bCs/>
        </w:rPr>
        <w:t>1.7.53.</w:t>
      </w:r>
      <w:r>
        <w:rPr/>
        <w:t xml:space="preserve"> Защиту </w:t>
      </w:r>
      <w:r>
        <w:rPr>
          <w:spacing w:val="50"/>
        </w:rPr>
        <w:t>при косвенном прикосновении</w:t>
      </w:r>
      <w:r>
        <w:rPr/>
        <w:t xml:space="preserve"> следует выполнять во всех случаях, если напряжение в электроустановке превышает 50 В переменного и 120 В постоянного тока.</w:t>
      </w:r>
    </w:p>
    <w:p>
      <w:pPr>
        <w:pStyle w:val="Normal"/>
        <w:shd w:fill="FFFFFF" w:val="clear"/>
        <w:ind w:firstLine="283"/>
        <w:jc w:val="both"/>
        <w:rPr/>
      </w:pPr>
      <w:r>
        <w:rP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pPr>
        <w:pStyle w:val="Normal"/>
        <w:shd w:fill="FFFFFF" w:val="clear"/>
        <w:ind w:firstLine="283"/>
        <w:jc w:val="both"/>
        <w:rPr/>
      </w:pPr>
      <w:r>
        <w:rPr/>
        <w:t xml:space="preserve">Защита от </w:t>
      </w:r>
      <w:r>
        <w:rPr>
          <w:spacing w:val="50"/>
        </w:rPr>
        <w:t>прямого прикосновения</w:t>
      </w:r>
      <w:r>
        <w:rPr/>
        <w:t xml:space="preserve">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p>
      <w:pPr>
        <w:pStyle w:val="Normal"/>
        <w:shd w:fill="FFFFFF" w:val="clear"/>
        <w:spacing w:before="120" w:after="120"/>
        <w:ind w:firstLine="283"/>
        <w:jc w:val="both"/>
        <w:rPr/>
      </w:pPr>
      <w:r>
        <w:rPr>
          <w:i/>
          <w:iCs/>
        </w:rPr>
        <w:t xml:space="preserve">Примечание. </w:t>
      </w:r>
      <w:r>
        <w:rPr/>
        <w:t xml:space="preserve">Здесь и далее в главе </w:t>
      </w:r>
      <w:r>
        <w:rPr>
          <w:spacing w:val="50"/>
        </w:rPr>
        <w:t>напряжение переменного тока</w:t>
      </w:r>
      <w:r>
        <w:rPr/>
        <w:t xml:space="preserve"> означает среднеквадратичное значение напряжения переменного тока; </w:t>
      </w:r>
      <w:r>
        <w:rPr>
          <w:spacing w:val="50"/>
        </w:rPr>
        <w:t xml:space="preserve">напряжение постоянного тока </w:t>
      </w:r>
      <w:r>
        <w:rPr/>
        <w:t>- напряжение постоянного или выпрямленного тока с содержанием пульсаций не более 10 % от среднеквадратичного значения.</w:t>
      </w:r>
    </w:p>
    <w:p>
      <w:pPr>
        <w:pStyle w:val="Normal"/>
        <w:shd w:fill="FFFFFF" w:val="clear"/>
        <w:ind w:firstLine="283"/>
        <w:jc w:val="both"/>
        <w:rPr/>
      </w:pPr>
      <w:r>
        <w:rPr>
          <w:b/>
          <w:bCs/>
        </w:rPr>
        <w:t>1.7.54.</w:t>
      </w:r>
      <w:r>
        <w:rPr/>
        <w:t xml:space="preserve">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pPr>
        <w:pStyle w:val="Normal"/>
        <w:shd w:fill="FFFFFF" w:val="clear"/>
        <w:ind w:firstLine="283"/>
        <w:jc w:val="both"/>
        <w:rPr/>
      </w:pPr>
      <w:r>
        <w:rPr>
          <w:b/>
          <w:bCs/>
        </w:rPr>
        <w:t>1.7.55.</w:t>
      </w:r>
      <w:r>
        <w:rPr/>
        <w:t xml:space="preserve"> 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pPr>
        <w:pStyle w:val="Normal"/>
        <w:shd w:fill="FFFFFF" w:val="clear"/>
        <w:ind w:firstLine="283"/>
        <w:jc w:val="both"/>
        <w:rPr/>
      </w:pPr>
      <w:r>
        <w:rP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p>
    <w:p>
      <w:pPr>
        <w:pStyle w:val="Normal"/>
        <w:shd w:fill="FFFFFF" w:val="clear"/>
        <w:ind w:firstLine="283"/>
        <w:jc w:val="both"/>
        <w:rPr/>
      </w:pPr>
      <w:r>
        <w:rPr/>
        <w:t>В первую очередь должны быть соблюдены требования, предъявляемые к защитному заземлению.</w:t>
      </w:r>
    </w:p>
    <w:p>
      <w:pPr>
        <w:pStyle w:val="Normal"/>
        <w:shd w:fill="FFFFFF" w:val="clear"/>
        <w:ind w:firstLine="283"/>
        <w:jc w:val="both"/>
        <w:rPr/>
      </w:pPr>
      <w:r>
        <w:rP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pPr>
        <w:pStyle w:val="Normal"/>
        <w:shd w:fill="FFFFFF" w:val="clear"/>
        <w:ind w:firstLine="283"/>
        <w:jc w:val="both"/>
        <w:rPr/>
      </w:pPr>
      <w:r>
        <w:rP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pPr>
        <w:pStyle w:val="Normal"/>
        <w:shd w:fill="FFFFFF" w:val="clear"/>
        <w:ind w:firstLine="283"/>
        <w:jc w:val="both"/>
        <w:rPr/>
      </w:pPr>
      <w:r>
        <w:rP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pPr>
        <w:pStyle w:val="Normal"/>
        <w:shd w:fill="FFFFFF" w:val="clear"/>
        <w:ind w:firstLine="283"/>
        <w:jc w:val="both"/>
        <w:rPr/>
      </w:pPr>
      <w:r>
        <w:rPr>
          <w:b/>
          <w:bCs/>
        </w:rPr>
        <w:t>1.7.56.</w:t>
      </w:r>
      <w:r>
        <w:rPr/>
        <w:t xml:space="preserve"> 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pPr>
        <w:pStyle w:val="Normal"/>
        <w:shd w:fill="FFFFFF" w:val="clear"/>
        <w:ind w:firstLine="283"/>
        <w:jc w:val="both"/>
        <w:rPr/>
      </w:pPr>
      <w:r>
        <w:rPr/>
        <w:t>При определении сопротивления заземляющих устройств должны быть учтены искусственные и естественные заземлители.</w:t>
      </w:r>
    </w:p>
    <w:p>
      <w:pPr>
        <w:pStyle w:val="Normal"/>
        <w:shd w:fill="FFFFFF" w:val="clear"/>
        <w:ind w:firstLine="283"/>
        <w:jc w:val="both"/>
        <w:rPr/>
      </w:pPr>
      <w:r>
        <w:rP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pPr>
        <w:pStyle w:val="Normal"/>
        <w:shd w:fill="FFFFFF" w:val="clear"/>
        <w:ind w:firstLine="283"/>
        <w:jc w:val="both"/>
        <w:rPr/>
      </w:pPr>
      <w:r>
        <w:rPr/>
        <w:t>Заземляющие устройства должны быть механически прочными, термически и динамически стойкими к токам замыкания на землю.</w:t>
      </w:r>
    </w:p>
    <w:p>
      <w:pPr>
        <w:pStyle w:val="Normal"/>
        <w:shd w:fill="FFFFFF" w:val="clear"/>
        <w:ind w:firstLine="283"/>
        <w:jc w:val="both"/>
        <w:rPr/>
      </w:pPr>
      <w:r>
        <w:rPr>
          <w:b/>
          <w:bCs/>
        </w:rPr>
        <w:t>1.7.57.</w:t>
      </w:r>
      <w:r>
        <w:rPr/>
        <w:t xml:space="preserve">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i/>
          <w:iCs/>
        </w:rPr>
        <w:t>TN.</w:t>
      </w:r>
    </w:p>
    <w:p>
      <w:pPr>
        <w:pStyle w:val="Normal"/>
        <w:shd w:fill="FFFFFF" w:val="clear"/>
        <w:ind w:firstLine="283"/>
        <w:jc w:val="both"/>
        <w:rPr/>
      </w:pPr>
      <w:r>
        <w:rPr/>
        <w:t xml:space="preserve">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w:t>
      </w:r>
      <w:r>
        <w:rPr>
          <w:b/>
          <w:bCs/>
        </w:rPr>
        <w:t>1.7.78</w:t>
      </w:r>
      <w:r>
        <w:rPr/>
        <w:t>-</w:t>
      </w:r>
      <w:r>
        <w:rPr>
          <w:b/>
          <w:bCs/>
        </w:rPr>
        <w:t>1.7.79</w:t>
      </w:r>
      <w:r>
        <w:rPr/>
        <w:t>.</w:t>
      </w:r>
    </w:p>
    <w:p>
      <w:pPr>
        <w:pStyle w:val="Normal"/>
        <w:shd w:fill="FFFFFF" w:val="clear"/>
        <w:ind w:firstLine="283"/>
        <w:jc w:val="both"/>
        <w:rPr/>
      </w:pPr>
      <w:r>
        <w:rPr/>
        <w:t xml:space="preserve">Требования к выбору систем </w:t>
      </w:r>
      <w:r>
        <w:rPr>
          <w:i/>
          <w:iCs/>
        </w:rPr>
        <w:t xml:space="preserve">TN-C, TN-S, TN-C-S </w:t>
      </w:r>
      <w:r>
        <w:rPr/>
        <w:t>для конкретных электроустановок приведены в соответствующих главах Правил.</w:t>
      </w:r>
    </w:p>
    <w:p>
      <w:pPr>
        <w:pStyle w:val="Normal"/>
        <w:shd w:fill="FFFFFF" w:val="clear"/>
        <w:ind w:firstLine="283"/>
        <w:jc w:val="both"/>
        <w:rPr/>
      </w:pPr>
      <w:r>
        <w:rPr>
          <w:b/>
          <w:bCs/>
        </w:rPr>
        <w:t>1.7.58.</w:t>
      </w:r>
      <w:r>
        <w:rPr/>
        <w:t xml:space="preserve"> Питание электроустановок напряжением до 1 кВ переменного тока от источника с изолированной нейтралью с применением системы </w:t>
      </w:r>
      <w:r>
        <w:rPr>
          <w:i/>
          <w:iCs/>
        </w:rPr>
        <w:t xml:space="preserve">IT </w:t>
      </w:r>
      <w:r>
        <w:rPr/>
        <w:t xml:space="preserve">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w:t>
      </w:r>
      <w:r>
        <w:rPr>
          <w:b/>
          <w:bCs/>
        </w:rPr>
        <w:t>1.7.81.</w:t>
      </w:r>
    </w:p>
    <w:p>
      <w:pPr>
        <w:pStyle w:val="Normal"/>
        <w:shd w:fill="FFFFFF" w:val="clear"/>
        <w:ind w:firstLine="283"/>
        <w:jc w:val="both"/>
        <w:rPr/>
      </w:pPr>
      <w:r>
        <w:rPr>
          <w:b/>
          <w:bCs/>
        </w:rPr>
        <w:t>1.7.59.</w:t>
      </w:r>
      <w:r>
        <w:rPr/>
        <w:t xml:space="preserve">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77), допускается только в тех случаях, когда условия электробезопасности в системе </w:t>
      </w:r>
      <w:r>
        <w:rPr>
          <w:i/>
          <w:iCs/>
        </w:rPr>
        <w:t xml:space="preserve">TN </w:t>
      </w:r>
      <w:r>
        <w:rP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pPr>
        <w:pStyle w:val="Normal"/>
        <w:shd w:fill="FFFFFF" w:val="clear"/>
        <w:spacing w:before="120" w:after="120"/>
        <w:jc w:val="center"/>
        <w:rPr/>
      </w:pPr>
      <w:r>
        <w:rPr>
          <w:i/>
          <w:iCs/>
        </w:rPr>
        <w:t>R</w:t>
      </w:r>
      <w:r>
        <w:rPr>
          <w:vertAlign w:val="subscript"/>
        </w:rPr>
        <w:t>а</w:t>
      </w:r>
      <w:r>
        <w:rPr>
          <w:i/>
          <w:iCs/>
        </w:rPr>
        <w:t>I</w:t>
      </w:r>
      <w:r>
        <w:rPr>
          <w:vertAlign w:val="subscript"/>
        </w:rPr>
        <w:t>а</w:t>
      </w:r>
      <w:r>
        <w:rPr>
          <w:i/>
          <w:iCs/>
        </w:rPr>
        <w:t xml:space="preserve"> </w:t>
      </w:r>
      <w:r>
        <w:rPr/>
        <w:t>&lt;50 В,</w:t>
      </w:r>
    </w:p>
    <w:p>
      <w:pPr>
        <w:pStyle w:val="Normal"/>
        <w:shd w:fill="FFFFFF" w:val="clear"/>
        <w:jc w:val="both"/>
        <w:rPr/>
      </w:pPr>
      <w:r>
        <w:rPr/>
        <w:t xml:space="preserve">где </w:t>
      </w:r>
      <w:r>
        <w:rPr>
          <w:i/>
          <w:iCs/>
        </w:rPr>
        <w:t>I</w:t>
      </w:r>
      <w:r>
        <w:rPr>
          <w:vertAlign w:val="subscript"/>
        </w:rPr>
        <w:t>а</w:t>
      </w:r>
      <w:r>
        <w:rPr/>
        <w:t xml:space="preserve"> - ток срабатывания защитного устройства;</w:t>
      </w:r>
    </w:p>
    <w:p>
      <w:pPr>
        <w:pStyle w:val="Normal"/>
        <w:shd w:fill="FFFFFF" w:val="clear"/>
        <w:ind w:left="700" w:hanging="500"/>
        <w:jc w:val="both"/>
        <w:rPr/>
      </w:pPr>
      <w:r>
        <w:rPr>
          <w:i/>
          <w:iCs/>
        </w:rPr>
        <w:t>R</w:t>
      </w:r>
      <w:r>
        <w:rPr>
          <w:vertAlign w:val="subscript"/>
        </w:rPr>
        <w:t>а</w:t>
      </w:r>
      <w:r>
        <w:rPr>
          <w:i/>
          <w:iCs/>
        </w:rPr>
        <w:t xml:space="preserve"> -   </w:t>
      </w:r>
      <w:r>
        <w:rPr/>
        <w:t>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pPr>
        <w:pStyle w:val="Normal"/>
        <w:shd w:fill="FFFFFF" w:val="clear"/>
        <w:ind w:firstLine="283"/>
        <w:jc w:val="both"/>
        <w:rPr/>
      </w:pPr>
      <w:r>
        <w:rPr>
          <w:b/>
          <w:bCs/>
        </w:rPr>
        <w:t>1.7.60.</w:t>
      </w:r>
      <w:r>
        <w:rPr/>
        <w:t xml:space="preserve"> При применении защитного автоматического отключения питания должна быть выполнена основная система уравнивания потенциалов в соответствии с </w:t>
      </w:r>
      <w:r>
        <w:rPr>
          <w:b/>
          <w:bCs/>
        </w:rPr>
        <w:t>1.7.82</w:t>
      </w:r>
      <w:r>
        <w:rPr/>
        <w:t xml:space="preserve">, а при необходимости также дополнительная система уравнивания потенциалов в соответствии с </w:t>
      </w:r>
      <w:r>
        <w:rPr>
          <w:b/>
          <w:bCs/>
        </w:rPr>
        <w:t>1.7.83</w:t>
      </w:r>
      <w:r>
        <w:rPr/>
        <w:t>.</w:t>
      </w:r>
    </w:p>
    <w:p>
      <w:pPr>
        <w:pStyle w:val="Normal"/>
        <w:shd w:fill="FFFFFF" w:val="clear"/>
        <w:ind w:firstLine="283"/>
        <w:jc w:val="both"/>
        <w:rPr/>
      </w:pPr>
      <w:r>
        <w:rPr>
          <w:b/>
          <w:bCs/>
        </w:rPr>
        <w:t>1.7.61.</w:t>
      </w:r>
      <w:r>
        <w:rPr/>
        <w:t xml:space="preserve"> При применении системы </w:t>
      </w:r>
      <w:r>
        <w:rPr>
          <w:i/>
          <w:iCs/>
        </w:rPr>
        <w:t xml:space="preserve">TN </w:t>
      </w:r>
      <w:r>
        <w:rPr/>
        <w:t xml:space="preserve">рекомендуется выполнять повторное заземление </w:t>
      </w:r>
      <w:r>
        <w:rPr>
          <w:i/>
          <w:iCs/>
        </w:rPr>
        <w:t xml:space="preserve">РЕ- </w:t>
      </w:r>
      <w:r>
        <w:rPr/>
        <w:t xml:space="preserve">и </w:t>
      </w:r>
      <w:r>
        <w:rPr>
          <w:i/>
          <w:iCs/>
        </w:rPr>
        <w:t>PEN</w:t>
      </w:r>
      <w:r>
        <w:rP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pPr>
        <w:pStyle w:val="Normal"/>
        <w:shd w:fill="FFFFFF" w:val="clear"/>
        <w:ind w:firstLine="283"/>
        <w:jc w:val="both"/>
        <w:rPr/>
      </w:pPr>
      <w:r>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pPr>
        <w:pStyle w:val="Normal"/>
        <w:shd w:fill="FFFFFF" w:val="clear"/>
        <w:ind w:firstLine="283"/>
        <w:jc w:val="both"/>
        <w:rPr/>
      </w:pPr>
      <w:r>
        <w:rPr/>
        <w:t xml:space="preserve">Повторное заземление электроустановок напряжением до 1 кВ, получающих питание по воздушным линиям, должно выполняться в соответствии с </w:t>
      </w:r>
      <w:r>
        <w:rPr>
          <w:b/>
          <w:bCs/>
        </w:rPr>
        <w:t>1.7.102-1.7.103.</w:t>
      </w:r>
    </w:p>
    <w:p>
      <w:pPr>
        <w:pStyle w:val="Normal"/>
        <w:shd w:fill="FFFFFF" w:val="clear"/>
        <w:ind w:firstLine="283"/>
        <w:jc w:val="both"/>
        <w:rPr/>
      </w:pPr>
      <w:r>
        <w:rPr>
          <w:b/>
          <w:bCs/>
        </w:rPr>
        <w:t>1.7.62.</w:t>
      </w:r>
      <w:r>
        <w:rPr/>
        <w:t xml:space="preserve"> Если время автоматического отключения питания не удовлетворяет условиям </w:t>
      </w:r>
      <w:r>
        <w:rPr>
          <w:b/>
          <w:bCs/>
        </w:rPr>
        <w:t xml:space="preserve">1.7.78-1.7.79 </w:t>
      </w:r>
      <w:r>
        <w:rPr/>
        <w:t xml:space="preserve">для системы </w:t>
      </w:r>
      <w:r>
        <w:rPr>
          <w:i/>
          <w:iCs/>
        </w:rPr>
        <w:t xml:space="preserve">TN </w:t>
      </w:r>
      <w:r>
        <w:rPr/>
        <w:t xml:space="preserve">и </w:t>
      </w:r>
      <w:r>
        <w:rPr>
          <w:b/>
          <w:bCs/>
        </w:rPr>
        <w:t xml:space="preserve">1.7.81 </w:t>
      </w:r>
      <w:r>
        <w:rPr/>
        <w:t xml:space="preserve">для системы </w:t>
      </w:r>
      <w:r>
        <w:rPr>
          <w:i/>
          <w:iCs/>
        </w:rPr>
        <w:t xml:space="preserve">IT, </w:t>
      </w:r>
      <w:r>
        <w:rPr/>
        <w:t>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(электрооборудование класса III), электрического разделения цепей изолирующих (непроводящих) помещений, зон, площадок.</w:t>
      </w:r>
    </w:p>
    <w:p>
      <w:pPr>
        <w:pStyle w:val="Normal"/>
        <w:shd w:fill="FFFFFF" w:val="clear"/>
        <w:ind w:firstLine="283"/>
        <w:jc w:val="both"/>
        <w:rPr/>
      </w:pPr>
      <w:r>
        <w:rPr>
          <w:b/>
          <w:bCs/>
        </w:rPr>
        <w:t>1.7.63.</w:t>
      </w:r>
      <w:r>
        <w:rPr/>
        <w:t xml:space="preserve"> Система </w:t>
      </w:r>
      <w:r>
        <w:rPr>
          <w:i/>
          <w:iCs/>
        </w:rPr>
        <w:t xml:space="preserve">IT </w:t>
      </w:r>
      <w:r>
        <w:rPr/>
        <w:t>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pPr>
        <w:pStyle w:val="Normal"/>
        <w:shd w:fill="FFFFFF" w:val="clear"/>
        <w:ind w:firstLine="283"/>
        <w:jc w:val="both"/>
        <w:rPr/>
      </w:pPr>
      <w:r>
        <w:rPr>
          <w:b/>
          <w:bCs/>
        </w:rPr>
        <w:t>1.7.64.</w:t>
      </w:r>
      <w:r>
        <w:rPr/>
        <w:t xml:space="preserve"> 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pPr>
        <w:pStyle w:val="Normal"/>
        <w:shd w:fill="FFFFFF" w:val="clear"/>
        <w:ind w:firstLine="283"/>
        <w:jc w:val="both"/>
        <w:rPr/>
      </w:pPr>
      <w:r>
        <w:rP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pPr>
        <w:pStyle w:val="Normal"/>
        <w:shd w:fill="FFFFFF" w:val="clear"/>
        <w:ind w:firstLine="283"/>
        <w:jc w:val="both"/>
        <w:rPr/>
      </w:pPr>
      <w:r>
        <w:rPr>
          <w:b/>
          <w:bCs/>
        </w:rPr>
        <w:t>1.7.65.</w:t>
      </w:r>
      <w:r>
        <w:rPr/>
        <w:t xml:space="preserve"> 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pPr>
        <w:pStyle w:val="Normal"/>
        <w:shd w:fill="FFFFFF" w:val="clear"/>
        <w:ind w:firstLine="283"/>
        <w:jc w:val="both"/>
        <w:rPr/>
      </w:pPr>
      <w:r>
        <w:rPr>
          <w:b/>
          <w:bCs/>
        </w:rPr>
        <w:t>1.7.66.</w:t>
      </w:r>
      <w:r>
        <w:rPr/>
        <w:t xml:space="preserve"> Защитное зануление в системе </w:t>
      </w:r>
      <w:r>
        <w:rPr>
          <w:i/>
          <w:iCs/>
        </w:rPr>
        <w:t xml:space="preserve">TN </w:t>
      </w:r>
      <w:r>
        <w:rPr/>
        <w:t xml:space="preserve">и защитное заземление в системе </w:t>
      </w:r>
      <w:r>
        <w:rPr>
          <w:i/>
          <w:iCs/>
        </w:rPr>
        <w:t xml:space="preserve">IT </w:t>
      </w:r>
      <w:r>
        <w:rPr/>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pPr>
        <w:pStyle w:val="Normal"/>
        <w:shd w:fill="FFFFFF" w:val="clear"/>
        <w:ind w:firstLine="283"/>
        <w:jc w:val="both"/>
        <w:rPr/>
      </w:pPr>
      <w:r>
        <w:rPr/>
        <w:t>Сопротивление заземляющего устройства опоры ВЛ, на которой установлено электрооборудование, должно соответствовать требованиям гл. 2.4 и 2.5.</w:t>
      </w:r>
    </w:p>
    <w:p>
      <w:pPr>
        <w:pStyle w:val="Heading3"/>
        <w:rPr/>
      </w:pPr>
      <w:r>
        <w:rPr/>
        <w:t>Меры защиты от прямого прикосновения</w:t>
      </w:r>
    </w:p>
    <w:p>
      <w:pPr>
        <w:pStyle w:val="Normal"/>
        <w:shd w:fill="FFFFFF" w:val="clear"/>
        <w:ind w:firstLine="283"/>
        <w:jc w:val="both"/>
        <w:rPr/>
      </w:pPr>
      <w:r>
        <w:rPr>
          <w:b/>
          <w:bCs/>
        </w:rPr>
        <w:t>1.7.67.</w:t>
      </w:r>
      <w:r>
        <w:rPr/>
        <w:t xml:space="preserve"> </w:t>
      </w:r>
      <w:r>
        <w:rPr>
          <w:spacing w:val="50"/>
        </w:rPr>
        <w:t>Основная изоляция токоведущих частей</w:t>
      </w:r>
      <w:r>
        <w:rPr/>
        <w:t xml:space="preserve">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pPr>
        <w:pStyle w:val="Normal"/>
        <w:shd w:fill="FFFFFF" w:val="clear"/>
        <w:ind w:firstLine="283"/>
        <w:jc w:val="both"/>
        <w:rPr/>
      </w:pPr>
      <w:r>
        <w:rP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pPr>
        <w:pStyle w:val="Normal"/>
        <w:shd w:fill="FFFFFF" w:val="clear"/>
        <w:ind w:firstLine="283"/>
        <w:jc w:val="both"/>
        <w:rPr/>
      </w:pPr>
      <w:r>
        <w:rPr>
          <w:b/>
          <w:bCs/>
        </w:rPr>
        <w:t>1.7.68.</w:t>
      </w:r>
      <w:r>
        <w:rPr/>
        <w:t xml:space="preserve"> </w:t>
      </w:r>
      <w:r>
        <w:rPr>
          <w:spacing w:val="50"/>
        </w:rPr>
        <w:t>Ограждения и оболочки</w:t>
      </w:r>
      <w:r>
        <w:rPr/>
        <w:t xml:space="preserve"> в электроустановках напряжением до 1 кВ должны иметь степень защиты не менее IP 2X, за исключением случаев, когда большие зазоры необходимы для нормальной работы электрооборудования.</w:t>
      </w:r>
    </w:p>
    <w:p>
      <w:pPr>
        <w:pStyle w:val="Normal"/>
        <w:shd w:fill="FFFFFF" w:val="clear"/>
        <w:ind w:firstLine="283"/>
        <w:jc w:val="both"/>
        <w:rPr/>
      </w:pPr>
      <w:r>
        <w:rPr/>
        <w:t>Ограждения и оболочки должны быть надежно закреплены и иметь достаточную механическую прочность.</w:t>
      </w:r>
    </w:p>
    <w:p>
      <w:pPr>
        <w:pStyle w:val="Normal"/>
        <w:shd w:fill="FFFFFF" w:val="clear"/>
        <w:ind w:firstLine="283"/>
        <w:jc w:val="both"/>
        <w:rPr/>
      </w:pPr>
      <w:r>
        <w:rP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IP 2Х, удаление которых также должно быть возможно только при помощи специального ключа или инструмента.</w:t>
      </w:r>
    </w:p>
    <w:p>
      <w:pPr>
        <w:pStyle w:val="Normal"/>
        <w:shd w:fill="FFFFFF" w:val="clear"/>
        <w:ind w:firstLine="283"/>
        <w:jc w:val="both"/>
        <w:rPr/>
      </w:pPr>
      <w:r>
        <w:rPr>
          <w:b/>
          <w:bCs/>
        </w:rPr>
        <w:t>1.7.69.</w:t>
      </w:r>
      <w:r>
        <w:rPr/>
        <w:t xml:space="preserve"> </w:t>
      </w:r>
      <w:r>
        <w:rPr>
          <w:spacing w:val="50"/>
        </w:rPr>
        <w:t>Барьеры</w:t>
      </w:r>
      <w:r>
        <w:rPr/>
        <w:t xml:space="preserve">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pPr>
        <w:pStyle w:val="Normal"/>
        <w:shd w:fill="FFFFFF" w:val="clear"/>
        <w:ind w:firstLine="283"/>
        <w:jc w:val="both"/>
        <w:rPr/>
      </w:pPr>
      <w:r>
        <w:rPr>
          <w:b/>
          <w:bCs/>
        </w:rPr>
        <w:t xml:space="preserve">1.7.70. </w:t>
      </w:r>
      <w:r>
        <w:rPr>
          <w:spacing w:val="50"/>
        </w:rPr>
        <w:t>Размещение вне зоны досягаемости</w:t>
      </w:r>
      <w:r>
        <w:rPr/>
        <w:t xml:space="preserve">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w:t>
      </w:r>
      <w:r>
        <w:rPr>
          <w:b/>
          <w:bCs/>
        </w:rPr>
        <w:t>1.7.68</w:t>
      </w:r>
      <w:r>
        <w:rPr/>
        <w:t>-</w:t>
      </w:r>
      <w:r>
        <w:rPr>
          <w:b/>
          <w:bCs/>
        </w:rPr>
        <w:t>1.7.69</w:t>
      </w:r>
      <w:r>
        <w:rPr/>
        <w:t>,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p>
      <w:pPr>
        <w:pStyle w:val="Normal"/>
        <w:shd w:fill="FFFFFF" w:val="clear"/>
        <w:ind w:firstLine="283"/>
        <w:jc w:val="both"/>
        <w:rPr/>
      </w:pPr>
      <w:r>
        <w:rPr/>
        <w:t>В вертикальном направлении зона досягаемости в электроустановках напряжением до 1 кВ должна составлять 2,5 м от поверхности, на которой находятся люди (рис. 1.7.6).</w:t>
      </w:r>
    </w:p>
    <w:p>
      <w:pPr>
        <w:pStyle w:val="Normal"/>
        <w:shd w:fill="FFFFFF" w:val="clear"/>
        <w:ind w:firstLine="283"/>
        <w:jc w:val="both"/>
        <w:rPr/>
      </w:pPr>
      <w:r>
        <w:rPr/>
        <w:t>Указанные размеры даны без учета применения вспомогательных средств (например, инструмента, лестниц, длинных предметов).</w:t>
      </w:r>
    </w:p>
    <w:p>
      <w:pPr>
        <w:pStyle w:val="Normal"/>
        <w:shd w:fill="FFFFFF" w:val="clear"/>
        <w:ind w:firstLine="283"/>
        <w:jc w:val="both"/>
        <w:rPr/>
      </w:pPr>
      <w:r>
        <w:rPr>
          <w:b/>
          <w:bCs/>
        </w:rPr>
        <w:t>1.7.71.</w:t>
      </w:r>
      <w:r>
        <w:rPr/>
        <w:t xml:space="preserve"> Установка барьеров и размещение вне зоны досягаемости допускается только в помещениях, доступных квалифицированному персоналу.</w:t>
      </w:r>
    </w:p>
    <w:p>
      <w:pPr>
        <w:pStyle w:val="Normal"/>
        <w:shd w:fill="FFFFFF" w:val="clear"/>
        <w:ind w:firstLine="283"/>
        <w:jc w:val="both"/>
        <w:rPr/>
      </w:pPr>
      <w:r>
        <w:rPr>
          <w:b/>
          <w:bCs/>
        </w:rPr>
        <w:t>1.7.72.</w:t>
      </w:r>
      <w:r>
        <w:rPr/>
        <w:t xml:space="preserve">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pPr>
        <w:pStyle w:val="Normal"/>
        <w:shd w:fill="FFFFFF" w:val="clear"/>
        <w:ind w:firstLine="283"/>
        <w:jc w:val="both"/>
        <w:rPr/>
      </w:pPr>
      <w:r>
        <w:rPr/>
        <w:t>эти помещения отчетливо обозначены, и доступ в них возможен только с помощью ключа;</w:t>
      </w:r>
    </w:p>
    <w:p>
      <w:pPr>
        <w:pStyle w:val="Normal"/>
        <w:shd w:fill="FFFFFF" w:val="clear"/>
        <w:ind w:firstLine="283"/>
        <w:jc w:val="both"/>
        <w:rPr/>
      </w:pPr>
      <w:r>
        <w:rPr/>
        <w:t>обеспечена возможность свободного выхода из помещения без ключа, даже если оно заперто на ключ снаружи;</w:t>
      </w:r>
    </w:p>
    <w:p>
      <w:pPr>
        <w:pStyle w:val="Normal"/>
        <w:shd w:fill="FFFFFF" w:val="clear"/>
        <w:ind w:firstLine="283"/>
        <w:jc w:val="both"/>
        <w:rPr/>
      </w:pPr>
      <w:r>
        <w:rPr/>
        <w:t>минимальные размеры проходов обслуживания соответствуют гл. 4.1.</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772150" cy="2409825"/>
            <wp:effectExtent l="0" t="0" r="0" b="0"/>
            <wp:docPr id="9" name="image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9" descr=""/>
                    <pic:cNvPicPr>
                      <a:picLocks noChangeAspect="1" noChangeArrowheads="1"/>
                    </pic:cNvPicPr>
                  </pic:nvPicPr>
                  <pic:blipFill>
                    <a:blip r:embed="rId16"/>
                    <a:srcRect l="-6" t="-14" r="-6" b="-14"/>
                    <a:stretch>
                      <a:fillRect/>
                    </a:stretch>
                  </pic:blipFill>
                  <pic:spPr bwMode="auto">
                    <a:xfrm>
                      <a:off x="0" y="0"/>
                      <a:ext cx="5772150" cy="2409825"/>
                    </a:xfrm>
                    <a:prstGeom prst="rect">
                      <a:avLst/>
                    </a:prstGeom>
                  </pic:spPr>
                </pic:pic>
              </a:graphicData>
            </a:graphic>
          </wp:inline>
        </w:drawing>
      </w:r>
    </w:p>
    <w:p>
      <w:pPr>
        <w:pStyle w:val="Normal"/>
        <w:shd w:fill="FFFFFF" w:val="clear"/>
        <w:jc w:val="center"/>
        <w:rPr/>
      </w:pPr>
      <w:r>
        <w:rPr>
          <w:b/>
          <w:bCs/>
          <w:i/>
          <w:iCs/>
        </w:rPr>
        <w:t xml:space="preserve">Рис. 1.7.6. </w:t>
      </w:r>
      <w:r>
        <w:rPr/>
        <w:t>Зона досягаемости в электроустановках до 1 кВ:</w:t>
      </w:r>
    </w:p>
    <w:p>
      <w:pPr>
        <w:pStyle w:val="Normal"/>
        <w:shd w:fill="FFFFFF" w:val="clear"/>
        <w:spacing w:before="120" w:after="0"/>
        <w:ind w:firstLine="1800"/>
        <w:jc w:val="both"/>
        <w:rPr/>
      </w:pPr>
      <w:r>
        <w:rPr>
          <w:i/>
          <w:iCs/>
        </w:rPr>
        <w:t xml:space="preserve">S - </w:t>
      </w:r>
      <w:r>
        <w:rPr/>
        <w:t>поверхность, на которой может находиться человек;</w:t>
      </w:r>
    </w:p>
    <w:p>
      <w:pPr>
        <w:pStyle w:val="Normal"/>
        <w:shd w:fill="FFFFFF" w:val="clear"/>
        <w:ind w:firstLine="1800"/>
        <w:jc w:val="both"/>
        <w:rPr/>
      </w:pPr>
      <w:r>
        <w:rPr>
          <w:i/>
          <w:iCs/>
        </w:rPr>
        <w:t xml:space="preserve">В - </w:t>
      </w:r>
      <w:r>
        <w:rPr/>
        <w:t xml:space="preserve">основание поверхности </w:t>
      </w:r>
      <w:r>
        <w:rPr>
          <w:i/>
          <w:iCs/>
        </w:rPr>
        <w:t>S</w:t>
      </w:r>
      <w:r>
        <w:rPr/>
        <w:t>;</w:t>
      </w:r>
    </w:p>
    <w:p>
      <w:pPr>
        <w:pStyle w:val="Normal"/>
        <w:shd w:fill="FFFFFF" w:val="clear"/>
        <w:ind w:left="2200" w:hanging="900"/>
        <w:jc w:val="both"/>
        <w:rPr/>
      </w:pPr>
      <w:r>
        <w:rPr>
          <w:vertAlign w:val="subscript"/>
        </w:rPr>
        <w:drawing>
          <wp:inline distT="0" distB="0" distL="0" distR="0">
            <wp:extent cx="397510" cy="127000"/>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7"/>
                    <a:srcRect l="-90" t="-291" r="-90" b="-291"/>
                    <a:stretch>
                      <a:fillRect/>
                    </a:stretch>
                  </pic:blipFill>
                  <pic:spPr bwMode="auto">
                    <a:xfrm>
                      <a:off x="0" y="0"/>
                      <a:ext cx="397510" cy="127000"/>
                    </a:xfrm>
                    <a:prstGeom prst="rect">
                      <a:avLst/>
                    </a:prstGeom>
                  </pic:spPr>
                </pic:pic>
              </a:graphicData>
            </a:graphic>
          </wp:inline>
        </w:drawing>
      </w:r>
      <w:r>
        <w:rPr/>
        <w:t> </w:t>
      </w:r>
      <w:r>
        <w:rPr/>
        <w:t xml:space="preserve">- граница зоны досягаемости токоведущих частей рукой человека, находящегося на поверхности </w:t>
      </w:r>
      <w:r>
        <w:rPr>
          <w:i/>
          <w:iCs/>
        </w:rPr>
        <w:t>S;</w:t>
      </w:r>
    </w:p>
    <w:p>
      <w:pPr>
        <w:pStyle w:val="Normal"/>
        <w:shd w:fill="FFFFFF" w:val="clear"/>
        <w:ind w:firstLine="200"/>
        <w:jc w:val="both"/>
        <w:rPr/>
      </w:pPr>
      <w:r>
        <w:rPr/>
        <w:t xml:space="preserve">0,75; 1,25; 2,50 м - расстояния от края поверхности </w:t>
      </w:r>
      <w:r>
        <w:rPr>
          <w:i/>
          <w:iCs/>
        </w:rPr>
        <w:t xml:space="preserve">S </w:t>
      </w:r>
      <w:r>
        <w:rPr/>
        <w:t>до границы зоны досягаемости</w:t>
      </w:r>
    </w:p>
    <w:p>
      <w:pPr>
        <w:pStyle w:val="Heading3"/>
        <w:rPr/>
      </w:pPr>
      <w:r>
        <w:rPr/>
        <w:t>Меры защиты от прямого и косвенного прикосновений</w:t>
      </w:r>
    </w:p>
    <w:p>
      <w:pPr>
        <w:pStyle w:val="Normal"/>
        <w:shd w:fill="FFFFFF" w:val="clear"/>
        <w:ind w:firstLine="283"/>
        <w:jc w:val="both"/>
        <w:rPr/>
      </w:pPr>
      <w:r>
        <w:rPr>
          <w:b/>
          <w:bCs/>
        </w:rPr>
        <w:t xml:space="preserve">1.7.73. </w:t>
      </w:r>
      <w:r>
        <w:rPr/>
        <w:t>Сверхнизкое (малое) напряжение (СНН) в электроустановках напряжением до 1 кВ может быть применено для защиты от поражения 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pPr>
        <w:pStyle w:val="Normal"/>
        <w:shd w:fill="FFFFFF" w:val="clear"/>
        <w:ind w:firstLine="283"/>
        <w:jc w:val="both"/>
        <w:rPr/>
      </w:pPr>
      <w:r>
        <w:rPr/>
        <w:t>В качестве источника питания цепей СНН в обоих случаях следует применять безопасный разделительный трансформатор в соответствии с ГОСТ 30030 «Трансформаторы разделительные и безопасные разделительные трансформаторы» или другой источник СНН, обеспечивающий равноценную степень безопасности.</w:t>
      </w:r>
    </w:p>
    <w:p>
      <w:pPr>
        <w:pStyle w:val="Normal"/>
        <w:shd w:fill="FFFFFF" w:val="clear"/>
        <w:ind w:firstLine="283"/>
        <w:jc w:val="both"/>
        <w:rPr/>
      </w:pPr>
      <w:r>
        <w:rP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pPr>
        <w:pStyle w:val="Normal"/>
        <w:shd w:fill="FFFFFF" w:val="clear"/>
        <w:ind w:firstLine="283"/>
        <w:jc w:val="both"/>
        <w:rPr/>
      </w:pPr>
      <w:r>
        <w:rP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pPr>
        <w:pStyle w:val="Normal"/>
        <w:shd w:fill="FFFFFF" w:val="clear"/>
        <w:ind w:firstLine="283"/>
        <w:jc w:val="both"/>
        <w:rPr/>
      </w:pPr>
      <w:r>
        <w:rPr/>
        <w:t>Вилки и розетки штепсельных соединителей в цепях СНН не должны допускать подключение к розеткам и вилкам других напряжений.</w:t>
      </w:r>
    </w:p>
    <w:p>
      <w:pPr>
        <w:pStyle w:val="Normal"/>
        <w:shd w:fill="FFFFFF" w:val="clear"/>
        <w:ind w:firstLine="283"/>
        <w:jc w:val="both"/>
        <w:rPr/>
      </w:pPr>
      <w:r>
        <w:rPr/>
        <w:t>Штепсельные розетки должны быть без защитного контакта.</w:t>
      </w:r>
    </w:p>
    <w:p>
      <w:pPr>
        <w:pStyle w:val="Normal"/>
        <w:shd w:fill="FFFFFF" w:val="clear"/>
        <w:ind w:firstLine="283"/>
        <w:jc w:val="both"/>
        <w:rPr/>
      </w:pPr>
      <w:r>
        <w:rPr/>
        <w:t>При значениях СНН выше 25 В переменного или 60 В постоянного тока должна быть также выполнена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w:t>
      </w:r>
    </w:p>
    <w:p>
      <w:pPr>
        <w:pStyle w:val="Normal"/>
        <w:shd w:fill="FFFFFF" w:val="clear"/>
        <w:ind w:firstLine="283"/>
        <w:jc w:val="both"/>
        <w:rPr/>
      </w:pPr>
      <w:r>
        <w:rPr>
          <w:b/>
          <w:bCs/>
        </w:rPr>
        <w:t>1.7.74.</w:t>
      </w:r>
      <w:r>
        <w:rPr/>
        <w:t xml:space="preserve">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pPr>
        <w:pStyle w:val="Normal"/>
        <w:shd w:fill="FFFFFF" w:val="clear"/>
        <w:ind w:firstLine="283"/>
        <w:jc w:val="both"/>
        <w:rPr/>
      </w:pPr>
      <w:r>
        <w:rP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pPr>
        <w:pStyle w:val="Normal"/>
        <w:shd w:fill="FFFFFF" w:val="clear"/>
        <w:ind w:firstLine="283"/>
        <w:jc w:val="both"/>
        <w:rPr/>
      </w:pPr>
      <w:r>
        <w:rP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pPr>
        <w:pStyle w:val="Normal"/>
        <w:shd w:fill="FFFFFF" w:val="clear"/>
        <w:ind w:firstLine="283"/>
        <w:jc w:val="both"/>
        <w:rPr/>
      </w:pPr>
      <w:r>
        <w:rPr>
          <w:b/>
          <w:bCs/>
        </w:rPr>
        <w:t>1.7.75.</w:t>
      </w:r>
      <w:r>
        <w:rPr/>
        <w:t xml:space="preserve">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w:t>
      </w:r>
      <w:r>
        <w:rPr>
          <w:b/>
          <w:bCs/>
        </w:rPr>
        <w:t>1.7.73-1.7.74</w:t>
      </w:r>
      <w:r>
        <w:rPr/>
        <w:t>.</w:t>
      </w:r>
    </w:p>
    <w:p>
      <w:pPr>
        <w:pStyle w:val="Heading3"/>
        <w:rPr/>
      </w:pPr>
      <w:r>
        <w:rPr/>
        <w:t>Меры защиты при косвенном прикосновении</w:t>
      </w:r>
    </w:p>
    <w:p>
      <w:pPr>
        <w:pStyle w:val="Normal"/>
        <w:shd w:fill="FFFFFF" w:val="clear"/>
        <w:ind w:firstLine="283"/>
        <w:jc w:val="both"/>
        <w:rPr/>
      </w:pPr>
      <w:r>
        <w:rPr>
          <w:b/>
          <w:bCs/>
        </w:rPr>
        <w:t>1.7.76.</w:t>
      </w:r>
      <w:r>
        <w:rPr/>
        <w:t xml:space="preserve"> Требования защиты при косвенном прикосновении распространяются на:</w:t>
      </w:r>
    </w:p>
    <w:p>
      <w:pPr>
        <w:pStyle w:val="Normal"/>
        <w:shd w:fill="FFFFFF" w:val="clear"/>
        <w:ind w:firstLine="283"/>
        <w:jc w:val="both"/>
        <w:rPr/>
      </w:pPr>
      <w:r>
        <w:rPr/>
        <w:t>1) корпуса электрических машин, трансформаторов, аппаратов, светильников и т.п.;</w:t>
      </w:r>
    </w:p>
    <w:p>
      <w:pPr>
        <w:pStyle w:val="Normal"/>
        <w:shd w:fill="FFFFFF" w:val="clear"/>
        <w:ind w:firstLine="283"/>
        <w:jc w:val="both"/>
        <w:rPr/>
      </w:pPr>
      <w:r>
        <w:rPr/>
        <w:t>2) приводы электрических аппаратов;</w:t>
      </w:r>
    </w:p>
    <w:p>
      <w:pPr>
        <w:pStyle w:val="Normal"/>
        <w:shd w:fill="FFFFFF" w:val="clear"/>
        <w:ind w:firstLine="283"/>
        <w:jc w:val="both"/>
        <w:rPr/>
      </w:pPr>
      <w:r>
        <w:rP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pPr>
        <w:pStyle w:val="Normal"/>
        <w:shd w:fill="FFFFFF" w:val="clear"/>
        <w:ind w:firstLine="283"/>
        <w:jc w:val="both"/>
        <w:rPr/>
      </w:pPr>
      <w:r>
        <w:rP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pPr>
        <w:pStyle w:val="Normal"/>
        <w:shd w:fill="FFFFFF" w:val="clear"/>
        <w:ind w:firstLine="283"/>
        <w:jc w:val="both"/>
        <w:rPr/>
      </w:pPr>
      <w:r>
        <w:rPr/>
        <w:t xml:space="preserve">5) металлические оболочки и броню контрольных и силовых кабелей и проводов на напряжения, не превышающие указанные в </w:t>
      </w:r>
      <w:r>
        <w:rPr>
          <w:b/>
          <w:bCs/>
        </w:rPr>
        <w:t>1.7.53</w:t>
      </w:r>
      <w:r>
        <w:rPr/>
        <w:t>, проложенные на общих металлических конструкциях, в том числе в общих трубах, коробах, лотках и т.п., с кабелями и проводами на более высокие напряжения;</w:t>
      </w:r>
    </w:p>
    <w:p>
      <w:pPr>
        <w:pStyle w:val="Normal"/>
        <w:shd w:fill="FFFFFF" w:val="clear"/>
        <w:ind w:firstLine="283"/>
        <w:jc w:val="both"/>
        <w:rPr/>
      </w:pPr>
      <w:r>
        <w:rPr/>
        <w:t>6) металлические корпуса передвижных и переносных электроприемников;</w:t>
      </w:r>
    </w:p>
    <w:p>
      <w:pPr>
        <w:pStyle w:val="Normal"/>
        <w:shd w:fill="FFFFFF" w:val="clear"/>
        <w:ind w:firstLine="283"/>
        <w:jc w:val="both"/>
        <w:rPr/>
      </w:pPr>
      <w:r>
        <w:rPr/>
        <w:t>7) электрооборудование, установленное на движущихся частях станков, машин и механизмов.</w:t>
      </w:r>
    </w:p>
    <w:p>
      <w:pPr>
        <w:pStyle w:val="Normal"/>
        <w:shd w:fill="FFFFFF" w:val="clear"/>
        <w:ind w:firstLine="283"/>
        <w:jc w:val="both"/>
        <w:rPr/>
      </w:pPr>
      <w:r>
        <w:rP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i/>
          <w:iCs/>
        </w:rPr>
        <w:t xml:space="preserve">TN </w:t>
      </w:r>
      <w:r>
        <w:rPr/>
        <w:t xml:space="preserve">и заземлены в системах </w:t>
      </w:r>
      <w:r>
        <w:rPr>
          <w:i/>
          <w:iCs/>
        </w:rPr>
        <w:t xml:space="preserve">IT </w:t>
      </w:r>
      <w:r>
        <w:rPr/>
        <w:t xml:space="preserve">и </w:t>
      </w:r>
      <w:r>
        <w:rPr>
          <w:i/>
          <w:iCs/>
        </w:rPr>
        <w:t>ТТ.</w:t>
      </w:r>
    </w:p>
    <w:p>
      <w:pPr>
        <w:pStyle w:val="Normal"/>
        <w:shd w:fill="FFFFFF" w:val="clear"/>
        <w:ind w:firstLine="283"/>
        <w:jc w:val="both"/>
        <w:rPr/>
      </w:pPr>
      <w:r>
        <w:rPr>
          <w:b/>
          <w:bCs/>
        </w:rPr>
        <w:t>1.7.77.</w:t>
      </w:r>
      <w:r>
        <w:rPr/>
        <w:t xml:space="preserve"> Не требуется преднамеренно присоединять к нейтрали источника в системе </w:t>
      </w:r>
      <w:r>
        <w:rPr>
          <w:i/>
          <w:iCs/>
        </w:rPr>
        <w:t>ТN</w:t>
      </w:r>
      <w:r>
        <w:rPr/>
        <w:t xml:space="preserve"> и заземлять в системах </w:t>
      </w:r>
      <w:r>
        <w:rPr>
          <w:i/>
          <w:iCs/>
        </w:rPr>
        <w:t xml:space="preserve">IT </w:t>
      </w:r>
      <w:r>
        <w:rPr/>
        <w:t xml:space="preserve">и </w:t>
      </w:r>
      <w:r>
        <w:rPr>
          <w:i/>
          <w:iCs/>
        </w:rPr>
        <w:t>ТТ:</w:t>
      </w:r>
    </w:p>
    <w:p>
      <w:pPr>
        <w:pStyle w:val="Normal"/>
        <w:shd w:fill="FFFFFF" w:val="clear"/>
        <w:ind w:firstLine="283"/>
        <w:jc w:val="both"/>
        <w:rPr/>
      </w:pPr>
      <w:r>
        <w:rP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pPr>
        <w:pStyle w:val="Normal"/>
        <w:shd w:fill="FFFFFF" w:val="clear"/>
        <w:ind w:firstLine="283"/>
        <w:jc w:val="both"/>
        <w:rPr/>
      </w:pPr>
      <w:r>
        <w:rPr/>
        <w:t xml:space="preserve">2) конструкции, перечисленные в </w:t>
      </w:r>
      <w:r>
        <w:rPr>
          <w:b/>
          <w:bCs/>
        </w:rPr>
        <w:t>1.7.76</w:t>
      </w:r>
      <w:r>
        <w:rPr/>
        <w:t>,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pPr>
        <w:pStyle w:val="Normal"/>
        <w:shd w:fill="FFFFFF" w:val="clear"/>
        <w:ind w:firstLine="283"/>
        <w:jc w:val="both"/>
        <w:rPr/>
      </w:pPr>
      <w:r>
        <w:rPr/>
        <w:t xml:space="preserve">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Pr>
          <w:b/>
          <w:bCs/>
        </w:rPr>
        <w:t>1.7.53</w:t>
      </w:r>
      <w:r>
        <w:rPr/>
        <w:t>;</w:t>
      </w:r>
    </w:p>
    <w:p>
      <w:pPr>
        <w:pStyle w:val="Normal"/>
        <w:shd w:fill="FFFFFF" w:val="clear"/>
        <w:ind w:firstLine="283"/>
        <w:jc w:val="both"/>
        <w:rPr/>
      </w:pPr>
      <w:r>
        <w:rPr/>
        <w:t>4) арматуру изоляторов воздушных линий электропередачи и присоединяемые к ней крепежные детали;</w:t>
      </w:r>
    </w:p>
    <w:p>
      <w:pPr>
        <w:pStyle w:val="Normal"/>
        <w:shd w:fill="FFFFFF" w:val="clear"/>
        <w:ind w:firstLine="283"/>
        <w:jc w:val="both"/>
        <w:rPr/>
      </w:pPr>
      <w:r>
        <w:rPr/>
        <w:t>5) открытые проводящие части электрооборудования с двойной изоляцией;</w:t>
      </w:r>
    </w:p>
    <w:p>
      <w:pPr>
        <w:pStyle w:val="Normal"/>
        <w:shd w:fill="FFFFFF" w:val="clear"/>
        <w:ind w:firstLine="283"/>
        <w:jc w:val="both"/>
        <w:rPr/>
      </w:pPr>
      <w:r>
        <w:rP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vertAlign w:val="superscript"/>
        </w:rPr>
        <w:t>2</w:t>
      </w:r>
      <w:r>
        <w:rPr/>
        <w:t>, в том числе протяжные и ответвительные коробки скрытых электропроводок.</w:t>
      </w:r>
    </w:p>
    <w:p>
      <w:pPr>
        <w:pStyle w:val="Normal"/>
        <w:shd w:fill="FFFFFF" w:val="clear"/>
        <w:ind w:firstLine="283"/>
        <w:jc w:val="both"/>
        <w:rPr/>
      </w:pPr>
      <w:r>
        <w:rPr>
          <w:b/>
          <w:bCs/>
        </w:rPr>
        <w:t>1.7.78.</w:t>
      </w:r>
      <w:r>
        <w:rPr/>
        <w:t xml:space="preserve"> При выполнении </w:t>
      </w:r>
      <w:r>
        <w:rPr>
          <w:spacing w:val="50"/>
        </w:rPr>
        <w:t>автоматического отключения питания</w:t>
      </w:r>
      <w:r>
        <w:rPr/>
        <w:t xml:space="preserve">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w:t>
      </w:r>
      <w:r>
        <w:rPr>
          <w:i/>
          <w:iCs/>
        </w:rPr>
        <w:t xml:space="preserve">TN, </w:t>
      </w:r>
      <w:r>
        <w:rPr/>
        <w:t xml:space="preserve">и заземлены, если применены системы </w:t>
      </w:r>
      <w:r>
        <w:rPr>
          <w:i/>
          <w:iCs/>
        </w:rPr>
        <w:t>IT</w:t>
      </w:r>
      <w:r>
        <w:rPr/>
        <w:t xml:space="preserve"> или </w:t>
      </w:r>
      <w:r>
        <w:rPr>
          <w:i/>
          <w:iCs/>
        </w:rPr>
        <w:t xml:space="preserve">ТТ. </w:t>
      </w:r>
      <w:r>
        <w:rP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pPr>
        <w:pStyle w:val="Normal"/>
        <w:shd w:fill="FFFFFF" w:val="clear"/>
        <w:ind w:firstLine="283"/>
        <w:jc w:val="both"/>
        <w:rPr/>
      </w:pPr>
      <w:r>
        <w:rP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pPr>
        <w:pStyle w:val="Normal"/>
        <w:shd w:fill="FFFFFF" w:val="clear"/>
        <w:ind w:firstLine="283"/>
        <w:jc w:val="both"/>
        <w:rPr/>
      </w:pPr>
      <w:r>
        <w:rP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pPr>
        <w:pStyle w:val="Normal"/>
        <w:shd w:fill="FFFFFF" w:val="clear"/>
        <w:ind w:firstLine="283"/>
        <w:jc w:val="both"/>
        <w:rPr/>
      </w:pPr>
      <w:r>
        <w:rPr>
          <w:b/>
          <w:bCs/>
        </w:rPr>
        <w:t>1.7.79.</w:t>
      </w:r>
      <w:r>
        <w:rPr/>
        <w:t xml:space="preserve"> В системе </w:t>
      </w:r>
      <w:r>
        <w:rPr>
          <w:i/>
          <w:iCs/>
        </w:rPr>
        <w:t xml:space="preserve">TN </w:t>
      </w:r>
      <w:r>
        <w:rPr/>
        <w:t>время автоматического отключения питания не должно превышать значений, указанных в табл. 1.7.1.</w:t>
      </w:r>
    </w:p>
    <w:p>
      <w:pPr>
        <w:pStyle w:val="Normal"/>
        <w:shd w:fill="FFFFFF" w:val="clear"/>
        <w:spacing w:before="120" w:after="120"/>
        <w:jc w:val="right"/>
        <w:rPr>
          <w:i/>
          <w:i/>
          <w:iCs/>
        </w:rPr>
      </w:pPr>
      <w:r>
        <w:rPr>
          <w:i/>
          <w:iCs/>
        </w:rPr>
        <w:t>Таблица 1.7.1</w:t>
      </w:r>
    </w:p>
    <w:p>
      <w:pPr>
        <w:pStyle w:val="Normal"/>
        <w:shd w:fill="FFFFFF" w:val="clear"/>
        <w:spacing w:before="0" w:after="120"/>
        <w:jc w:val="center"/>
        <w:rPr/>
      </w:pPr>
      <w:r>
        <w:rPr>
          <w:b/>
          <w:bCs/>
        </w:rPr>
        <w:t xml:space="preserve">Наибольшее допустимое время защитного автоматического отключения для системы </w:t>
      </w:r>
      <w:r>
        <w:rPr>
          <w:b/>
          <w:bCs/>
          <w:i/>
          <w:iCs/>
        </w:rPr>
        <w:t>TN</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544"/>
        <w:gridCol w:w="3811"/>
      </w:tblGrid>
      <w:tr>
        <w:trPr>
          <w:tblHeader w:val="true"/>
        </w:trPr>
        <w:tc>
          <w:tcPr>
            <w:tcW w:w="5544"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 xml:space="preserve">Номинальное фазное напряжение </w:t>
            </w:r>
            <w:r>
              <w:rPr>
                <w:i/>
                <w:iCs/>
              </w:rPr>
              <w:t>U</w:t>
            </w:r>
            <w:r>
              <w:rPr>
                <w:i/>
                <w:iCs/>
                <w:vertAlign w:val="subscript"/>
              </w:rPr>
              <w:t>o</w:t>
            </w:r>
            <w:r>
              <w:rPr/>
              <w:t>, В</w:t>
            </w:r>
          </w:p>
        </w:tc>
        <w:tc>
          <w:tcPr>
            <w:tcW w:w="381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Время отключения, с</w:t>
            </w:r>
          </w:p>
        </w:tc>
      </w:tr>
      <w:tr>
        <w:trPr/>
        <w:tc>
          <w:tcPr>
            <w:tcW w:w="5544" w:type="dxa"/>
            <w:tcBorders>
              <w:left w:val="single" w:sz="8" w:space="0" w:color="000000"/>
            </w:tcBorders>
            <w:shd w:fill="FFFFFF" w:val="clear"/>
          </w:tcPr>
          <w:p>
            <w:pPr>
              <w:pStyle w:val="Normal"/>
              <w:shd w:fill="FFFFFF" w:val="clear"/>
              <w:jc w:val="center"/>
              <w:rPr/>
            </w:pPr>
            <w:r>
              <w:rPr/>
              <w:t>127</w:t>
            </w:r>
          </w:p>
        </w:tc>
        <w:tc>
          <w:tcPr>
            <w:tcW w:w="381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0,8</w:t>
            </w:r>
          </w:p>
        </w:tc>
      </w:tr>
      <w:tr>
        <w:trPr/>
        <w:tc>
          <w:tcPr>
            <w:tcW w:w="5544" w:type="dxa"/>
            <w:tcBorders>
              <w:left w:val="single" w:sz="8" w:space="0" w:color="000000"/>
            </w:tcBorders>
            <w:shd w:fill="FFFFFF" w:val="clear"/>
          </w:tcPr>
          <w:p>
            <w:pPr>
              <w:pStyle w:val="Normal"/>
              <w:shd w:fill="FFFFFF" w:val="clear"/>
              <w:jc w:val="center"/>
              <w:rPr/>
            </w:pPr>
            <w:r>
              <w:rPr/>
              <w:t>220</w:t>
            </w:r>
          </w:p>
        </w:tc>
        <w:tc>
          <w:tcPr>
            <w:tcW w:w="381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0,4</w:t>
            </w:r>
          </w:p>
        </w:tc>
      </w:tr>
      <w:tr>
        <w:trPr/>
        <w:tc>
          <w:tcPr>
            <w:tcW w:w="5544" w:type="dxa"/>
            <w:tcBorders>
              <w:left w:val="single" w:sz="8" w:space="0" w:color="000000"/>
            </w:tcBorders>
            <w:shd w:fill="FFFFFF" w:val="clear"/>
          </w:tcPr>
          <w:p>
            <w:pPr>
              <w:pStyle w:val="Normal"/>
              <w:shd w:fill="FFFFFF" w:val="clear"/>
              <w:jc w:val="center"/>
              <w:rPr/>
            </w:pPr>
            <w:r>
              <w:rPr/>
              <w:t>380</w:t>
            </w:r>
          </w:p>
        </w:tc>
        <w:tc>
          <w:tcPr>
            <w:tcW w:w="381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0,2</w:t>
            </w:r>
          </w:p>
        </w:tc>
      </w:tr>
      <w:tr>
        <w:trPr/>
        <w:tc>
          <w:tcPr>
            <w:tcW w:w="5544"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Более 380</w:t>
            </w:r>
          </w:p>
        </w:tc>
        <w:tc>
          <w:tcPr>
            <w:tcW w:w="381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0,1</w:t>
            </w:r>
          </w:p>
        </w:tc>
      </w:tr>
    </w:tbl>
    <w:p>
      <w:pPr>
        <w:pStyle w:val="Normal"/>
        <w:shd w:fill="FFFFFF" w:val="clear"/>
        <w:spacing w:before="120" w:after="0"/>
        <w:ind w:firstLine="283"/>
        <w:jc w:val="both"/>
        <w:rPr/>
      </w:pPr>
      <w:r>
        <w:rP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pPr>
        <w:pStyle w:val="Normal"/>
        <w:shd w:fill="FFFFFF" w:val="clear"/>
        <w:ind w:firstLine="283"/>
        <w:jc w:val="both"/>
        <w:rPr/>
      </w:pPr>
      <w:r>
        <w:rPr/>
        <w:t>В цепях, питающих распределительные, групповые, этажные и др. щиты и щитки, время отключения не должно превышать 5 с.</w:t>
      </w:r>
    </w:p>
    <w:p>
      <w:pPr>
        <w:pStyle w:val="Normal"/>
        <w:shd w:fill="FFFFFF" w:val="clear"/>
        <w:ind w:firstLine="283"/>
        <w:jc w:val="both"/>
        <w:rPr/>
      </w:pPr>
      <w:r>
        <w:rPr/>
        <w:t>Допускаются значения времени отключения более указанных в табл. 1.7.1,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pPr>
        <w:pStyle w:val="Normal"/>
        <w:shd w:fill="FFFFFF" w:val="clear"/>
        <w:ind w:firstLine="283"/>
        <w:jc w:val="both"/>
        <w:rPr/>
      </w:pPr>
      <w:r>
        <w:rPr/>
        <w:t>1) полное сопротивление, защитного проводника между главной заземляющей шиной и распределительным щитом или щитком не превышает значения, Ом:</w:t>
      </w:r>
    </w:p>
    <w:p>
      <w:pPr>
        <w:pStyle w:val="Normal"/>
        <w:shd w:fill="FFFFFF" w:val="clear"/>
        <w:spacing w:before="120" w:after="120"/>
        <w:jc w:val="center"/>
        <w:rPr/>
      </w:pPr>
      <w:r>
        <w:rPr/>
        <w:t xml:space="preserve">50 </w:t>
      </w:r>
      <w:r>
        <w:rPr>
          <w:i/>
          <w:iCs/>
        </w:rPr>
        <w:t>Z</w:t>
      </w:r>
      <w:r>
        <w:rPr>
          <w:i/>
          <w:iCs/>
          <w:vertAlign w:val="subscript"/>
        </w:rPr>
        <w:t>ц</w:t>
      </w:r>
      <w:r>
        <w:rPr/>
        <w:t>/</w:t>
      </w:r>
      <w:r>
        <w:rPr>
          <w:i/>
          <w:iCs/>
        </w:rPr>
        <w:t>U</w:t>
      </w:r>
      <w:r>
        <w:rPr>
          <w:i/>
          <w:iCs/>
          <w:vertAlign w:val="subscript"/>
        </w:rPr>
        <w:t>о</w:t>
      </w:r>
      <w:r>
        <w:rPr/>
        <w:t>,</w:t>
      </w:r>
    </w:p>
    <w:p>
      <w:pPr>
        <w:pStyle w:val="Normal"/>
        <w:shd w:fill="FFFFFF" w:val="clear"/>
        <w:jc w:val="both"/>
        <w:rPr/>
      </w:pPr>
      <w:r>
        <w:rPr/>
        <w:t>где Z</w:t>
      </w:r>
      <w:r>
        <w:rPr>
          <w:vertAlign w:val="subscript"/>
        </w:rPr>
        <w:t>ц</w:t>
      </w:r>
      <w:r>
        <w:rPr/>
        <w:t xml:space="preserve"> - полное сопротивление цепи «фаза-нуль», Ом;</w:t>
      </w:r>
    </w:p>
    <w:p>
      <w:pPr>
        <w:pStyle w:val="Normal"/>
        <w:shd w:fill="FFFFFF" w:val="clear"/>
        <w:ind w:firstLine="400"/>
        <w:jc w:val="both"/>
        <w:rPr/>
      </w:pPr>
      <w:r>
        <w:rPr>
          <w:i/>
          <w:iCs/>
        </w:rPr>
        <w:t>U</w:t>
      </w:r>
      <w:r>
        <w:rPr>
          <w:i/>
          <w:iCs/>
          <w:vertAlign w:val="subscript"/>
        </w:rPr>
        <w:t>0</w:t>
      </w:r>
      <w:r>
        <w:rPr>
          <w:i/>
          <w:iCs/>
        </w:rPr>
        <w:t xml:space="preserve"> - </w:t>
      </w:r>
      <w:r>
        <w:rPr/>
        <w:t>номинальное фазное напряжение цепи, В;</w:t>
      </w:r>
    </w:p>
    <w:p>
      <w:pPr>
        <w:pStyle w:val="Normal"/>
        <w:shd w:fill="FFFFFF" w:val="clear"/>
        <w:ind w:left="800" w:hanging="500"/>
        <w:jc w:val="both"/>
        <w:rPr/>
      </w:pPr>
      <w:r>
        <w:rPr/>
        <w:t>50 - падение напряжения на участке защитного проводника между главной заземляющей шиной и распределительным щитом или щитком, В;</w:t>
      </w:r>
    </w:p>
    <w:p>
      <w:pPr>
        <w:pStyle w:val="Normal"/>
        <w:shd w:fill="FFFFFF" w:val="clear"/>
        <w:ind w:firstLine="283"/>
        <w:jc w:val="both"/>
        <w:rPr/>
      </w:pPr>
      <w:r>
        <w:rPr/>
        <w:t xml:space="preserve">2) к шине </w:t>
      </w:r>
      <w:r>
        <w:rPr>
          <w:i/>
          <w:iCs/>
        </w:rPr>
        <w:t xml:space="preserve">РЕ </w:t>
      </w:r>
      <w:r>
        <w:rPr/>
        <w:t>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pPr>
        <w:pStyle w:val="Normal"/>
        <w:shd w:fill="FFFFFF" w:val="clear"/>
        <w:ind w:firstLine="283"/>
        <w:jc w:val="both"/>
        <w:rPr/>
      </w:pPr>
      <w:r>
        <w:rPr/>
        <w:t>Допускается применение УЗО, реагирующих на дифференциальный ток.</w:t>
      </w:r>
    </w:p>
    <w:p>
      <w:pPr>
        <w:pStyle w:val="Normal"/>
        <w:shd w:fill="FFFFFF" w:val="clear"/>
        <w:ind w:firstLine="283"/>
        <w:jc w:val="both"/>
        <w:rPr/>
      </w:pPr>
      <w:r>
        <w:rPr>
          <w:b/>
          <w:bCs/>
        </w:rPr>
        <w:t xml:space="preserve">1.7.80. </w:t>
      </w:r>
      <w:r>
        <w:rPr/>
        <w:t xml:space="preserve">Не допускается применять УЗО, реагирующие на дифференциальный ток, в четырехпроводных трехфазных цепях (система </w:t>
      </w:r>
      <w:r>
        <w:rPr>
          <w:i/>
          <w:iCs/>
        </w:rPr>
        <w:t>TN-C</w:t>
      </w:r>
      <w:r>
        <w:rPr/>
        <w:t xml:space="preserve">). В случае необходимости применения УЗО для защиты отдельных электроприемников, получающих питание от системы </w:t>
      </w:r>
      <w:r>
        <w:rPr>
          <w:i/>
          <w:iCs/>
        </w:rPr>
        <w:t xml:space="preserve">TN-C, </w:t>
      </w:r>
      <w:r>
        <w:rPr/>
        <w:t xml:space="preserve">защитный </w:t>
      </w:r>
      <w:r>
        <w:rPr>
          <w:i/>
          <w:iCs/>
        </w:rPr>
        <w:t>РЕ</w:t>
      </w:r>
      <w:r>
        <w:rPr/>
        <w:t xml:space="preserve">-проводник электроприемника должен быть подключен к </w:t>
      </w:r>
      <w:r>
        <w:rPr>
          <w:i/>
          <w:iCs/>
        </w:rPr>
        <w:t>PEN</w:t>
      </w:r>
      <w:r>
        <w:rPr/>
        <w:t>-проводнику цепи, питающей электроприемник, до защитно-коммутационного аппарата.</w:t>
      </w:r>
    </w:p>
    <w:p>
      <w:pPr>
        <w:pStyle w:val="Normal"/>
        <w:shd w:fill="FFFFFF" w:val="clear"/>
        <w:ind w:firstLine="283"/>
        <w:jc w:val="both"/>
        <w:rPr/>
      </w:pPr>
      <w:r>
        <w:rPr>
          <w:b/>
          <w:bCs/>
        </w:rPr>
        <w:t xml:space="preserve">1.7.81. </w:t>
      </w:r>
      <w:r>
        <w:rPr/>
        <w:t xml:space="preserve">В системе </w:t>
      </w:r>
      <w:r>
        <w:rPr>
          <w:i/>
          <w:iCs/>
        </w:rPr>
        <w:t xml:space="preserve">IT </w:t>
      </w:r>
      <w:r>
        <w:rPr/>
        <w:t xml:space="preserve">время </w:t>
      </w:r>
      <w:r>
        <w:rPr>
          <w:spacing w:val="50"/>
        </w:rPr>
        <w:t>автоматического отключения питания</w:t>
      </w:r>
      <w:r>
        <w:rPr/>
        <w:t xml:space="preserve"> при двойном замыкании на открытые проводящие части должно соответствовать табл. 1.7.2.</w:t>
      </w:r>
    </w:p>
    <w:p>
      <w:pPr>
        <w:pStyle w:val="Normal"/>
        <w:shd w:fill="FFFFFF" w:val="clear"/>
        <w:spacing w:before="120" w:after="120"/>
        <w:jc w:val="right"/>
        <w:rPr>
          <w:i/>
          <w:i/>
          <w:iCs/>
        </w:rPr>
      </w:pPr>
      <w:r>
        <w:rPr>
          <w:i/>
          <w:iCs/>
        </w:rPr>
        <w:t>Таблица 1.7.2</w:t>
      </w:r>
    </w:p>
    <w:p>
      <w:pPr>
        <w:pStyle w:val="Normal"/>
        <w:shd w:fill="FFFFFF" w:val="clear"/>
        <w:spacing w:before="0" w:after="120"/>
        <w:jc w:val="center"/>
        <w:rPr/>
      </w:pPr>
      <w:r>
        <w:rPr>
          <w:b/>
          <w:bCs/>
        </w:rPr>
        <w:t xml:space="preserve">Наибольшее допустимое время защитного автоматического отключения для системы </w:t>
      </w:r>
      <w:r>
        <w:rPr>
          <w:b/>
          <w:bCs/>
          <w:i/>
          <w:iCs/>
        </w:rPr>
        <w:t>IT</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115"/>
        <w:gridCol w:w="4240"/>
      </w:tblGrid>
      <w:tr>
        <w:trPr/>
        <w:tc>
          <w:tcPr>
            <w:tcW w:w="5115" w:type="dxa"/>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jc w:val="center"/>
              <w:rPr/>
            </w:pPr>
            <w:r>
              <w:rPr/>
              <w:t xml:space="preserve">Номинальное линейное напряжение </w:t>
            </w:r>
            <w:r>
              <w:rPr>
                <w:i/>
                <w:iCs/>
              </w:rPr>
              <w:t>U</w:t>
            </w:r>
            <w:r>
              <w:rPr>
                <w:i/>
                <w:iCs/>
                <w:vertAlign w:val="subscript"/>
              </w:rPr>
              <w:t>o</w:t>
            </w:r>
            <w:r>
              <w:rPr/>
              <w:t>, В</w:t>
            </w:r>
          </w:p>
        </w:tc>
        <w:tc>
          <w:tcPr>
            <w:tcW w:w="424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Время отключения, с</w:t>
            </w:r>
          </w:p>
        </w:tc>
      </w:tr>
      <w:tr>
        <w:trPr/>
        <w:tc>
          <w:tcPr>
            <w:tcW w:w="5115" w:type="dxa"/>
            <w:tcBorders>
              <w:left w:val="single" w:sz="8" w:space="0" w:color="000000"/>
            </w:tcBorders>
            <w:shd w:fill="FFFFFF" w:val="clear"/>
          </w:tcPr>
          <w:p>
            <w:pPr>
              <w:pStyle w:val="Normal"/>
              <w:shd w:fill="FFFFFF" w:val="clear"/>
              <w:jc w:val="center"/>
              <w:rPr/>
            </w:pPr>
            <w:r>
              <w:rPr/>
              <w:t>220</w:t>
            </w:r>
          </w:p>
        </w:tc>
        <w:tc>
          <w:tcPr>
            <w:tcW w:w="42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0,8</w:t>
            </w:r>
          </w:p>
        </w:tc>
      </w:tr>
      <w:tr>
        <w:trPr/>
        <w:tc>
          <w:tcPr>
            <w:tcW w:w="5115" w:type="dxa"/>
            <w:tcBorders>
              <w:left w:val="single" w:sz="8" w:space="0" w:color="000000"/>
            </w:tcBorders>
            <w:shd w:fill="FFFFFF" w:val="clear"/>
          </w:tcPr>
          <w:p>
            <w:pPr>
              <w:pStyle w:val="Normal"/>
              <w:shd w:fill="FFFFFF" w:val="clear"/>
              <w:jc w:val="center"/>
              <w:rPr/>
            </w:pPr>
            <w:r>
              <w:rPr/>
              <w:t>380</w:t>
            </w:r>
          </w:p>
        </w:tc>
        <w:tc>
          <w:tcPr>
            <w:tcW w:w="42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0,4</w:t>
            </w:r>
          </w:p>
        </w:tc>
      </w:tr>
      <w:tr>
        <w:trPr/>
        <w:tc>
          <w:tcPr>
            <w:tcW w:w="5115" w:type="dxa"/>
            <w:tcBorders>
              <w:left w:val="single" w:sz="8" w:space="0" w:color="000000"/>
            </w:tcBorders>
            <w:shd w:fill="FFFFFF" w:val="clear"/>
          </w:tcPr>
          <w:p>
            <w:pPr>
              <w:pStyle w:val="Normal"/>
              <w:shd w:fill="FFFFFF" w:val="clear"/>
              <w:jc w:val="center"/>
              <w:rPr/>
            </w:pPr>
            <w:r>
              <w:rPr/>
              <w:t>660</w:t>
            </w:r>
          </w:p>
        </w:tc>
        <w:tc>
          <w:tcPr>
            <w:tcW w:w="42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0,2</w:t>
            </w:r>
          </w:p>
        </w:tc>
      </w:tr>
      <w:tr>
        <w:trPr/>
        <w:tc>
          <w:tcPr>
            <w:tcW w:w="5115"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Более 660</w:t>
            </w:r>
          </w:p>
        </w:tc>
        <w:tc>
          <w:tcPr>
            <w:tcW w:w="42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0,1</w:t>
            </w:r>
          </w:p>
        </w:tc>
      </w:tr>
    </w:tbl>
    <w:p>
      <w:pPr>
        <w:pStyle w:val="Normal"/>
        <w:shd w:fill="FFFFFF" w:val="clear"/>
        <w:spacing w:before="120" w:after="0"/>
        <w:ind w:firstLine="283"/>
        <w:jc w:val="both"/>
        <w:rPr/>
      </w:pPr>
      <w:r>
        <w:rPr>
          <w:b/>
          <w:bCs/>
        </w:rPr>
        <w:t>1.7.82.</w:t>
      </w:r>
      <w:r>
        <w:rPr/>
        <w:t xml:space="preserve"> </w:t>
      </w:r>
      <w:r>
        <w:rPr>
          <w:spacing w:val="50"/>
        </w:rPr>
        <w:t>Основная система уравнивания потенциалов</w:t>
      </w:r>
      <w:r>
        <w:rPr/>
        <w:t xml:space="preserve"> в электроустановках до 1 кВ должна соединять между собой следующие проводящие части (рис. 1.7.7):</w:t>
      </w:r>
    </w:p>
    <w:p>
      <w:pPr>
        <w:pStyle w:val="Normal"/>
        <w:shd w:fill="FFFFFF" w:val="clear"/>
        <w:ind w:firstLine="283"/>
        <w:jc w:val="both"/>
        <w:rPr/>
      </w:pPr>
      <w:r>
        <w:rPr/>
        <w:t xml:space="preserve">1) нулевой защитный </w:t>
      </w:r>
      <w:r>
        <w:rPr>
          <w:i/>
          <w:iCs/>
        </w:rPr>
        <w:t xml:space="preserve">РЕ- </w:t>
      </w:r>
      <w:r>
        <w:rPr/>
        <w:t xml:space="preserve">или </w:t>
      </w:r>
      <w:r>
        <w:rPr>
          <w:i/>
          <w:iCs/>
        </w:rPr>
        <w:t>PEN</w:t>
      </w:r>
      <w:r>
        <w:rPr/>
        <w:t xml:space="preserve">-проводник питающей линии в системе </w:t>
      </w:r>
      <w:r>
        <w:rPr>
          <w:i/>
          <w:iCs/>
        </w:rPr>
        <w:t>TN;</w:t>
      </w:r>
    </w:p>
    <w:p>
      <w:pPr>
        <w:pStyle w:val="Normal"/>
        <w:shd w:fill="FFFFFF" w:val="clear"/>
        <w:ind w:firstLine="283"/>
        <w:jc w:val="both"/>
        <w:rPr/>
      </w:pPr>
      <w:r>
        <w:rPr/>
        <w:t xml:space="preserve">2) заземляющий проводник, присоединенный к заземляющему устройству электроустановки, в системах </w:t>
      </w:r>
      <w:r>
        <w:rPr>
          <w:i/>
          <w:iCs/>
        </w:rPr>
        <w:t xml:space="preserve">IT </w:t>
      </w:r>
      <w:r>
        <w:rPr/>
        <w:t xml:space="preserve">и </w:t>
      </w:r>
      <w:r>
        <w:rPr>
          <w:i/>
          <w:iCs/>
        </w:rPr>
        <w:t>ТТ;</w:t>
      </w:r>
    </w:p>
    <w:p>
      <w:pPr>
        <w:pStyle w:val="Normal"/>
        <w:shd w:fill="FFFFFF" w:val="clear"/>
        <w:ind w:firstLine="283"/>
        <w:jc w:val="both"/>
        <w:rPr/>
      </w:pPr>
      <w:r>
        <w:rPr/>
        <w:t>3) заземляющий проводник, присоединенный к заземлителю повторного заземления на вводе в здание (если есть заземлитель);</w:t>
      </w:r>
    </w:p>
    <w:p>
      <w:pPr>
        <w:pStyle w:val="Normal"/>
        <w:shd w:fill="FFFFFF" w:val="clear"/>
        <w:ind w:firstLine="283"/>
        <w:jc w:val="both"/>
        <w:rPr/>
      </w:pPr>
      <w:r>
        <w:rPr/>
        <w:t>4) металлические трубы коммуникаций, входящих в здание: горячего и холодного водоснабжения, канализации, отопления, газоснабжения и т.п.</w:t>
      </w:r>
    </w:p>
    <w:p>
      <w:pPr>
        <w:pStyle w:val="Normal"/>
        <w:shd w:fill="FFFFFF" w:val="clear"/>
        <w:ind w:firstLine="283"/>
        <w:jc w:val="both"/>
        <w:rPr/>
      </w:pPr>
      <w:r>
        <w:rP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pPr>
        <w:pStyle w:val="Normal"/>
        <w:shd w:fill="FFFFFF" w:val="clear"/>
        <w:ind w:firstLine="283"/>
        <w:jc w:val="both"/>
        <w:rPr/>
      </w:pPr>
      <w:r>
        <w:rPr/>
        <w:t>5) металлические части каркаса здания;</w:t>
      </w:r>
    </w:p>
    <w:p>
      <w:pPr>
        <w:pStyle w:val="Normal"/>
        <w:shd w:fill="FFFFFF" w:val="clear"/>
        <w:ind w:firstLine="283"/>
        <w:jc w:val="both"/>
        <w:rPr/>
      </w:pPr>
      <w:r>
        <w:rPr/>
        <w:t xml:space="preserve">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i/>
          <w:iCs/>
        </w:rPr>
        <w:t xml:space="preserve">РЕ </w:t>
      </w:r>
      <w:r>
        <w:rPr/>
        <w:t>щитов питания вентиляторов и кондиционеров;</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171440" cy="7619365"/>
            <wp:effectExtent l="0" t="0" r="0" b="0"/>
            <wp:docPr id="11" name="image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1" descr=""/>
                    <pic:cNvPicPr>
                      <a:picLocks noChangeAspect="1" noChangeArrowheads="1"/>
                    </pic:cNvPicPr>
                  </pic:nvPicPr>
                  <pic:blipFill>
                    <a:blip r:embed="rId18"/>
                    <a:srcRect l="-6" t="-4" r="-6" b="-4"/>
                    <a:stretch>
                      <a:fillRect/>
                    </a:stretch>
                  </pic:blipFill>
                  <pic:spPr bwMode="auto">
                    <a:xfrm>
                      <a:off x="0" y="0"/>
                      <a:ext cx="5171440" cy="7619365"/>
                    </a:xfrm>
                    <a:prstGeom prst="rect">
                      <a:avLst/>
                    </a:prstGeom>
                  </pic:spPr>
                </pic:pic>
              </a:graphicData>
            </a:graphic>
          </wp:inline>
        </w:drawing>
      </w:r>
    </w:p>
    <w:p>
      <w:pPr>
        <w:pStyle w:val="Normal"/>
        <w:shd w:fill="FFFFFF" w:val="clear"/>
        <w:jc w:val="center"/>
        <w:rPr/>
      </w:pPr>
      <w:r>
        <w:rPr>
          <w:b/>
          <w:bCs/>
          <w:i/>
          <w:iCs/>
        </w:rPr>
        <w:t>Рис. 1.7.7.</w:t>
      </w:r>
      <w:r>
        <w:rPr>
          <w:i/>
          <w:iCs/>
        </w:rPr>
        <w:t xml:space="preserve"> </w:t>
      </w:r>
      <w:r>
        <w:rPr/>
        <w:t>Система уравнивания потенциалов в здании:</w:t>
      </w:r>
    </w:p>
    <w:p>
      <w:pPr>
        <w:pStyle w:val="Normal"/>
        <w:shd w:fill="FFFFFF" w:val="clear"/>
        <w:spacing w:before="120" w:after="120"/>
        <w:jc w:val="center"/>
        <w:rPr/>
      </w:pPr>
      <w:r>
        <w:rPr>
          <w:i/>
          <w:iCs/>
        </w:rPr>
        <w:t xml:space="preserve">М - </w:t>
      </w:r>
      <w:r>
        <w:rPr/>
        <w:t xml:space="preserve">открытая проводящая часть; </w:t>
      </w:r>
      <w:r>
        <w:rPr>
          <w:i/>
          <w:iCs/>
        </w:rPr>
        <w:t>С1</w:t>
      </w:r>
      <w:r>
        <w:rPr/>
        <w:t xml:space="preserve"> - металлические трубы водопровода, входящие в здание; </w:t>
      </w:r>
      <w:r>
        <w:rPr>
          <w:i/>
          <w:iCs/>
        </w:rPr>
        <w:t xml:space="preserve">С2 </w:t>
      </w:r>
      <w:r>
        <w:rPr/>
        <w:t xml:space="preserve">- металлические трубы канализации, входящие в здание; </w:t>
      </w:r>
      <w:r>
        <w:rPr>
          <w:i/>
          <w:iCs/>
        </w:rPr>
        <w:t xml:space="preserve">С3 - </w:t>
      </w:r>
      <w:r>
        <w:rPr/>
        <w:t xml:space="preserve">металлические трубы газоснабжения с изолирующей вставкой на вводе, входящие в здание; </w:t>
      </w:r>
      <w:r>
        <w:rPr>
          <w:i/>
          <w:iCs/>
        </w:rPr>
        <w:t xml:space="preserve">С4 - </w:t>
      </w:r>
      <w:r>
        <w:rPr/>
        <w:t xml:space="preserve">воздуховоды вентиляции и кондиционирования; </w:t>
      </w:r>
      <w:r>
        <w:rPr>
          <w:i/>
          <w:iCs/>
        </w:rPr>
        <w:t>С5</w:t>
      </w:r>
      <w:r>
        <w:rPr/>
        <w:t xml:space="preserve"> - система отопления; </w:t>
      </w:r>
      <w:r>
        <w:rPr>
          <w:i/>
          <w:iCs/>
        </w:rPr>
        <w:t xml:space="preserve">С6 - </w:t>
      </w:r>
      <w:r>
        <w:rPr/>
        <w:t xml:space="preserve">металлические водопроводные трубы в ванной комнате; </w:t>
      </w:r>
      <w:r>
        <w:rPr>
          <w:i/>
          <w:iCs/>
        </w:rPr>
        <w:t xml:space="preserve">С7 - </w:t>
      </w:r>
      <w:r>
        <w:rPr/>
        <w:t xml:space="preserve">металлическая ванна; </w:t>
      </w:r>
      <w:r>
        <w:rPr>
          <w:i/>
          <w:iCs/>
        </w:rPr>
        <w:t xml:space="preserve">С8 - </w:t>
      </w:r>
      <w:r>
        <w:rPr/>
        <w:t xml:space="preserve">сторонняя проводящая часть в пределах досягаемости от открытых проводящих частей; </w:t>
      </w:r>
      <w:r>
        <w:rPr>
          <w:i/>
          <w:iCs/>
        </w:rPr>
        <w:t xml:space="preserve">С9 - </w:t>
      </w:r>
      <w:r>
        <w:rPr/>
        <w:t xml:space="preserve">арматура железобетонных конструкций; ГЗШ - главная заземляющая шина; </w:t>
      </w:r>
      <w:r>
        <w:rPr>
          <w:i/>
          <w:iCs/>
        </w:rPr>
        <w:t>Т1</w:t>
      </w:r>
      <w:r>
        <w:rPr/>
        <w:t xml:space="preserve"> - естественный заземлитель; </w:t>
      </w:r>
      <w:r>
        <w:rPr>
          <w:i/>
          <w:iCs/>
        </w:rPr>
        <w:t>Т2</w:t>
      </w:r>
      <w:r>
        <w:rPr/>
        <w:t xml:space="preserve"> - заземлитель молниезащиты (если имеется); </w:t>
      </w:r>
      <w:r>
        <w:rPr>
          <w:i/>
          <w:iCs/>
        </w:rPr>
        <w:t xml:space="preserve">1 - </w:t>
      </w:r>
      <w:r>
        <w:rPr/>
        <w:t xml:space="preserve">нулевой защитный проводник; </w:t>
      </w:r>
      <w:r>
        <w:rPr>
          <w:i/>
          <w:iCs/>
        </w:rPr>
        <w:t>2</w:t>
      </w:r>
      <w:r>
        <w:rPr/>
        <w:t xml:space="preserve"> - проводник основной системы уравнивания потенциалов; </w:t>
      </w:r>
      <w:r>
        <w:rPr>
          <w:i/>
          <w:iCs/>
        </w:rPr>
        <w:t xml:space="preserve">3 - </w:t>
      </w:r>
      <w:r>
        <w:rPr/>
        <w:t xml:space="preserve">проводник дополнительной системы уравнивания потенциалов; </w:t>
      </w:r>
      <w:r>
        <w:rPr>
          <w:i/>
          <w:iCs/>
        </w:rPr>
        <w:t xml:space="preserve">4 - </w:t>
      </w:r>
      <w:r>
        <w:rPr/>
        <w:t xml:space="preserve">токоотвод системы молниезащиты; </w:t>
      </w:r>
      <w:r>
        <w:rPr>
          <w:i/>
          <w:iCs/>
        </w:rPr>
        <w:t>5</w:t>
      </w:r>
      <w:r>
        <w:rPr/>
        <w:t xml:space="preserve"> - контур (магистраль) рабочего заземления в помещении информационного вычислительного оборудования; </w:t>
      </w:r>
      <w:r>
        <w:rPr>
          <w:i/>
          <w:iCs/>
        </w:rPr>
        <w:t xml:space="preserve">6 - </w:t>
      </w:r>
      <w:r>
        <w:rPr/>
        <w:t xml:space="preserve">проводник рабочего (функционального) заземления; </w:t>
      </w:r>
      <w:r>
        <w:rPr>
          <w:i/>
          <w:iCs/>
        </w:rPr>
        <w:t xml:space="preserve">7 - </w:t>
      </w:r>
      <w:r>
        <w:rPr/>
        <w:t xml:space="preserve">проводник уравнивания потенциалов в системе рабочего (функционального) заземления; </w:t>
      </w:r>
      <w:r>
        <w:rPr>
          <w:i/>
          <w:iCs/>
        </w:rPr>
        <w:t xml:space="preserve">8 - </w:t>
      </w:r>
      <w:r>
        <w:rPr/>
        <w:t>заземляющий проводник</w:t>
      </w:r>
    </w:p>
    <w:p>
      <w:pPr>
        <w:pStyle w:val="Normal"/>
        <w:shd w:fill="FFFFFF" w:val="clear"/>
        <w:ind w:firstLine="283"/>
        <w:jc w:val="both"/>
        <w:rPr/>
      </w:pPr>
      <w:r>
        <w:rPr/>
        <w:t>7) заземляющее устройство системы молниезащиты 2-й и 3-й категорий;</w:t>
      </w:r>
    </w:p>
    <w:p>
      <w:pPr>
        <w:pStyle w:val="Normal"/>
        <w:shd w:fill="FFFFFF" w:val="clear"/>
        <w:ind w:firstLine="283"/>
        <w:jc w:val="both"/>
        <w:rPr/>
      </w:pPr>
      <w:r>
        <w:rP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pPr>
        <w:pStyle w:val="Normal"/>
        <w:shd w:fill="FFFFFF" w:val="clear"/>
        <w:ind w:firstLine="283"/>
        <w:jc w:val="both"/>
        <w:rPr/>
      </w:pPr>
      <w:r>
        <w:rPr/>
        <w:t>9) металлические оболочки телекоммуникационных кабелей.</w:t>
      </w:r>
    </w:p>
    <w:p>
      <w:pPr>
        <w:pStyle w:val="Normal"/>
        <w:shd w:fill="FFFFFF" w:val="clear"/>
        <w:ind w:firstLine="283"/>
        <w:jc w:val="both"/>
        <w:rPr/>
      </w:pPr>
      <w:r>
        <w:rPr/>
        <w:t>Проводящие части, входящие в здание извне, должны быть соединены как можно ближе к точке их ввода в здание.</w:t>
      </w:r>
    </w:p>
    <w:p>
      <w:pPr>
        <w:pStyle w:val="Normal"/>
        <w:shd w:fill="FFFFFF" w:val="clear"/>
        <w:ind w:firstLine="283"/>
        <w:jc w:val="both"/>
        <w:rPr/>
      </w:pPr>
      <w:r>
        <w:rPr/>
        <w:t xml:space="preserve">Для соединения с основной системой уравнивания потенциалов все указанные части должны быть присоединены к главной заземляющей шине </w:t>
      </w:r>
      <w:r>
        <w:rPr>
          <w:b/>
          <w:bCs/>
        </w:rPr>
        <w:t>(</w:t>
      </w:r>
      <w:r>
        <w:rPr/>
        <w:t>см.</w:t>
      </w:r>
      <w:r>
        <w:rPr>
          <w:b/>
          <w:bCs/>
        </w:rPr>
        <w:t xml:space="preserve"> 1.7.119-1.7.120) </w:t>
      </w:r>
      <w:r>
        <w:rPr/>
        <w:t>при помощи проводников системы уравнивания потенциалов.</w:t>
      </w:r>
    </w:p>
    <w:p>
      <w:pPr>
        <w:pStyle w:val="Normal"/>
        <w:shd w:fill="FFFFFF" w:val="clear"/>
        <w:ind w:firstLine="283"/>
        <w:jc w:val="both"/>
        <w:rPr/>
      </w:pPr>
      <w:r>
        <w:rPr>
          <w:b/>
          <w:bCs/>
        </w:rPr>
        <w:t xml:space="preserve">1.7.83. </w:t>
      </w:r>
      <w:r>
        <w:rPr/>
        <w:t xml:space="preserve">Система </w:t>
      </w:r>
      <w:r>
        <w:rPr>
          <w:spacing w:val="50"/>
        </w:rPr>
        <w:t>дополнительного уравнивания потенциалов</w:t>
      </w:r>
      <w:r>
        <w:rPr/>
        <w:t xml:space="preserve">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i/>
          <w:iCs/>
        </w:rPr>
        <w:t xml:space="preserve">TN </w:t>
      </w:r>
      <w:r>
        <w:rPr/>
        <w:t xml:space="preserve">и защитные заземляющие проводники в системах </w:t>
      </w:r>
      <w:r>
        <w:rPr>
          <w:i/>
          <w:iCs/>
        </w:rPr>
        <w:t xml:space="preserve">IT </w:t>
      </w:r>
      <w:r>
        <w:rPr/>
        <w:t xml:space="preserve">и </w:t>
      </w:r>
      <w:r>
        <w:rPr>
          <w:i/>
          <w:iCs/>
        </w:rPr>
        <w:t xml:space="preserve">ТТ, </w:t>
      </w:r>
      <w:r>
        <w:rPr/>
        <w:t>включая защитные проводники штепсельных розеток.</w:t>
      </w:r>
    </w:p>
    <w:p>
      <w:pPr>
        <w:pStyle w:val="Normal"/>
        <w:shd w:fill="FFFFFF" w:val="clear"/>
        <w:ind w:firstLine="283"/>
        <w:jc w:val="both"/>
        <w:rPr/>
      </w:pPr>
      <w:r>
        <w:rP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Pr>
          <w:b/>
          <w:bCs/>
          <w:color w:val="000000"/>
        </w:rPr>
        <w:t>1.7.122</w:t>
      </w:r>
      <w:r>
        <w:rPr>
          <w:b/>
          <w:bCs/>
        </w:rPr>
        <w:t xml:space="preserve"> </w:t>
      </w:r>
      <w:r>
        <w:rPr/>
        <w:t>к защитным проводникам в отношении проводимости и непрерывности электрической цепи.</w:t>
      </w:r>
    </w:p>
    <w:p>
      <w:pPr>
        <w:pStyle w:val="Normal"/>
        <w:shd w:fill="FFFFFF" w:val="clear"/>
        <w:ind w:firstLine="283"/>
        <w:jc w:val="both"/>
        <w:rPr/>
      </w:pPr>
      <w:r>
        <w:rPr>
          <w:b/>
          <w:bCs/>
        </w:rPr>
        <w:t>1.7.84.</w:t>
      </w:r>
      <w:r>
        <w:rPr/>
        <w:t xml:space="preserve"> </w:t>
      </w:r>
      <w:r>
        <w:rPr>
          <w:spacing w:val="50"/>
        </w:rPr>
        <w:t>Защита при помощи двойной или усиленной изоляции</w:t>
      </w:r>
      <w:r>
        <w:rPr/>
        <w:t xml:space="preserve"> может быть обеспечена применением </w:t>
      </w:r>
      <w:r>
        <w:rPr>
          <w:spacing w:val="50"/>
        </w:rPr>
        <w:t>электрооборудования класса</w:t>
      </w:r>
      <w:r>
        <w:rPr/>
        <w:t xml:space="preserve"> II или заключением электрооборудования, имеющего только основную изоляцию токоведущих частей, в изолирующую оболочку.</w:t>
      </w:r>
    </w:p>
    <w:p>
      <w:pPr>
        <w:pStyle w:val="Normal"/>
        <w:shd w:fill="FFFFFF" w:val="clear"/>
        <w:ind w:firstLine="283"/>
        <w:jc w:val="both"/>
        <w:rPr/>
      </w:pPr>
      <w:r>
        <w:rPr/>
        <w:t>Проводящие части оборудования с двойной изоляцией не должны быть присоединены к защитному проводнику и к системе уравнивания потенциалов.</w:t>
      </w:r>
    </w:p>
    <w:p>
      <w:pPr>
        <w:pStyle w:val="Normal"/>
        <w:shd w:fill="FFFFFF" w:val="clear"/>
        <w:ind w:firstLine="283"/>
        <w:jc w:val="both"/>
        <w:rPr/>
      </w:pPr>
      <w:r>
        <w:rPr>
          <w:b/>
          <w:bCs/>
        </w:rPr>
        <w:t>1.7.85.</w:t>
      </w:r>
      <w:r>
        <w:rPr/>
        <w:t xml:space="preserve"> </w:t>
      </w:r>
      <w:r>
        <w:rPr>
          <w:spacing w:val="50"/>
        </w:rPr>
        <w:t>Защитное электрическое разделение цепей</w:t>
      </w:r>
      <w:r>
        <w:rPr/>
        <w:t xml:space="preserve"> следует применять, как правило, для одной цепи.</w:t>
      </w:r>
    </w:p>
    <w:p>
      <w:pPr>
        <w:pStyle w:val="Normal"/>
        <w:shd w:fill="FFFFFF" w:val="clear"/>
        <w:ind w:firstLine="283"/>
        <w:jc w:val="both"/>
        <w:rPr/>
      </w:pPr>
      <w:r>
        <w:rPr/>
        <w:t>Наибольшее рабочее напряжение отделяемой цепи не должно превышать 500 В.</w:t>
      </w:r>
    </w:p>
    <w:p>
      <w:pPr>
        <w:pStyle w:val="Normal"/>
        <w:shd w:fill="FFFFFF" w:val="clear"/>
        <w:ind w:firstLine="283"/>
        <w:jc w:val="both"/>
        <w:rPr/>
      </w:pPr>
      <w:r>
        <w:rPr/>
        <w:t>Питание отделяемой цепи должно быть выполнено от разделительного трансформатора, соответствующего ГОСТ 30030 «Трансформаторы разделительные и безопасные разделительные трансформаторы», или от другого источника, обеспечивающего равноценную степень безопасности.</w:t>
      </w:r>
    </w:p>
    <w:p>
      <w:pPr>
        <w:pStyle w:val="Normal"/>
        <w:shd w:fill="FFFFFF" w:val="clear"/>
        <w:ind w:firstLine="283"/>
        <w:jc w:val="both"/>
        <w:rPr/>
      </w:pPr>
      <w:r>
        <w:rP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pPr>
        <w:pStyle w:val="Normal"/>
        <w:shd w:fill="FFFFFF" w:val="clear"/>
        <w:ind w:firstLine="283"/>
        <w:jc w:val="both"/>
        <w:rPr/>
      </w:pPr>
      <w:r>
        <w:rPr/>
        <w:t>Проводники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pPr>
        <w:pStyle w:val="Normal"/>
        <w:shd w:fill="FFFFFF" w:val="clear"/>
        <w:ind w:firstLine="283"/>
        <w:jc w:val="both"/>
        <w:rPr/>
      </w:pPr>
      <w:r>
        <w:rP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pPr>
        <w:pStyle w:val="Normal"/>
        <w:shd w:fill="FFFFFF" w:val="clear"/>
        <w:ind w:firstLine="283"/>
        <w:jc w:val="both"/>
        <w:rPr/>
      </w:pPr>
      <w:r>
        <w:rPr/>
        <w:t>Допускается питание нескольких электроприемников от одного разделительного трансформатора при одновременном выполнении следующих условий:</w:t>
      </w:r>
    </w:p>
    <w:p>
      <w:pPr>
        <w:pStyle w:val="Normal"/>
        <w:shd w:fill="FFFFFF" w:val="clear"/>
        <w:ind w:firstLine="283"/>
        <w:jc w:val="both"/>
        <w:rPr/>
      </w:pPr>
      <w:r>
        <w:rPr/>
        <w:t>1) открытые проводящие части отделяемой цепи не должны иметь электрической связи с металлическим корпусом источника питания;</w:t>
      </w:r>
    </w:p>
    <w:p>
      <w:pPr>
        <w:pStyle w:val="Normal"/>
        <w:shd w:fill="FFFFFF" w:val="clear"/>
        <w:ind w:firstLine="283"/>
        <w:jc w:val="both"/>
        <w:rPr/>
      </w:pPr>
      <w:r>
        <w:rP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pPr>
        <w:pStyle w:val="Normal"/>
        <w:shd w:fill="FFFFFF" w:val="clear"/>
        <w:ind w:firstLine="283"/>
        <w:jc w:val="both"/>
        <w:rPr/>
      </w:pPr>
      <w:r>
        <w:rPr/>
        <w:t>3) все штепсельные розетки должны иметь защитный контакт, присоединенный к местной незаземленной системе уравнивания потенциалов;</w:t>
      </w:r>
    </w:p>
    <w:p>
      <w:pPr>
        <w:pStyle w:val="Normal"/>
        <w:shd w:fill="FFFFFF" w:val="clear"/>
        <w:ind w:firstLine="283"/>
        <w:jc w:val="both"/>
        <w:rPr/>
      </w:pPr>
      <w:r>
        <w:rP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pPr>
        <w:pStyle w:val="Normal"/>
        <w:shd w:fill="FFFFFF" w:val="clear"/>
        <w:ind w:firstLine="283"/>
        <w:jc w:val="both"/>
        <w:rPr/>
      </w:pPr>
      <w:r>
        <w:rPr/>
        <w:t>5) время отключения устройством защиты при двухфазном замыкании на открытые проводящие части не должно превышать время, указанное в табл. 1.7.2.</w:t>
      </w:r>
    </w:p>
    <w:p>
      <w:pPr>
        <w:pStyle w:val="Normal"/>
        <w:shd w:fill="FFFFFF" w:val="clear"/>
        <w:ind w:firstLine="283"/>
        <w:jc w:val="both"/>
        <w:rPr/>
      </w:pPr>
      <w:r>
        <w:rPr>
          <w:b/>
          <w:bCs/>
        </w:rPr>
        <w:t>1.7.86.</w:t>
      </w:r>
      <w:r>
        <w:rPr/>
        <w:t xml:space="preserve"> </w:t>
      </w:r>
      <w:r>
        <w:rPr>
          <w:spacing w:val="50"/>
        </w:rPr>
        <w:t>Изолирующие (непроводящие) помещения, зоны и площадки</w:t>
      </w:r>
      <w:r>
        <w:rPr/>
        <w:t xml:space="preserve">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либо нецелесообразно.</w:t>
      </w:r>
    </w:p>
    <w:p>
      <w:pPr>
        <w:pStyle w:val="Normal"/>
        <w:shd w:fill="FFFFFF" w:val="clear"/>
        <w:ind w:firstLine="283"/>
        <w:jc w:val="both"/>
        <w:rPr/>
      </w:pPr>
      <w:r>
        <w:rPr/>
        <w:t>Сопротивление относительно локальной земли изолирующего пола и стен таких помещений, зон и площадок в любой точке должно быть не менее:</w:t>
      </w:r>
    </w:p>
    <w:p>
      <w:pPr>
        <w:pStyle w:val="Normal"/>
        <w:shd w:fill="FFFFFF" w:val="clear"/>
        <w:ind w:firstLine="283"/>
        <w:jc w:val="both"/>
        <w:rPr/>
      </w:pPr>
      <w:r>
        <w:rPr/>
        <w:t>50 кОм при номинальном напряжении электроустановки до 500 В включительно, измеренное мегаомметром на напряжение 500 В;</w:t>
      </w:r>
    </w:p>
    <w:p>
      <w:pPr>
        <w:pStyle w:val="Normal"/>
        <w:shd w:fill="FFFFFF" w:val="clear"/>
        <w:ind w:firstLine="283"/>
        <w:jc w:val="both"/>
        <w:rPr/>
      </w:pPr>
      <w:r>
        <w:rPr/>
        <w:t>100 кОм при номинальном напряжении электроустановки более 500 В, измеренное мегаомметром на напряжение 1000 В.</w:t>
      </w:r>
    </w:p>
    <w:p>
      <w:pPr>
        <w:pStyle w:val="Normal"/>
        <w:shd w:fill="FFFFFF" w:val="clear"/>
        <w:ind w:firstLine="283"/>
        <w:jc w:val="both"/>
        <w:rPr/>
      </w:pPr>
      <w:r>
        <w:rP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pPr>
        <w:pStyle w:val="Normal"/>
        <w:shd w:fill="FFFFFF" w:val="clear"/>
        <w:ind w:firstLine="283"/>
        <w:jc w:val="both"/>
        <w:rPr/>
      </w:pPr>
      <w:r>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pPr>
        <w:pStyle w:val="Normal"/>
        <w:shd w:fill="FFFFFF" w:val="clear"/>
        <w:ind w:firstLine="283"/>
        <w:jc w:val="both"/>
        <w:rPr/>
      </w:pPr>
      <w:r>
        <w:rPr/>
        <w:t>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p>
      <w:pPr>
        <w:pStyle w:val="Normal"/>
        <w:shd w:fill="FFFFFF" w:val="clear"/>
        <w:ind w:firstLine="283"/>
        <w:jc w:val="both"/>
        <w:rPr/>
      </w:pPr>
      <w:r>
        <w:rPr/>
        <w:t>2) открытые проводящие 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pPr>
        <w:pStyle w:val="Normal"/>
        <w:shd w:fill="FFFFFF" w:val="clear"/>
        <w:ind w:firstLine="283"/>
        <w:jc w:val="both"/>
        <w:rPr/>
      </w:pPr>
      <w:r>
        <w:rPr/>
        <w:t>3) сторонние проводящие части покрыты изоляцией, выдерживающей испытательное напряжение не менее 2 кВ в течение 1 мин.</w:t>
      </w:r>
    </w:p>
    <w:p>
      <w:pPr>
        <w:pStyle w:val="Normal"/>
        <w:shd w:fill="FFFFFF" w:val="clear"/>
        <w:ind w:firstLine="283"/>
        <w:jc w:val="both"/>
        <w:rPr/>
      </w:pPr>
      <w:r>
        <w:rPr/>
        <w:t>В изолирующих помещениях (зонах) не должен предусматриваться защитный проводник.</w:t>
      </w:r>
    </w:p>
    <w:p>
      <w:pPr>
        <w:pStyle w:val="Normal"/>
        <w:shd w:fill="FFFFFF" w:val="clear"/>
        <w:ind w:firstLine="283"/>
        <w:jc w:val="both"/>
        <w:rPr/>
      </w:pPr>
      <w:r>
        <w:rPr/>
        <w:t>Должны быть предусмотрены меры против заноса потенциала на сторонние проводящие части помещения извне.</w:t>
      </w:r>
    </w:p>
    <w:p>
      <w:pPr>
        <w:pStyle w:val="Normal"/>
        <w:shd w:fill="FFFFFF" w:val="clear"/>
        <w:ind w:firstLine="283"/>
        <w:jc w:val="both"/>
        <w:rPr/>
      </w:pPr>
      <w:r>
        <w:rPr/>
        <w:t>Пол и стены таких помещений не должны подвергаться воздействию влаги.</w:t>
      </w:r>
    </w:p>
    <w:p>
      <w:pPr>
        <w:pStyle w:val="Normal"/>
        <w:shd w:fill="FFFFFF" w:val="clear"/>
        <w:ind w:firstLine="283"/>
        <w:jc w:val="both"/>
        <w:rPr/>
      </w:pPr>
      <w:r>
        <w:rPr>
          <w:b/>
          <w:bCs/>
        </w:rPr>
        <w:t>1.7.87.</w:t>
      </w:r>
      <w:r>
        <w:rPr/>
        <w:t xml:space="preserve">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ГОСТ 12.2.007.0 «ССБТ. Изделия электротехнические. Общие требования безопасности» следует принимать в соответствии с табл. 1.7.3.</w:t>
      </w:r>
    </w:p>
    <w:p>
      <w:pPr>
        <w:pStyle w:val="Normal"/>
        <w:shd w:fill="FFFFFF" w:val="clear"/>
        <w:spacing w:before="120" w:after="120"/>
        <w:jc w:val="right"/>
        <w:rPr>
          <w:i/>
          <w:i/>
          <w:iCs/>
        </w:rPr>
      </w:pPr>
      <w:r>
        <w:rPr>
          <w:i/>
          <w:iCs/>
        </w:rPr>
        <w:t>Таблица 1.7.3</w:t>
      </w:r>
    </w:p>
    <w:p>
      <w:pPr>
        <w:pStyle w:val="Normal"/>
        <w:shd w:fill="FFFFFF" w:val="clear"/>
        <w:spacing w:before="0" w:after="120"/>
        <w:jc w:val="center"/>
        <w:rPr>
          <w:b/>
          <w:b/>
          <w:bCs/>
        </w:rPr>
      </w:pPr>
      <w:r>
        <w:rPr>
          <w:b/>
          <w:bCs/>
        </w:rPr>
        <w:t>Применение электрооборудования в электроустановках напряжением до 1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709"/>
        <w:gridCol w:w="2118"/>
        <w:gridCol w:w="1835"/>
        <w:gridCol w:w="3693"/>
      </w:tblGrid>
      <w:tr>
        <w:trPr>
          <w:tblHeader w:val="true"/>
        </w:trPr>
        <w:tc>
          <w:tcPr>
            <w:tcW w:w="1709"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Класс по ГОСТ 12.2.007.0 Р МЭК536</w:t>
            </w:r>
          </w:p>
        </w:tc>
        <w:tc>
          <w:tcPr>
            <w:tcW w:w="2118"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Маркировка</w:t>
            </w:r>
          </w:p>
        </w:tc>
        <w:tc>
          <w:tcPr>
            <w:tcW w:w="1835"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Назначение защиты</w:t>
            </w:r>
          </w:p>
        </w:tc>
        <w:tc>
          <w:tcPr>
            <w:tcW w:w="369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Условия применения электрооборудования в электроустановке</w:t>
            </w:r>
          </w:p>
        </w:tc>
      </w:tr>
      <w:tr>
        <w:trPr/>
        <w:tc>
          <w:tcPr>
            <w:tcW w:w="17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both"/>
              <w:rPr/>
            </w:pPr>
            <w:r>
              <w:rPr/>
              <w:t>Класс 0</w:t>
            </w:r>
          </w:p>
        </w:tc>
        <w:tc>
          <w:tcPr>
            <w:tcW w:w="211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w:t>
            </w:r>
          </w:p>
        </w:tc>
        <w:tc>
          <w:tcPr>
            <w:tcW w:w="18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При косвенном прикосновении</w:t>
            </w:r>
          </w:p>
        </w:tc>
        <w:tc>
          <w:tcPr>
            <w:tcW w:w="369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both"/>
              <w:rPr/>
            </w:pPr>
            <w:r>
              <w:rPr/>
              <w:t>1. Применение в непроводящих помещениях.</w:t>
            </w:r>
          </w:p>
          <w:p>
            <w:pPr>
              <w:pStyle w:val="Normal"/>
              <w:shd w:fill="FFFFFF" w:val="clear"/>
              <w:jc w:val="both"/>
              <w:rPr/>
            </w:pPr>
            <w:r>
              <w:rPr/>
              <w:t>2. Питание от вторичной обмотки разделительного трансформатора только одного электроприемника</w:t>
            </w:r>
          </w:p>
        </w:tc>
      </w:tr>
      <w:tr>
        <w:trPr/>
        <w:tc>
          <w:tcPr>
            <w:tcW w:w="17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both"/>
              <w:rPr/>
            </w:pPr>
            <w:r>
              <w:rPr/>
              <w:t>Класс I</w:t>
            </w:r>
          </w:p>
        </w:tc>
        <w:tc>
          <w:tcPr>
            <w:tcW w:w="211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 xml:space="preserve">Защитный зажим - знак </w:t>
            </w:r>
            <w:r>
              <w:rPr>
                <w:vertAlign w:val="subscript"/>
              </w:rPr>
              <w:drawing>
                <wp:inline distT="0" distB="0" distL="0" distR="0">
                  <wp:extent cx="278130" cy="246380"/>
                  <wp:effectExtent l="0" t="0" r="0" b="0"/>
                  <wp:docPr id="1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pic:cNvPicPr>
                            <a:picLocks noChangeAspect="1" noChangeArrowheads="1"/>
                          </pic:cNvPicPr>
                        </pic:nvPicPr>
                        <pic:blipFill>
                          <a:blip r:embed="rId19"/>
                          <a:srcRect l="-130" t="-145" r="-130" b="-145"/>
                          <a:stretch>
                            <a:fillRect/>
                          </a:stretch>
                        </pic:blipFill>
                        <pic:spPr bwMode="auto">
                          <a:xfrm>
                            <a:off x="0" y="0"/>
                            <a:ext cx="278130" cy="246380"/>
                          </a:xfrm>
                          <a:prstGeom prst="rect">
                            <a:avLst/>
                          </a:prstGeom>
                        </pic:spPr>
                      </pic:pic>
                    </a:graphicData>
                  </a:graphic>
                </wp:inline>
              </w:drawing>
            </w:r>
            <w:r>
              <w:rPr/>
              <w:t xml:space="preserve"> или буквы </w:t>
            </w:r>
            <w:r>
              <w:rPr>
                <w:i/>
                <w:iCs/>
              </w:rPr>
              <w:t xml:space="preserve">РЕ, </w:t>
            </w:r>
            <w:r>
              <w:rPr/>
              <w:t>или желто-зеленые полосы</w:t>
            </w:r>
          </w:p>
        </w:tc>
        <w:tc>
          <w:tcPr>
            <w:tcW w:w="18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При косвенном прикосновении</w:t>
            </w:r>
          </w:p>
        </w:tc>
        <w:tc>
          <w:tcPr>
            <w:tcW w:w="369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both"/>
              <w:rPr/>
            </w:pPr>
            <w:r>
              <w:rPr/>
              <w:t>Присоединение заземляющего зажима электрооборудования к защитному проводнику электроустановки</w:t>
            </w:r>
          </w:p>
        </w:tc>
      </w:tr>
      <w:tr>
        <w:trPr/>
        <w:tc>
          <w:tcPr>
            <w:tcW w:w="17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both"/>
              <w:rPr/>
            </w:pPr>
            <w:r>
              <w:rPr/>
              <w:t>Класс II</w:t>
            </w:r>
          </w:p>
        </w:tc>
        <w:tc>
          <w:tcPr>
            <w:tcW w:w="211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 xml:space="preserve">Знак </w:t>
            </w:r>
            <w:r>
              <w:rPr>
                <w:vertAlign w:val="subscript"/>
              </w:rPr>
              <w:drawing>
                <wp:inline distT="0" distB="0" distL="0" distR="0">
                  <wp:extent cx="254000" cy="269875"/>
                  <wp:effectExtent l="0" t="0" r="0" b="0"/>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20"/>
                          <a:srcRect l="-140" t="-134" r="-140" b="-134"/>
                          <a:stretch>
                            <a:fillRect/>
                          </a:stretch>
                        </pic:blipFill>
                        <pic:spPr bwMode="auto">
                          <a:xfrm>
                            <a:off x="0" y="0"/>
                            <a:ext cx="254000" cy="269875"/>
                          </a:xfrm>
                          <a:prstGeom prst="rect">
                            <a:avLst/>
                          </a:prstGeom>
                        </pic:spPr>
                      </pic:pic>
                    </a:graphicData>
                  </a:graphic>
                </wp:inline>
              </w:drawing>
            </w:r>
          </w:p>
        </w:tc>
        <w:tc>
          <w:tcPr>
            <w:tcW w:w="18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При косвенном прикосновении</w:t>
            </w:r>
          </w:p>
        </w:tc>
        <w:tc>
          <w:tcPr>
            <w:tcW w:w="369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both"/>
              <w:rPr/>
            </w:pPr>
            <w:r>
              <w:rPr/>
              <w:t>Независимо от мер защиты, принятых в электроустановке</w:t>
            </w:r>
          </w:p>
        </w:tc>
      </w:tr>
      <w:tr>
        <w:trPr/>
        <w:tc>
          <w:tcPr>
            <w:tcW w:w="17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both"/>
              <w:rPr/>
            </w:pPr>
            <w:r>
              <w:rPr/>
              <w:t>Класс III</w:t>
            </w:r>
          </w:p>
        </w:tc>
        <w:tc>
          <w:tcPr>
            <w:tcW w:w="211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 xml:space="preserve">Знак </w:t>
            </w:r>
            <w:r>
              <w:rPr>
                <w:vertAlign w:val="subscript"/>
              </w:rPr>
              <w:drawing>
                <wp:inline distT="0" distB="0" distL="0" distR="0">
                  <wp:extent cx="325755" cy="317500"/>
                  <wp:effectExtent l="0" t="0" r="0" b="0"/>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21"/>
                          <a:srcRect l="-111" t="-114" r="-111" b="-114"/>
                          <a:stretch>
                            <a:fillRect/>
                          </a:stretch>
                        </pic:blipFill>
                        <pic:spPr bwMode="auto">
                          <a:xfrm>
                            <a:off x="0" y="0"/>
                            <a:ext cx="325755" cy="317500"/>
                          </a:xfrm>
                          <a:prstGeom prst="rect">
                            <a:avLst/>
                          </a:prstGeom>
                        </pic:spPr>
                      </pic:pic>
                    </a:graphicData>
                  </a:graphic>
                </wp:inline>
              </w:drawing>
            </w:r>
          </w:p>
        </w:tc>
        <w:tc>
          <w:tcPr>
            <w:tcW w:w="18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both"/>
              <w:rPr/>
            </w:pPr>
            <w:r>
              <w:rPr/>
              <w:t>От прямого и косвенного прикосновений</w:t>
            </w:r>
          </w:p>
        </w:tc>
        <w:tc>
          <w:tcPr>
            <w:tcW w:w="369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both"/>
              <w:rPr/>
            </w:pPr>
            <w:r>
              <w:rPr/>
              <w:t>Питание от безопасного разделительного трансформатора</w:t>
            </w:r>
          </w:p>
        </w:tc>
      </w:tr>
    </w:tbl>
    <w:p>
      <w:pPr>
        <w:pStyle w:val="Heading3"/>
        <w:rPr/>
      </w:pPr>
      <w:r>
        <w:rPr/>
        <w:t>Заземляющие устройства электроустановок напряжением выше 1 кВ в сетях с эффективно заземленной нейтралью</w:t>
      </w:r>
    </w:p>
    <w:p>
      <w:pPr>
        <w:pStyle w:val="Normal"/>
        <w:shd w:fill="FFFFFF" w:val="clear"/>
        <w:ind w:firstLine="283"/>
        <w:jc w:val="both"/>
        <w:rPr/>
      </w:pPr>
      <w:r>
        <w:rPr>
          <w:b/>
          <w:bCs/>
        </w:rPr>
        <w:t>1.7.88.</w:t>
      </w:r>
      <w:r>
        <w:rPr/>
        <w:t xml:space="preserve">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(см. </w:t>
      </w:r>
      <w:r>
        <w:rPr>
          <w:b/>
          <w:bCs/>
        </w:rPr>
        <w:t>1.7.90</w:t>
      </w:r>
      <w:r>
        <w:rPr/>
        <w:t xml:space="preserve">), либо к напряжению прикосновения (см. </w:t>
      </w:r>
      <w:r>
        <w:rPr>
          <w:b/>
          <w:bCs/>
        </w:rPr>
        <w:t>1.7.91</w:t>
      </w:r>
      <w:r>
        <w:rPr/>
        <w:t xml:space="preserve">), а также с соблюдением требований к конструктивному выполнению (см. </w:t>
      </w:r>
      <w:r>
        <w:rPr>
          <w:b/>
          <w:bCs/>
        </w:rPr>
        <w:t>1.7.92-1.7.93</w:t>
      </w:r>
      <w:r>
        <w:rPr/>
        <w:t xml:space="preserve">) и к ограничению напряжения на заземляющем устройстве (см. </w:t>
      </w:r>
      <w:r>
        <w:rPr>
          <w:b/>
          <w:bCs/>
        </w:rPr>
        <w:t>1.7.89</w:t>
      </w:r>
      <w:r>
        <w:rPr/>
        <w:t xml:space="preserve">). Требования </w:t>
      </w:r>
      <w:r>
        <w:rPr>
          <w:b/>
          <w:bCs/>
        </w:rPr>
        <w:t>1.7.89</w:t>
      </w:r>
      <w:r>
        <w:rPr/>
        <w:t>-</w:t>
      </w:r>
      <w:r>
        <w:rPr>
          <w:b/>
          <w:bCs/>
        </w:rPr>
        <w:t>1.7.93</w:t>
      </w:r>
      <w:r>
        <w:rPr/>
        <w:t xml:space="preserve"> не распространяются на заземляющие устройства опор ВЛ.</w:t>
      </w:r>
    </w:p>
    <w:p>
      <w:pPr>
        <w:pStyle w:val="Normal"/>
        <w:shd w:fill="FFFFFF" w:val="clear"/>
        <w:ind w:firstLine="283"/>
        <w:jc w:val="both"/>
        <w:rPr/>
      </w:pPr>
      <w:r>
        <w:rPr>
          <w:b/>
          <w:bCs/>
        </w:rPr>
        <w:t>1.7.89</w:t>
      </w:r>
      <w:r>
        <w:rPr/>
        <w:t>.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pPr>
        <w:pStyle w:val="Normal"/>
        <w:shd w:fill="FFFFFF" w:val="clear"/>
        <w:ind w:firstLine="283"/>
        <w:jc w:val="both"/>
        <w:rPr/>
      </w:pPr>
      <w:r>
        <w:rPr>
          <w:b/>
          <w:bCs/>
        </w:rPr>
        <w:t xml:space="preserve">1.7.90. </w:t>
      </w:r>
      <w:r>
        <w:rPr/>
        <w:t>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pPr>
        <w:pStyle w:val="Normal"/>
        <w:shd w:fill="FFFFFF" w:val="clear"/>
        <w:ind w:firstLine="283"/>
        <w:jc w:val="both"/>
        <w:rPr/>
      </w:pPr>
      <w:r>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pPr>
        <w:pStyle w:val="Normal"/>
        <w:shd w:fill="FFFFFF" w:val="clear"/>
        <w:ind w:firstLine="283"/>
        <w:jc w:val="both"/>
        <w:rPr/>
      </w:pPr>
      <w:r>
        <w:rPr/>
        <w:t>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3,0 м.</w:t>
      </w:r>
    </w:p>
    <w:p>
      <w:pPr>
        <w:pStyle w:val="Normal"/>
        <w:shd w:fill="FFFFFF" w:val="clear"/>
        <w:ind w:firstLine="283"/>
        <w:jc w:val="both"/>
        <w:rPr/>
      </w:pPr>
      <w:r>
        <w:rPr/>
        <w:t>Поперечные заземлители следует прокладывать в удобных местах между оборудованием на глубине 0,5-0,7 м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w:t>
      </w:r>
      <w:r>
        <w:rPr>
          <w:rFonts w:cs="Symbol" w:ascii="Symbol" w:hAnsi="Symbol"/>
        </w:rPr>
        <w:t></w:t>
      </w:r>
      <w:r>
        <w:rPr/>
        <w:t>6 м.</w:t>
      </w:r>
    </w:p>
    <w:p>
      <w:pPr>
        <w:pStyle w:val="Normal"/>
        <w:shd w:fill="FFFFFF" w:val="clear"/>
        <w:ind w:firstLine="283"/>
        <w:jc w:val="both"/>
        <w:rPr/>
      </w:pPr>
      <w:r>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pPr>
        <w:pStyle w:val="Normal"/>
        <w:shd w:fill="FFFFFF" w:val="clear"/>
        <w:ind w:firstLine="283"/>
        <w:jc w:val="both"/>
        <w:rPr/>
      </w:pPr>
      <w:r>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p>
      <w:pPr>
        <w:pStyle w:val="Normal"/>
        <w:shd w:fill="FFFFFF" w:val="clear"/>
        <w:ind w:firstLine="283"/>
        <w:jc w:val="both"/>
        <w:rPr/>
      </w:pPr>
      <w:r>
        <w:rPr>
          <w:b/>
          <w:bCs/>
        </w:rPr>
        <w:t xml:space="preserve">1.7.91. </w:t>
      </w:r>
      <w:r>
        <w:rPr/>
        <w:t>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ГОСТ 12.1.038). Сопротивление заземляющего устройства при этом определяется по допустимому напряжению на заземляющем устройстве и току замыкания на землю.</w:t>
      </w:r>
    </w:p>
    <w:p>
      <w:pPr>
        <w:pStyle w:val="Normal"/>
        <w:shd w:fill="FFFFFF" w:val="clear"/>
        <w:ind w:firstLine="283"/>
        <w:jc w:val="both"/>
        <w:rPr/>
      </w:pPr>
      <w:r>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pPr>
        <w:pStyle w:val="Normal"/>
        <w:shd w:fill="FFFFFF" w:val="clear"/>
        <w:spacing w:before="120" w:after="120"/>
        <w:ind w:firstLine="283"/>
        <w:jc w:val="both"/>
        <w:rPr/>
      </w:pPr>
      <w:r>
        <w:rPr>
          <w:i/>
          <w:iCs/>
        </w:rPr>
        <w:t xml:space="preserve">Примечание. </w:t>
      </w:r>
      <w:r>
        <w:rPr>
          <w:spacing w:val="50"/>
        </w:rPr>
        <w:t>Рабочее место</w:t>
      </w:r>
      <w:r>
        <w:rPr/>
        <w:t xml:space="preserve"> следует понимать как </w:t>
      </w:r>
      <w:r>
        <w:rPr>
          <w:spacing w:val="50"/>
        </w:rPr>
        <w:t>место оперативного обслуживания электрических аппаратов.</w:t>
      </w:r>
    </w:p>
    <w:p>
      <w:pPr>
        <w:pStyle w:val="Normal"/>
        <w:shd w:fill="FFFFFF" w:val="clear"/>
        <w:ind w:firstLine="283"/>
        <w:jc w:val="both"/>
        <w:rPr/>
      </w:pPr>
      <w:r>
        <w:rPr/>
        <w:t>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30 м, а глубина их заложения в грунт должна быть не менее 0,3 м. Для снижения напряжения прикосновения у рабочих мест в необходимых случаях может быть выполнена подсыпка щебня слоем толщиной 0,1-0,2 м.</w:t>
      </w:r>
    </w:p>
    <w:p>
      <w:pPr>
        <w:pStyle w:val="Normal"/>
        <w:shd w:fill="FFFFFF" w:val="clear"/>
        <w:ind w:firstLine="283"/>
        <w:jc w:val="both"/>
        <w:rPr/>
      </w:pPr>
      <w:r>
        <w:rPr/>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pPr>
        <w:pStyle w:val="Normal"/>
        <w:shd w:fill="FFFFFF" w:val="clear"/>
        <w:ind w:firstLine="283"/>
        <w:jc w:val="both"/>
        <w:rPr/>
      </w:pPr>
      <w:r>
        <w:rPr>
          <w:b/>
          <w:bCs/>
        </w:rPr>
        <w:t>1.7.92.</w:t>
      </w:r>
      <w:r>
        <w:rPr/>
        <w:t xml:space="preserve">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r>
        <w:rPr>
          <w:b/>
          <w:bCs/>
        </w:rPr>
        <w:t xml:space="preserve">1.7.90-1.7.91 </w:t>
      </w:r>
      <w:r>
        <w:rPr/>
        <w:t>следует:</w:t>
      </w:r>
    </w:p>
    <w:p>
      <w:pPr>
        <w:pStyle w:val="Normal"/>
        <w:shd w:fill="FFFFFF" w:val="clear"/>
        <w:ind w:firstLine="283"/>
        <w:jc w:val="both"/>
        <w:rPr/>
      </w:pPr>
      <w:r>
        <w:rPr/>
        <w:t>прокладывать заземляющие проводники, присоединяющие оборудование или конструкции к заземлителю, в земле на глубине не менее 0,3 м;</w:t>
      </w:r>
    </w:p>
    <w:p>
      <w:pPr>
        <w:pStyle w:val="Normal"/>
        <w:shd w:fill="FFFFFF" w:val="clear"/>
        <w:ind w:firstLine="283"/>
        <w:jc w:val="both"/>
        <w:rPr/>
      </w:pPr>
      <w:r>
        <w:rP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pPr>
        <w:pStyle w:val="Normal"/>
        <w:shd w:fill="FFFFFF" w:val="clear"/>
        <w:ind w:firstLine="283"/>
        <w:jc w:val="both"/>
        <w:rPr/>
      </w:pPr>
      <w:r>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скругленными углами.</w:t>
      </w:r>
    </w:p>
    <w:p>
      <w:pPr>
        <w:pStyle w:val="Normal"/>
        <w:shd w:fill="FFFFFF" w:val="clear"/>
        <w:ind w:firstLine="283"/>
        <w:jc w:val="both"/>
        <w:rPr/>
      </w:pPr>
      <w:r>
        <w:rPr>
          <w:b/>
          <w:bCs/>
        </w:rPr>
        <w:t>1.7.93.</w:t>
      </w:r>
      <w:r>
        <w:rPr/>
        <w:t xml:space="preserve"> Внешнюю ограду электроустановок не рекомендуется присоединять к заземляющему устройству.</w:t>
      </w:r>
    </w:p>
    <w:p>
      <w:pPr>
        <w:pStyle w:val="Normal"/>
        <w:shd w:fill="FFFFFF" w:val="clear"/>
        <w:ind w:firstLine="283"/>
        <w:jc w:val="both"/>
        <w:rPr/>
      </w:pPr>
      <w:r>
        <w:rPr/>
        <w:t>Если от электроустановки отходят ВЛ 110 кВ и выше, то ограду следует заземлить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pPr>
        <w:pStyle w:val="Normal"/>
        <w:shd w:fill="FFFFFF" w:val="clear"/>
        <w:ind w:firstLine="283"/>
        <w:jc w:val="both"/>
        <w:rPr/>
      </w:pPr>
      <w:r>
        <w:rPr/>
        <w:t>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2 м.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p>
    <w:p>
      <w:pPr>
        <w:pStyle w:val="Normal"/>
        <w:shd w:fill="FFFFFF" w:val="clear"/>
        <w:ind w:firstLine="283"/>
        <w:jc w:val="both"/>
        <w:rPr/>
      </w:pPr>
      <w:r>
        <w:rP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pPr>
        <w:pStyle w:val="Normal"/>
        <w:shd w:fill="FFFFFF" w:val="clear"/>
        <w:ind w:firstLine="283"/>
        <w:jc w:val="both"/>
        <w:rPr/>
      </w:pPr>
      <w:r>
        <w:rPr/>
        <w:t>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1 м от нее и на глубине 1 м. Этот заземлитель следует присоединять к заземляющему устройству не менее чем в четырех точках.</w:t>
      </w:r>
    </w:p>
    <w:p>
      <w:pPr>
        <w:pStyle w:val="Normal"/>
        <w:shd w:fill="FFFFFF" w:val="clear"/>
        <w:ind w:firstLine="283"/>
        <w:jc w:val="both"/>
        <w:rPr/>
      </w:pPr>
      <w:r>
        <w:rPr>
          <w:b/>
          <w:bCs/>
        </w:rPr>
        <w:t xml:space="preserve">1.7.94. </w:t>
      </w:r>
      <w:r>
        <w:rPr/>
        <w:t>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pPr>
        <w:pStyle w:val="Normal"/>
        <w:shd w:fill="FFFFFF" w:val="clear"/>
        <w:ind w:firstLine="283"/>
        <w:jc w:val="both"/>
        <w:rPr/>
      </w:pPr>
      <w:r>
        <w:rPr/>
        <w:t>1) прокладка в земле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p>
      <w:pPr>
        <w:pStyle w:val="Normal"/>
        <w:shd w:fill="FFFFFF" w:val="clear"/>
        <w:ind w:firstLine="283"/>
        <w:jc w:val="both"/>
        <w:rPr/>
      </w:pPr>
      <w:r>
        <w:rPr/>
        <w:t xml:space="preserve">2) использование железобетонных фундаментов в качестве заземлителей в соответствии с </w:t>
      </w:r>
      <w:r>
        <w:rPr>
          <w:b/>
          <w:bCs/>
        </w:rPr>
        <w:t xml:space="preserve">1.7.109, </w:t>
      </w:r>
      <w:r>
        <w:rPr/>
        <w:t xml:space="preserve">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w:t>
      </w:r>
      <w:r>
        <w:rPr>
          <w:bCs/>
          <w:kern w:val="2"/>
        </w:rPr>
        <w:t>ГОСТ 12.1.030</w:t>
      </w:r>
      <w:r>
        <w:rPr/>
        <w:t xml:space="preserve"> «Электробезопасность. Защитное заземление, зануление».</w:t>
      </w:r>
    </w:p>
    <w:p>
      <w:pPr>
        <w:pStyle w:val="Normal"/>
        <w:shd w:fill="FFFFFF" w:val="clear"/>
        <w:ind w:firstLine="283"/>
        <w:jc w:val="both"/>
        <w:rPr/>
      </w:pPr>
      <w:r>
        <w:rPr/>
        <w:t xml:space="preserve">Не требуется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пп. 1, или соблюдено условие по пп. 2. При этом во всех случаях должны выполняться требования </w:t>
      </w:r>
      <w:r>
        <w:rPr>
          <w:b/>
          <w:bCs/>
        </w:rPr>
        <w:t>1.7.95.</w:t>
      </w:r>
    </w:p>
    <w:p>
      <w:pPr>
        <w:pStyle w:val="Normal"/>
        <w:shd w:fill="FFFFFF" w:val="clear"/>
        <w:ind w:firstLine="283"/>
        <w:jc w:val="both"/>
        <w:rPr/>
      </w:pPr>
      <w:r>
        <w:rPr>
          <w:b/>
          <w:bCs/>
        </w:rPr>
        <w:t>1.7.95.</w:t>
      </w:r>
      <w:r>
        <w:rPr/>
        <w:t xml:space="preserve"> 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pPr>
        <w:pStyle w:val="Normal"/>
        <w:shd w:fill="FFFFFF" w:val="clear"/>
        <w:ind w:firstLine="283"/>
        <w:jc w:val="both"/>
        <w:rPr/>
      </w:pPr>
      <w:r>
        <w:rP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pPr>
        <w:pStyle w:val="Normal"/>
        <w:shd w:fill="FFFFFF" w:val="clear"/>
        <w:ind w:firstLine="283"/>
        <w:jc w:val="both"/>
        <w:rPr/>
      </w:pPr>
      <w:r>
        <w:rP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pPr>
        <w:pStyle w:val="Normal"/>
        <w:shd w:fill="FFFFFF" w:val="clear"/>
        <w:ind w:firstLine="283"/>
        <w:jc w:val="both"/>
        <w:rPr/>
      </w:pPr>
      <w:r>
        <w:rP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pPr>
        <w:pStyle w:val="Heading3"/>
        <w:rPr/>
      </w:pPr>
      <w:r>
        <w:rPr/>
        <w:t>Заземляющие устройства электроустановок напряжением выше 1 кВ в сетях с изолированной нейтралью</w:t>
      </w:r>
    </w:p>
    <w:p>
      <w:pPr>
        <w:pStyle w:val="Normal"/>
        <w:shd w:fill="FFFFFF" w:val="clear"/>
        <w:ind w:firstLine="283"/>
        <w:jc w:val="both"/>
        <w:rPr/>
      </w:pPr>
      <w:r>
        <w:rPr>
          <w:b/>
          <w:bCs/>
        </w:rPr>
        <w:t>1.7.96.</w:t>
      </w:r>
      <w:r>
        <w:rPr/>
        <w:t xml:space="preserve"> 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pPr>
        <w:pStyle w:val="Normal"/>
        <w:shd w:fill="FFFFFF" w:val="clear"/>
        <w:spacing w:before="120" w:after="120"/>
        <w:jc w:val="center"/>
        <w:rPr/>
      </w:pPr>
      <w:r>
        <w:rPr>
          <w:i/>
          <w:iCs/>
        </w:rPr>
        <w:t xml:space="preserve">R </w:t>
      </w:r>
      <w:r>
        <w:rPr>
          <w:rFonts w:cs="Symbol" w:ascii="Symbol" w:hAnsi="Symbol"/>
        </w:rPr>
        <w:t></w:t>
      </w:r>
      <w:r>
        <w:rPr/>
        <w:t xml:space="preserve"> 250/</w:t>
      </w:r>
      <w:r>
        <w:rPr>
          <w:i/>
          <w:iCs/>
        </w:rPr>
        <w:t>I</w:t>
      </w:r>
      <w:r>
        <w:rPr/>
        <w:t>,</w:t>
      </w:r>
    </w:p>
    <w:p>
      <w:pPr>
        <w:pStyle w:val="Normal"/>
        <w:shd w:fill="FFFFFF" w:val="clear"/>
        <w:jc w:val="both"/>
        <w:rPr/>
      </w:pPr>
      <w:r>
        <w:rPr/>
        <w:t xml:space="preserve">но не более 10 Ом, где </w:t>
      </w:r>
      <w:r>
        <w:rPr>
          <w:i/>
          <w:iCs/>
        </w:rPr>
        <w:t>I</w:t>
      </w:r>
      <w:r>
        <w:rPr/>
        <w:t xml:space="preserve"> - расчетный ток замыкания на землю, А.</w:t>
      </w:r>
    </w:p>
    <w:p>
      <w:pPr>
        <w:pStyle w:val="Normal"/>
        <w:shd w:fill="FFFFFF" w:val="clear"/>
        <w:ind w:firstLine="300"/>
        <w:jc w:val="both"/>
        <w:rPr/>
      </w:pPr>
      <w:r>
        <w:rPr/>
        <w:t>В качестве расчетного тока принимается:</w:t>
      </w:r>
    </w:p>
    <w:p>
      <w:pPr>
        <w:pStyle w:val="Normal"/>
        <w:shd w:fill="FFFFFF" w:val="clear"/>
        <w:ind w:firstLine="283"/>
        <w:jc w:val="both"/>
        <w:rPr/>
      </w:pPr>
      <w:r>
        <w:rPr/>
        <w:t>1) в сетях без компенсации емкостных токов - ток замыкания на землю;</w:t>
      </w:r>
    </w:p>
    <w:p>
      <w:pPr>
        <w:pStyle w:val="Normal"/>
        <w:shd w:fill="FFFFFF" w:val="clear"/>
        <w:ind w:firstLine="283"/>
        <w:jc w:val="both"/>
        <w:rPr/>
      </w:pPr>
      <w:r>
        <w:rPr/>
        <w:t>2) в сетях с компенсацией емкостных токов:</w:t>
      </w:r>
    </w:p>
    <w:p>
      <w:pPr>
        <w:pStyle w:val="Normal"/>
        <w:shd w:fill="FFFFFF" w:val="clear"/>
        <w:ind w:firstLine="283"/>
        <w:jc w:val="both"/>
        <w:rPr/>
      </w:pPr>
      <w:r>
        <w:rPr/>
        <w:t>для заземляющих устройств, к которым присоединены компенсирующие аппараты, - ток, равный 125 % номинального тока наиболее мощного из этих аппаратов;</w:t>
      </w:r>
    </w:p>
    <w:p>
      <w:pPr>
        <w:pStyle w:val="Normal"/>
        <w:shd w:fill="FFFFFF" w:val="clear"/>
        <w:ind w:firstLine="283"/>
        <w:jc w:val="both"/>
        <w:rPr/>
      </w:pPr>
      <w:r>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pPr>
        <w:pStyle w:val="Normal"/>
        <w:shd w:fill="FFFFFF" w:val="clear"/>
        <w:ind w:firstLine="283"/>
        <w:jc w:val="both"/>
        <w:rPr/>
      </w:pPr>
      <w:r>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pPr>
        <w:pStyle w:val="Normal"/>
        <w:shd w:fill="FFFFFF" w:val="clear"/>
        <w:ind w:firstLine="283"/>
        <w:jc w:val="both"/>
        <w:rPr/>
      </w:pPr>
      <w:r>
        <w:rPr>
          <w:b/>
          <w:bCs/>
        </w:rPr>
        <w:t>1.7.97.</w:t>
      </w:r>
      <w:r>
        <w:rPr/>
        <w:t xml:space="preserve">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Pr>
          <w:b/>
          <w:bCs/>
        </w:rPr>
        <w:t>1.7.104.</w:t>
      </w:r>
    </w:p>
    <w:p>
      <w:pPr>
        <w:pStyle w:val="Normal"/>
        <w:shd w:fill="FFFFFF" w:val="clear"/>
        <w:ind w:firstLine="283"/>
        <w:jc w:val="both"/>
        <w:rPr/>
      </w:pPr>
      <w:r>
        <w:rPr/>
        <w:t xml:space="preserve">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Pr>
          <w:b/>
          <w:bCs/>
        </w:rPr>
        <w:t xml:space="preserve">1.7.101 </w:t>
      </w:r>
      <w:r>
        <w:rPr/>
        <w:t>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1 км.</w:t>
      </w:r>
    </w:p>
    <w:p>
      <w:pPr>
        <w:pStyle w:val="Normal"/>
        <w:shd w:fill="FFFFFF" w:val="clear"/>
        <w:ind w:firstLine="283"/>
        <w:jc w:val="both"/>
        <w:rPr/>
      </w:pPr>
      <w:r>
        <w:rPr>
          <w:b/>
          <w:bCs/>
        </w:rPr>
        <w:t>1.7.98.</w:t>
      </w:r>
      <w:r>
        <w:rPr/>
        <w:t xml:space="preserve"> Для подстанций напряжением 6-10/0,4 кВ должно быть выполнено одно общее заземляющее устройство, к которому должны быть присоединены:</w:t>
      </w:r>
    </w:p>
    <w:p>
      <w:pPr>
        <w:pStyle w:val="Normal"/>
        <w:shd w:fill="FFFFFF" w:val="clear"/>
        <w:ind w:firstLine="283"/>
        <w:jc w:val="both"/>
        <w:rPr/>
      </w:pPr>
      <w:r>
        <w:rPr/>
        <w:t>1) нейтраль трансформатора на стороне напряжением до 1 кВ;</w:t>
      </w:r>
    </w:p>
    <w:p>
      <w:pPr>
        <w:pStyle w:val="Normal"/>
        <w:shd w:fill="FFFFFF" w:val="clear"/>
        <w:ind w:firstLine="283"/>
        <w:jc w:val="both"/>
        <w:rPr/>
      </w:pPr>
      <w:r>
        <w:rPr/>
        <w:t>2) корпус трансформатора;</w:t>
      </w:r>
    </w:p>
    <w:p>
      <w:pPr>
        <w:pStyle w:val="Normal"/>
        <w:shd w:fill="FFFFFF" w:val="clear"/>
        <w:ind w:firstLine="283"/>
        <w:jc w:val="both"/>
        <w:rPr/>
      </w:pPr>
      <w:r>
        <w:rPr/>
        <w:t>3) металлические оболочки и броня кабелей напряжением до 1 кВ и выше;</w:t>
      </w:r>
    </w:p>
    <w:p>
      <w:pPr>
        <w:pStyle w:val="Normal"/>
        <w:shd w:fill="FFFFFF" w:val="clear"/>
        <w:ind w:firstLine="283"/>
        <w:jc w:val="both"/>
        <w:rPr/>
      </w:pPr>
      <w:r>
        <w:rPr/>
        <w:t>4) открытые проводящие части электроустановок напряжением до 1 кВ и выше;</w:t>
      </w:r>
    </w:p>
    <w:p>
      <w:pPr>
        <w:pStyle w:val="Normal"/>
        <w:shd w:fill="FFFFFF" w:val="clear"/>
        <w:ind w:firstLine="283"/>
        <w:jc w:val="both"/>
        <w:rPr/>
      </w:pPr>
      <w:r>
        <w:rPr/>
        <w:t>5) сторонние проводящие части.</w:t>
      </w:r>
    </w:p>
    <w:p>
      <w:pPr>
        <w:pStyle w:val="Normal"/>
        <w:shd w:fill="FFFFFF" w:val="clear"/>
        <w:ind w:firstLine="283"/>
        <w:jc w:val="both"/>
        <w:rPr/>
      </w:pPr>
      <w:r>
        <w:rPr/>
        <w:t>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pPr>
        <w:pStyle w:val="Normal"/>
        <w:shd w:fill="FFFFFF" w:val="clear"/>
        <w:ind w:firstLine="283"/>
        <w:jc w:val="both"/>
        <w:rPr/>
      </w:pPr>
      <w:r>
        <w:rPr>
          <w:b/>
          <w:bCs/>
        </w:rPr>
        <w:t>1.7.99.</w:t>
      </w:r>
      <w:r>
        <w:rPr/>
        <w:t xml:space="preserve">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r>
        <w:rPr>
          <w:b/>
          <w:bCs/>
        </w:rPr>
        <w:t>1.7.89-1.7.90.</w:t>
      </w:r>
    </w:p>
    <w:p>
      <w:pPr>
        <w:pStyle w:val="Heading3"/>
        <w:rPr/>
      </w:pPr>
      <w:bookmarkStart w:id="4" w:name="_%D0%97%D0%B0%D0%B7%D0%B5%D0%BC%D0%BB%D1"/>
      <w:bookmarkEnd w:id="4"/>
      <w:r>
        <w:rPr/>
        <w:t>Заземляющие устройства электроустановок напряжением до 1 кВ в сетях с глухозаземленной нейтралью</w:t>
      </w:r>
    </w:p>
    <w:p>
      <w:pPr>
        <w:pStyle w:val="Normal"/>
        <w:shd w:fill="FFFFFF" w:val="clear"/>
        <w:ind w:firstLine="283"/>
        <w:jc w:val="both"/>
        <w:rPr/>
      </w:pPr>
      <w:r>
        <w:rPr>
          <w:b/>
          <w:bCs/>
        </w:rPr>
        <w:t>1.7.100.</w:t>
      </w:r>
      <w:r>
        <w:rPr/>
        <w:t xml:space="preserve">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pPr>
        <w:pStyle w:val="Normal"/>
        <w:shd w:fill="FFFFFF" w:val="clear"/>
        <w:ind w:firstLine="283"/>
        <w:jc w:val="both"/>
        <w:rPr/>
      </w:pPr>
      <w:r>
        <w:rP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pPr>
        <w:pStyle w:val="Normal"/>
        <w:shd w:fill="FFFFFF" w:val="clear"/>
        <w:ind w:firstLine="283"/>
        <w:jc w:val="both"/>
        <w:rPr/>
      </w:pPr>
      <w:r>
        <w:rP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pPr>
        <w:pStyle w:val="Normal"/>
        <w:shd w:fill="FFFFFF" w:val="clear"/>
        <w:ind w:firstLine="283"/>
        <w:jc w:val="both"/>
        <w:rPr/>
      </w:pPr>
      <w:r>
        <w:rP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pPr>
        <w:pStyle w:val="Normal"/>
        <w:shd w:fill="FFFFFF" w:val="clear"/>
        <w:ind w:firstLine="283"/>
        <w:jc w:val="both"/>
        <w:rPr/>
      </w:pPr>
      <w:r>
        <w:rP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pPr>
        <w:pStyle w:val="Normal"/>
        <w:shd w:fill="FFFFFF" w:val="clear"/>
        <w:ind w:firstLine="283"/>
        <w:jc w:val="both"/>
        <w:rPr/>
      </w:pPr>
      <w:r>
        <w:rPr/>
        <w:t xml:space="preserve">Если в </w:t>
      </w:r>
      <w:r>
        <w:rPr>
          <w:i/>
          <w:iCs/>
        </w:rPr>
        <w:t>PEN</w:t>
      </w:r>
      <w:r>
        <w:rPr/>
        <w:t xml:space="preserve">-проводнике, соединяющем нейтраль трансформатора или генератора с шиной </w:t>
      </w:r>
      <w:r>
        <w:rPr>
          <w:i/>
          <w:iCs/>
        </w:rPr>
        <w:t xml:space="preserve">PEN </w:t>
      </w:r>
      <w:r>
        <w:rP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i/>
          <w:iCs/>
        </w:rPr>
        <w:t>PEN-</w:t>
      </w:r>
      <w:r>
        <w:rPr/>
        <w:t xml:space="preserve">проводнику, по возможности сразу за трансформатором тока. В таком случае разделение </w:t>
      </w:r>
      <w:r>
        <w:rPr>
          <w:i/>
          <w:iCs/>
        </w:rPr>
        <w:t>PEN</w:t>
      </w:r>
      <w:r>
        <w:rPr/>
        <w:t xml:space="preserve">-проводника на </w:t>
      </w:r>
      <w:r>
        <w:rPr>
          <w:i/>
          <w:iCs/>
        </w:rPr>
        <w:t xml:space="preserve">РЕ- </w:t>
      </w:r>
      <w:r>
        <w:rPr/>
        <w:t xml:space="preserve">и </w:t>
      </w:r>
      <w:r>
        <w:rPr>
          <w:i/>
          <w:iCs/>
        </w:rPr>
        <w:t>N</w:t>
      </w:r>
      <w:r>
        <w:rPr/>
        <w:t xml:space="preserve">-проводники в системе </w:t>
      </w:r>
      <w:r>
        <w:rPr>
          <w:i/>
          <w:iCs/>
        </w:rPr>
        <w:t xml:space="preserve">TN-S </w:t>
      </w:r>
      <w:r>
        <w:rP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pPr>
        <w:pStyle w:val="Normal"/>
        <w:shd w:fill="FFFFFF" w:val="clear"/>
        <w:ind w:firstLine="283"/>
        <w:jc w:val="both"/>
        <w:rPr/>
      </w:pPr>
      <w:r>
        <w:rPr>
          <w:b/>
          <w:bCs/>
        </w:rPr>
        <w:t>1.7.101.</w:t>
      </w:r>
      <w:r>
        <w:rPr/>
        <w:t xml:space="preserve">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i/>
          <w:iCs/>
        </w:rPr>
        <w:t xml:space="preserve">PEN- </w:t>
      </w:r>
      <w:r>
        <w:rPr/>
        <w:t xml:space="preserve">или </w:t>
      </w:r>
      <w:r>
        <w:rPr>
          <w:i/>
          <w:iCs/>
        </w:rPr>
        <w:t>РЕ</w:t>
      </w:r>
      <w:r>
        <w:rPr/>
        <w:t>-проводника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pPr>
        <w:pStyle w:val="Normal"/>
        <w:shd w:fill="FFFFFF" w:val="clear"/>
        <w:ind w:firstLine="283"/>
        <w:jc w:val="both"/>
        <w:rPr/>
      </w:pPr>
      <w:r>
        <w:rPr/>
        <w:t xml:space="preserve">При удельном сопротивлении земли </w:t>
      </w:r>
      <w:r>
        <w:rPr>
          <w:rFonts w:cs="Symbol" w:ascii="Symbol" w:hAnsi="Symbol"/>
          <w:i/>
          <w:iCs/>
        </w:rPr>
        <w:t></w:t>
      </w:r>
      <w:r>
        <w:rPr/>
        <w:t xml:space="preserve"> &gt;100 Ом</w:t>
      </w:r>
      <w:r>
        <w:rPr>
          <w:rFonts w:cs="Symbol" w:ascii="Symbol" w:hAnsi="Symbol"/>
        </w:rPr>
        <w:t></w:t>
      </w:r>
      <w:r>
        <w:rPr/>
        <w:t>м допускается увеличивать указанные нормы в 0,01</w:t>
      </w:r>
      <w:r>
        <w:rPr>
          <w:rFonts w:cs="Symbol" w:ascii="Symbol" w:hAnsi="Symbol"/>
        </w:rPr>
        <w:t></w:t>
      </w:r>
      <w:r>
        <w:rPr/>
        <w:t xml:space="preserve"> раз, но не более десятикратного.</w:t>
      </w:r>
    </w:p>
    <w:p>
      <w:pPr>
        <w:pStyle w:val="Normal"/>
        <w:shd w:fill="FFFFFF" w:val="clear"/>
        <w:ind w:firstLine="283"/>
        <w:jc w:val="both"/>
        <w:rPr/>
      </w:pPr>
      <w:r>
        <w:rPr>
          <w:b/>
          <w:bCs/>
        </w:rPr>
        <w:t>1.7.102.</w:t>
      </w:r>
      <w:r>
        <w:rPr/>
        <w:t xml:space="preserve"> На концах ВЛ или ответвлений от них длиной более 200 м,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i/>
          <w:iCs/>
        </w:rPr>
        <w:t>PEN</w:t>
      </w:r>
      <w:r>
        <w:rPr/>
        <w:t>-проводника.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pPr>
        <w:pStyle w:val="Normal"/>
        <w:shd w:fill="FFFFFF" w:val="clear"/>
        <w:ind w:firstLine="283"/>
        <w:jc w:val="both"/>
        <w:rPr/>
      </w:pPr>
      <w:r>
        <w:rPr/>
        <w:t>Указанные повторные заземления выполняются, если более частые заземления по условиям защиты от грозовых перенапряжений не требуются.</w:t>
      </w:r>
    </w:p>
    <w:p>
      <w:pPr>
        <w:pStyle w:val="Normal"/>
        <w:shd w:fill="FFFFFF" w:val="clear"/>
        <w:ind w:firstLine="283"/>
        <w:jc w:val="both"/>
        <w:rPr/>
      </w:pPr>
      <w:r>
        <w:rPr/>
        <w:t xml:space="preserve">Повторные заземления </w:t>
      </w:r>
      <w:r>
        <w:rPr>
          <w:i/>
          <w:iCs/>
        </w:rPr>
        <w:t>PEN</w:t>
      </w:r>
      <w:r>
        <w:rP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pPr>
        <w:pStyle w:val="Normal"/>
        <w:shd w:fill="FFFFFF" w:val="clear"/>
        <w:ind w:firstLine="283"/>
        <w:jc w:val="both"/>
        <w:rPr/>
      </w:pPr>
      <w:r>
        <w:rPr/>
        <w:t xml:space="preserve">Заземляющие проводники для повторных заземлений </w:t>
      </w:r>
      <w:r>
        <w:rPr>
          <w:i/>
          <w:iCs/>
        </w:rPr>
        <w:t>PEN-</w:t>
      </w:r>
      <w:r>
        <w:rPr/>
        <w:t>проводника должны иметь размеры не менее приведенных в табл. 1.7.4.</w:t>
      </w:r>
    </w:p>
    <w:p>
      <w:pPr>
        <w:pStyle w:val="Normal"/>
        <w:shd w:fill="FFFFFF" w:val="clear"/>
        <w:spacing w:before="120" w:after="120"/>
        <w:jc w:val="right"/>
        <w:rPr>
          <w:i/>
          <w:i/>
          <w:iCs/>
        </w:rPr>
      </w:pPr>
      <w:r>
        <w:rPr>
          <w:i/>
          <w:iCs/>
        </w:rPr>
        <w:t>Таблица 1.7.4</w:t>
      </w:r>
    </w:p>
    <w:p>
      <w:pPr>
        <w:pStyle w:val="Normal"/>
        <w:shd w:fill="FFFFFF" w:val="clear"/>
        <w:spacing w:before="0" w:after="120"/>
        <w:jc w:val="center"/>
        <w:rPr>
          <w:b/>
          <w:b/>
          <w:bCs/>
        </w:rPr>
      </w:pPr>
      <w:r>
        <w:rPr>
          <w:b/>
          <w:bCs/>
        </w:rPr>
        <w:t>Наименьшие размеры заземлителей и заземляющих проводников, проложенных в земле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479"/>
        <w:gridCol w:w="3472"/>
        <w:gridCol w:w="1325"/>
        <w:gridCol w:w="2039"/>
        <w:gridCol w:w="1040"/>
      </w:tblGrid>
      <w:tr>
        <w:trPr>
          <w:tblHeader w:val="true"/>
        </w:trPr>
        <w:tc>
          <w:tcPr>
            <w:tcW w:w="1479"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Материал</w:t>
            </w:r>
          </w:p>
        </w:tc>
        <w:tc>
          <w:tcPr>
            <w:tcW w:w="3472"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Профиль сечения</w:t>
            </w:r>
          </w:p>
        </w:tc>
        <w:tc>
          <w:tcPr>
            <w:tcW w:w="1325"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Диаметр, мм</w:t>
            </w:r>
          </w:p>
        </w:tc>
        <w:tc>
          <w:tcPr>
            <w:tcW w:w="2039"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Площадь поперечного сечения, мм</w:t>
            </w:r>
          </w:p>
        </w:tc>
        <w:tc>
          <w:tcPr>
            <w:tcW w:w="104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Толщина стенки, мм</w:t>
            </w:r>
          </w:p>
        </w:tc>
      </w:tr>
      <w:tr>
        <w:trPr/>
        <w:tc>
          <w:tcPr>
            <w:tcW w:w="1479"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Сталь черная</w:t>
            </w:r>
          </w:p>
        </w:tc>
        <w:tc>
          <w:tcPr>
            <w:tcW w:w="3472" w:type="dxa"/>
            <w:tcBorders>
              <w:left w:val="single" w:sz="8" w:space="0" w:color="000000"/>
            </w:tcBorders>
            <w:shd w:fill="FFFFFF" w:val="clear"/>
            <w:tcMar>
              <w:left w:w="0" w:type="dxa"/>
              <w:right w:w="0" w:type="dxa"/>
            </w:tcMar>
          </w:tcPr>
          <w:p>
            <w:pPr>
              <w:pStyle w:val="Normal"/>
              <w:shd w:fill="FFFFFF" w:val="clear"/>
              <w:jc w:val="both"/>
              <w:rPr/>
            </w:pPr>
            <w:r>
              <w:rPr/>
              <w:t>Круглый:</w:t>
            </w:r>
          </w:p>
        </w:tc>
        <w:tc>
          <w:tcPr>
            <w:tcW w:w="1325" w:type="dxa"/>
            <w:tcBorders>
              <w:left w:val="single" w:sz="8" w:space="0" w:color="000000"/>
            </w:tcBorders>
            <w:shd w:fill="FFFFFF" w:val="clear"/>
            <w:tcMar>
              <w:left w:w="0" w:type="dxa"/>
              <w:right w:w="0" w:type="dxa"/>
            </w:tcMar>
          </w:tcPr>
          <w:p>
            <w:pPr>
              <w:pStyle w:val="Normal"/>
              <w:snapToGrid w:val="false"/>
              <w:rPr/>
            </w:pPr>
            <w:r>
              <w:rPr/>
            </w:r>
          </w:p>
        </w:tc>
        <w:tc>
          <w:tcPr>
            <w:tcW w:w="2039" w:type="dxa"/>
            <w:tcBorders>
              <w:left w:val="single" w:sz="8" w:space="0" w:color="000000"/>
            </w:tcBorders>
            <w:shd w:fill="FFFFFF" w:val="clear"/>
            <w:tcMar>
              <w:left w:w="0" w:type="dxa"/>
              <w:right w:w="0" w:type="dxa"/>
            </w:tcMar>
          </w:tcPr>
          <w:p>
            <w:pPr>
              <w:pStyle w:val="Normal"/>
              <w:snapToGrid w:val="false"/>
              <w:rPr/>
            </w:pPr>
            <w:r>
              <w:rPr/>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ind w:left="272" w:hanging="0"/>
              <w:jc w:val="both"/>
              <w:rPr/>
            </w:pPr>
            <w:r>
              <w:rPr/>
              <w:t>для вертикальных заземлителей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16</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ind w:left="272" w:hanging="0"/>
              <w:jc w:val="both"/>
              <w:rPr/>
            </w:pPr>
            <w:r>
              <w:rPr/>
              <w:t>для горизонтальных заземлителей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10</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jc w:val="both"/>
              <w:rPr/>
            </w:pPr>
            <w:r>
              <w:rPr/>
              <w:t>Прямоугольный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100</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jc w:val="both"/>
              <w:rPr/>
            </w:pPr>
            <w:r>
              <w:rPr/>
              <w:t>Угловой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100</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Трубный</w:t>
            </w:r>
          </w:p>
        </w:tc>
        <w:tc>
          <w:tcPr>
            <w:tcW w:w="13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32</w:t>
            </w:r>
          </w:p>
        </w:tc>
        <w:tc>
          <w:tcPr>
            <w:tcW w:w="20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3,5</w:t>
            </w:r>
          </w:p>
        </w:tc>
      </w:tr>
      <w:tr>
        <w:trPr/>
        <w:tc>
          <w:tcPr>
            <w:tcW w:w="1479"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Сталь оцинкованная</w:t>
            </w:r>
          </w:p>
        </w:tc>
        <w:tc>
          <w:tcPr>
            <w:tcW w:w="3472" w:type="dxa"/>
            <w:tcBorders>
              <w:left w:val="single" w:sz="8" w:space="0" w:color="000000"/>
            </w:tcBorders>
            <w:shd w:fill="FFFFFF" w:val="clear"/>
            <w:tcMar>
              <w:left w:w="0" w:type="dxa"/>
              <w:right w:w="0" w:type="dxa"/>
            </w:tcMar>
          </w:tcPr>
          <w:p>
            <w:pPr>
              <w:pStyle w:val="Normal"/>
              <w:shd w:fill="FFFFFF" w:val="clear"/>
              <w:jc w:val="both"/>
              <w:rPr/>
            </w:pPr>
            <w:r>
              <w:rPr/>
              <w:t>Круглый:</w:t>
            </w:r>
          </w:p>
        </w:tc>
        <w:tc>
          <w:tcPr>
            <w:tcW w:w="1325" w:type="dxa"/>
            <w:tcBorders>
              <w:left w:val="single" w:sz="8" w:space="0" w:color="000000"/>
            </w:tcBorders>
            <w:shd w:fill="FFFFFF" w:val="clear"/>
            <w:tcMar>
              <w:left w:w="0" w:type="dxa"/>
              <w:right w:w="0" w:type="dxa"/>
            </w:tcMar>
          </w:tcPr>
          <w:p>
            <w:pPr>
              <w:pStyle w:val="Normal"/>
              <w:snapToGrid w:val="false"/>
              <w:rPr/>
            </w:pPr>
            <w:r>
              <w:rPr/>
            </w:r>
          </w:p>
        </w:tc>
        <w:tc>
          <w:tcPr>
            <w:tcW w:w="2039" w:type="dxa"/>
            <w:tcBorders>
              <w:left w:val="single" w:sz="8" w:space="0" w:color="000000"/>
            </w:tcBorders>
            <w:shd w:fill="FFFFFF" w:val="clear"/>
            <w:tcMar>
              <w:left w:w="0" w:type="dxa"/>
              <w:right w:w="0" w:type="dxa"/>
            </w:tcMar>
          </w:tcPr>
          <w:p>
            <w:pPr>
              <w:pStyle w:val="Normal"/>
              <w:snapToGrid w:val="false"/>
              <w:rPr/>
            </w:pPr>
            <w:r>
              <w:rPr/>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ind w:left="272" w:hanging="0"/>
              <w:jc w:val="both"/>
              <w:rPr/>
            </w:pPr>
            <w:r>
              <w:rPr/>
              <w:t>для вертикальных заземлителей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12</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ind w:left="272" w:hanging="0"/>
              <w:jc w:val="both"/>
              <w:rPr/>
            </w:pPr>
            <w:r>
              <w:rPr/>
              <w:t>для горизонтальных заземлителей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10</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jc w:val="both"/>
              <w:rPr/>
            </w:pPr>
            <w:r>
              <w:rPr/>
              <w:t>Прямоугольный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75</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3</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Трубный</w:t>
            </w:r>
          </w:p>
        </w:tc>
        <w:tc>
          <w:tcPr>
            <w:tcW w:w="13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25</w:t>
            </w:r>
          </w:p>
        </w:tc>
        <w:tc>
          <w:tcPr>
            <w:tcW w:w="20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1479"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Медь</w:t>
            </w:r>
          </w:p>
        </w:tc>
        <w:tc>
          <w:tcPr>
            <w:tcW w:w="3472" w:type="dxa"/>
            <w:tcBorders>
              <w:left w:val="single" w:sz="8" w:space="0" w:color="000000"/>
            </w:tcBorders>
            <w:shd w:fill="FFFFFF" w:val="clear"/>
            <w:tcMar>
              <w:left w:w="0" w:type="dxa"/>
              <w:right w:w="0" w:type="dxa"/>
            </w:tcMar>
          </w:tcPr>
          <w:p>
            <w:pPr>
              <w:pStyle w:val="Normal"/>
              <w:shd w:fill="FFFFFF" w:val="clear"/>
              <w:jc w:val="both"/>
              <w:rPr/>
            </w:pPr>
            <w:r>
              <w:rPr/>
              <w:t>Круглый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12</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jc w:val="both"/>
              <w:rPr/>
            </w:pPr>
            <w:r>
              <w:rPr/>
              <w:t>Прямоугольный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50</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tcBorders>
            <w:shd w:fill="FFFFFF" w:val="clear"/>
          </w:tcPr>
          <w:p>
            <w:pPr>
              <w:pStyle w:val="Normal"/>
              <w:shd w:fill="FFFFFF" w:val="clear"/>
              <w:jc w:val="both"/>
              <w:rPr/>
            </w:pPr>
            <w:r>
              <w:rPr/>
              <w:t>Трубный</w:t>
            </w:r>
          </w:p>
        </w:tc>
        <w:tc>
          <w:tcPr>
            <w:tcW w:w="1325" w:type="dxa"/>
            <w:tcBorders>
              <w:left w:val="single" w:sz="8" w:space="0" w:color="000000"/>
            </w:tcBorders>
            <w:shd w:fill="FFFFFF" w:val="clear"/>
            <w:tcMar>
              <w:left w:w="0" w:type="dxa"/>
              <w:right w:w="0" w:type="dxa"/>
            </w:tcMar>
          </w:tcPr>
          <w:p>
            <w:pPr>
              <w:pStyle w:val="Normal"/>
              <w:shd w:fill="FFFFFF" w:val="clear"/>
              <w:jc w:val="center"/>
              <w:rPr/>
            </w:pPr>
            <w:r>
              <w:rPr/>
              <w:t>20</w:t>
            </w:r>
          </w:p>
        </w:tc>
        <w:tc>
          <w:tcPr>
            <w:tcW w:w="2039" w:type="dxa"/>
            <w:tcBorders>
              <w:left w:val="single" w:sz="8" w:space="0" w:color="000000"/>
            </w:tcBorders>
            <w:shd w:fill="FFFFFF" w:val="clear"/>
            <w:tcMar>
              <w:left w:w="0" w:type="dxa"/>
              <w:right w:w="0" w:type="dxa"/>
            </w:tcMar>
          </w:tcPr>
          <w:p>
            <w:pPr>
              <w:pStyle w:val="Normal"/>
              <w:shd w:fill="FFFFFF" w:val="clear"/>
              <w:jc w:val="center"/>
              <w:rPr/>
            </w:pPr>
            <w:r>
              <w:rPr/>
              <w:t>-</w:t>
            </w:r>
          </w:p>
        </w:tc>
        <w:tc>
          <w:tcPr>
            <w:tcW w:w="104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147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47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Канат многопроволочный</w:t>
            </w:r>
          </w:p>
        </w:tc>
        <w:tc>
          <w:tcPr>
            <w:tcW w:w="13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1,8*</w:t>
            </w:r>
          </w:p>
        </w:tc>
        <w:tc>
          <w:tcPr>
            <w:tcW w:w="20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35</w:t>
            </w:r>
          </w:p>
        </w:tc>
        <w:tc>
          <w:tcPr>
            <w:tcW w:w="10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w:t>
            </w:r>
          </w:p>
        </w:tc>
      </w:tr>
    </w:tbl>
    <w:p>
      <w:pPr>
        <w:pStyle w:val="Normal"/>
        <w:shd w:fill="FFFFFF" w:val="clear"/>
        <w:spacing w:before="120" w:after="120"/>
        <w:ind w:firstLine="300"/>
        <w:jc w:val="both"/>
        <w:rPr/>
      </w:pPr>
      <w:r>
        <w:rPr/>
        <w:t>* Диаметр каждой проволоки.</w:t>
      </w:r>
    </w:p>
    <w:p>
      <w:pPr>
        <w:pStyle w:val="Normal"/>
        <w:shd w:fill="FFFFFF" w:val="clear"/>
        <w:ind w:firstLine="283"/>
        <w:jc w:val="both"/>
        <w:rPr/>
      </w:pPr>
      <w:r>
        <w:rPr>
          <w:b/>
          <w:bCs/>
        </w:rPr>
        <w:t>1.7.103.</w:t>
      </w:r>
      <w:r>
        <w:rPr/>
        <w:t xml:space="preserve"> Общее сопротивление растеканию заземлителей (в том числе естественных) всех повторных заземлений </w:t>
      </w:r>
      <w:r>
        <w:rPr>
          <w:i/>
          <w:iCs/>
        </w:rPr>
        <w:t>PEN</w:t>
      </w:r>
      <w:r>
        <w:rPr/>
        <w:t>-проводника каждой BЛ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pPr>
        <w:pStyle w:val="Normal"/>
        <w:shd w:fill="FFFFFF" w:val="clear"/>
        <w:ind w:firstLine="283"/>
        <w:jc w:val="both"/>
        <w:rPr/>
      </w:pPr>
      <w:r>
        <w:rPr/>
        <w:t xml:space="preserve">При удельном сопротивлении земли </w:t>
      </w:r>
      <w:r>
        <w:rPr>
          <w:rFonts w:cs="Symbol" w:ascii="Symbol" w:hAnsi="Symbol"/>
          <w:i/>
          <w:iCs/>
        </w:rPr>
        <w:t></w:t>
      </w:r>
      <w:r>
        <w:rPr/>
        <w:t xml:space="preserve"> &gt;100 Ом</w:t>
      </w:r>
      <w:r>
        <w:rPr>
          <w:rFonts w:cs="Symbol" w:ascii="Symbol" w:hAnsi="Symbol"/>
        </w:rPr>
        <w:t></w:t>
      </w:r>
      <w:r>
        <w:rPr/>
        <w:t>м допускается увеличивать указанные нормы в 0,01</w:t>
      </w:r>
      <w:r>
        <w:rPr>
          <w:rFonts w:cs="Symbol" w:ascii="Symbol" w:hAnsi="Symbol"/>
          <w:i/>
          <w:iCs/>
        </w:rPr>
        <w:t></w:t>
      </w:r>
      <w:r>
        <w:rPr/>
        <w:t xml:space="preserve"> раз, но не более десятикратного.</w:t>
      </w:r>
    </w:p>
    <w:p>
      <w:pPr>
        <w:pStyle w:val="Heading3"/>
        <w:rPr/>
      </w:pPr>
      <w:r>
        <w:rPr/>
        <w:t>Заземляющие устройства электроустановок напряжением до 1 кВ в сетях с изолированной нейтралью</w:t>
      </w:r>
    </w:p>
    <w:p>
      <w:pPr>
        <w:pStyle w:val="Normal"/>
        <w:shd w:fill="FFFFFF" w:val="clear"/>
        <w:ind w:firstLine="283"/>
        <w:jc w:val="both"/>
        <w:rPr/>
      </w:pPr>
      <w:r>
        <w:rPr>
          <w:b/>
          <w:bCs/>
        </w:rPr>
        <w:t>1.7.104.</w:t>
      </w:r>
      <w:r>
        <w:rPr/>
        <w:t xml:space="preserve"> Сопротивление заземляющего устройства, используемого для защитного заземления открытых проводящих частей, в системе </w:t>
      </w:r>
      <w:r>
        <w:rPr>
          <w:i/>
          <w:iCs/>
        </w:rPr>
        <w:t xml:space="preserve">IT </w:t>
      </w:r>
      <w:r>
        <w:rPr/>
        <w:t>должно соответствовать условию:</w:t>
      </w:r>
    </w:p>
    <w:p>
      <w:pPr>
        <w:pStyle w:val="Normal"/>
        <w:shd w:fill="FFFFFF" w:val="clear"/>
        <w:spacing w:before="120" w:after="120"/>
        <w:jc w:val="center"/>
        <w:rPr/>
      </w:pPr>
      <w:r>
        <w:rPr>
          <w:i/>
          <w:iCs/>
        </w:rPr>
        <w:t xml:space="preserve">R </w:t>
      </w:r>
      <w:r>
        <w:rPr>
          <w:rFonts w:cs="Symbol" w:ascii="Symbol" w:hAnsi="Symbol"/>
          <w:i/>
          <w:iCs/>
        </w:rPr>
        <w:t></w:t>
      </w:r>
      <w:r>
        <w:rPr>
          <w:i/>
          <w:iCs/>
        </w:rPr>
        <w:t xml:space="preserve"> U</w:t>
      </w:r>
      <w:r>
        <w:rPr>
          <w:i/>
          <w:iCs/>
          <w:vertAlign w:val="subscript"/>
        </w:rPr>
        <w:t>пр</w:t>
      </w:r>
      <w:r>
        <w:rPr>
          <w:i/>
          <w:iCs/>
        </w:rPr>
        <w:t>/I,</w:t>
      </w:r>
    </w:p>
    <w:p>
      <w:pPr>
        <w:pStyle w:val="Normal"/>
        <w:shd w:fill="FFFFFF" w:val="clear"/>
        <w:jc w:val="both"/>
        <w:rPr/>
      </w:pPr>
      <w:r>
        <w:rPr/>
        <w:t xml:space="preserve">где </w:t>
      </w:r>
      <w:r>
        <w:rPr>
          <w:i/>
          <w:iCs/>
        </w:rPr>
        <w:t xml:space="preserve">R </w:t>
      </w:r>
      <w:r>
        <w:rPr/>
        <w:t>-</w:t>
      </w:r>
      <w:r>
        <w:rPr>
          <w:i/>
          <w:iCs/>
        </w:rPr>
        <w:t xml:space="preserve"> </w:t>
      </w:r>
      <w:r>
        <w:rPr/>
        <w:t>сопротивление заземляющего устройства, Ом;</w:t>
      </w:r>
    </w:p>
    <w:p>
      <w:pPr>
        <w:pStyle w:val="Normal"/>
        <w:shd w:fill="FFFFFF" w:val="clear"/>
        <w:ind w:left="568" w:hanging="284"/>
        <w:jc w:val="both"/>
        <w:rPr/>
      </w:pPr>
      <w:r>
        <w:rPr>
          <w:i/>
          <w:iCs/>
        </w:rPr>
        <w:t>U</w:t>
      </w:r>
      <w:r>
        <w:rPr>
          <w:i/>
          <w:iCs/>
          <w:vertAlign w:val="subscript"/>
        </w:rPr>
        <w:t>пр</w:t>
      </w:r>
      <w:r>
        <w:rPr>
          <w:i/>
          <w:iCs/>
        </w:rPr>
        <w:t xml:space="preserve"> </w:t>
      </w:r>
      <w:r>
        <w:rPr/>
        <w:t>-</w:t>
      </w:r>
      <w:r>
        <w:rPr>
          <w:i/>
          <w:iCs/>
        </w:rPr>
        <w:t xml:space="preserve"> </w:t>
      </w:r>
      <w:r>
        <w:rPr/>
        <w:t xml:space="preserve">напряжение прикосновения, значение которого принимается равным 50 В (см. также </w:t>
      </w:r>
      <w:r>
        <w:rPr>
          <w:b/>
          <w:bCs/>
        </w:rPr>
        <w:t>1.7.53</w:t>
      </w:r>
      <w:r>
        <w:rPr/>
        <w:t>);</w:t>
      </w:r>
    </w:p>
    <w:p>
      <w:pPr>
        <w:pStyle w:val="Normal"/>
        <w:shd w:fill="FFFFFF" w:val="clear"/>
        <w:ind w:firstLine="284"/>
        <w:jc w:val="both"/>
        <w:rPr/>
      </w:pPr>
      <w:r>
        <w:rPr>
          <w:i/>
          <w:iCs/>
        </w:rPr>
        <w:t>I</w:t>
      </w:r>
      <w:r>
        <w:rPr/>
        <w:t xml:space="preserve"> - полный ток замыкания на землю, А.</w:t>
      </w:r>
    </w:p>
    <w:p>
      <w:pPr>
        <w:pStyle w:val="Normal"/>
        <w:shd w:fill="FFFFFF" w:val="clear"/>
        <w:ind w:firstLine="283"/>
        <w:jc w:val="both"/>
        <w:rPr/>
      </w:pPr>
      <w:r>
        <w:rP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w:t>
      </w:r>
      <w:r>
        <w:rPr>
          <w:rFonts w:cs="Symbol" w:ascii="Symbol" w:hAnsi="Symbol"/>
        </w:rPr>
        <w:t></w:t>
      </w:r>
      <w:r>
        <w:rPr/>
        <w:t>А, в том числе суммарная мощность генераторов или трансформаторов, работающих параллельно.</w:t>
      </w:r>
    </w:p>
    <w:p>
      <w:pPr>
        <w:pStyle w:val="Heading3"/>
        <w:rPr/>
      </w:pPr>
      <w:r>
        <w:rPr/>
        <w:t>Заземляющие устройства в районах с большим удельным сопротивлением земли</w:t>
      </w:r>
    </w:p>
    <w:p>
      <w:pPr>
        <w:pStyle w:val="Normal"/>
        <w:shd w:fill="FFFFFF" w:val="clear"/>
        <w:ind w:firstLine="283"/>
        <w:jc w:val="both"/>
        <w:rPr/>
      </w:pPr>
      <w:r>
        <w:rPr>
          <w:b/>
          <w:bCs/>
        </w:rPr>
        <w:t>1.7.105.</w:t>
      </w:r>
      <w:r>
        <w:rPr/>
        <w:t xml:space="preserve">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(см. </w:t>
      </w:r>
      <w:r>
        <w:rPr>
          <w:b/>
          <w:bCs/>
        </w:rPr>
        <w:t>1.7.91</w:t>
      </w:r>
      <w:r>
        <w:rPr/>
        <w:t>).</w:t>
      </w:r>
    </w:p>
    <w:p>
      <w:pPr>
        <w:pStyle w:val="Normal"/>
        <w:shd w:fill="FFFFFF" w:val="clear"/>
        <w:ind w:firstLine="283"/>
        <w:jc w:val="both"/>
        <w:rPr/>
      </w:pPr>
      <w:r>
        <w:rPr/>
        <w:t xml:space="preserve">В скальных структурах допускается прокладывать горизонтальные заземлители на меньшей глубине, чем этого требуют </w:t>
      </w:r>
      <w:r>
        <w:rPr>
          <w:b/>
          <w:bCs/>
        </w:rPr>
        <w:t xml:space="preserve">1.7.91-1.7.93, </w:t>
      </w:r>
      <w:r>
        <w:rPr/>
        <w:t xml:space="preserve">но не менее чем 0,15 м. Кроме того, допускается не выполнять требуемые </w:t>
      </w:r>
      <w:r>
        <w:rPr>
          <w:b/>
          <w:bCs/>
        </w:rPr>
        <w:t xml:space="preserve">1.7.90 </w:t>
      </w:r>
      <w:r>
        <w:rPr/>
        <w:t>вертикальные заземлители у входов и у въездов.</w:t>
      </w:r>
    </w:p>
    <w:p>
      <w:pPr>
        <w:pStyle w:val="Normal"/>
        <w:shd w:fill="FFFFFF" w:val="clear"/>
        <w:ind w:firstLine="283"/>
        <w:jc w:val="both"/>
        <w:rPr/>
      </w:pPr>
      <w:r>
        <w:rPr>
          <w:b/>
          <w:bCs/>
        </w:rPr>
        <w:t>1.7.106.</w:t>
      </w:r>
      <w:r>
        <w:rPr/>
        <w:t xml:space="preserve"> При сооружении искусственных заземлителей в районах с большим удельным сопротивлением земли рекомендуются следующие мероприятия:</w:t>
      </w:r>
    </w:p>
    <w:p>
      <w:pPr>
        <w:pStyle w:val="Normal"/>
        <w:shd w:fill="FFFFFF" w:val="clear"/>
        <w:ind w:firstLine="283"/>
        <w:jc w:val="both"/>
        <w:rPr/>
      </w:pPr>
      <w:r>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pPr>
        <w:pStyle w:val="Normal"/>
        <w:shd w:fill="FFFFFF" w:val="clear"/>
        <w:ind w:firstLine="283"/>
        <w:jc w:val="both"/>
        <w:rPr/>
      </w:pPr>
      <w:r>
        <w:rPr/>
        <w:t>2) устройство выносных заземлителей, если вблизи (до 2 км) от электроустановки есть места с меньшим удельным сопротивлением земли;</w:t>
      </w:r>
    </w:p>
    <w:p>
      <w:pPr>
        <w:pStyle w:val="Normal"/>
        <w:shd w:fill="FFFFFF" w:val="clear"/>
        <w:ind w:firstLine="283"/>
        <w:jc w:val="both"/>
        <w:rPr/>
      </w:pPr>
      <w:r>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pPr>
        <w:pStyle w:val="Normal"/>
        <w:shd w:fill="FFFFFF" w:val="clear"/>
        <w:ind w:firstLine="283"/>
        <w:jc w:val="both"/>
        <w:rPr/>
      </w:pPr>
      <w:r>
        <w:rP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pPr>
        <w:pStyle w:val="Normal"/>
        <w:shd w:fill="FFFFFF" w:val="clear"/>
        <w:ind w:firstLine="283"/>
        <w:jc w:val="both"/>
        <w:rPr/>
      </w:pPr>
      <w:r>
        <w:rPr>
          <w:b/>
          <w:bCs/>
        </w:rPr>
        <w:t>1.7.107.</w:t>
      </w:r>
      <w:r>
        <w:rPr/>
        <w:t xml:space="preserve"> В районах многолетней мерзлоты, кроме рекомендаций, приведенных в </w:t>
      </w:r>
      <w:r>
        <w:rPr>
          <w:b/>
          <w:bCs/>
        </w:rPr>
        <w:t xml:space="preserve">1.7.106, </w:t>
      </w:r>
      <w:r>
        <w:rPr/>
        <w:t>следует:</w:t>
      </w:r>
    </w:p>
    <w:p>
      <w:pPr>
        <w:pStyle w:val="Normal"/>
        <w:shd w:fill="FFFFFF" w:val="clear"/>
        <w:ind w:firstLine="283"/>
        <w:jc w:val="both"/>
        <w:rPr/>
      </w:pPr>
      <w:r>
        <w:rPr/>
        <w:t>1) помещать заземлители в непромерзающие водоемы и талые зоны;</w:t>
      </w:r>
    </w:p>
    <w:p>
      <w:pPr>
        <w:pStyle w:val="Normal"/>
        <w:shd w:fill="FFFFFF" w:val="clear"/>
        <w:ind w:firstLine="283"/>
        <w:jc w:val="both"/>
        <w:rPr/>
      </w:pPr>
      <w:r>
        <w:rPr/>
        <w:t>2) использовать обсадные трубы скважин;</w:t>
      </w:r>
    </w:p>
    <w:p>
      <w:pPr>
        <w:pStyle w:val="Normal"/>
        <w:shd w:fill="FFFFFF" w:val="clear"/>
        <w:ind w:firstLine="283"/>
        <w:jc w:val="both"/>
        <w:rPr/>
      </w:pPr>
      <w:r>
        <w:rPr/>
        <w:t>3) в дополнение к углубленным заземлителям применять протяженные заземлители на глубине около 0,5 м, предназначенные для работы в летнее время при оттаивании поверхностного слоя земли;</w:t>
      </w:r>
    </w:p>
    <w:p>
      <w:pPr>
        <w:pStyle w:val="Normal"/>
        <w:shd w:fill="FFFFFF" w:val="clear"/>
        <w:ind w:firstLine="283"/>
        <w:jc w:val="both"/>
        <w:rPr/>
      </w:pPr>
      <w:r>
        <w:rPr/>
        <w:t>4) создавать искусственные талые зоны.</w:t>
      </w:r>
    </w:p>
    <w:p>
      <w:pPr>
        <w:pStyle w:val="Normal"/>
        <w:shd w:fill="FFFFFF" w:val="clear"/>
        <w:ind w:firstLine="283"/>
        <w:jc w:val="both"/>
        <w:rPr/>
      </w:pPr>
      <w:r>
        <w:rPr>
          <w:b/>
          <w:bCs/>
        </w:rPr>
        <w:t>1.7.108.</w:t>
      </w:r>
      <w:r>
        <w:rPr/>
        <w:t xml:space="preserve"> В электроустановках напряжением выше 1 кВ, а также до 1 кВ с изолированной нейтралью для земли с удельным сопротивлением более 500 Ом</w:t>
      </w:r>
      <w:r>
        <w:rPr>
          <w:rFonts w:cs="Symbol" w:ascii="Symbol" w:hAnsi="Symbol"/>
        </w:rPr>
        <w:t></w:t>
      </w:r>
      <w:r>
        <w:rPr/>
        <w:t xml:space="preserve">м, если мероприятия, предусмотренные </w:t>
      </w:r>
      <w:r>
        <w:rPr>
          <w:b/>
          <w:bCs/>
        </w:rPr>
        <w:t xml:space="preserve">1.7.105-1.7.107, </w:t>
      </w:r>
      <w:r>
        <w:rPr/>
        <w:t>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cs="Symbol" w:ascii="Symbol" w:hAnsi="Symbol"/>
          <w:i/>
          <w:iCs/>
        </w:rPr>
        <w:t></w:t>
      </w:r>
      <w:r>
        <w:rPr/>
        <w:t xml:space="preserve"> раз, где </w:t>
      </w:r>
      <w:r>
        <w:rPr>
          <w:rFonts w:cs="Symbol" w:ascii="Symbol" w:hAnsi="Symbol"/>
          <w:i/>
          <w:iCs/>
        </w:rPr>
        <w:t></w:t>
      </w:r>
      <w:r>
        <w:rPr/>
        <w:t xml:space="preserve"> - эквивалентное удельное сопротивление земли, Ом</w:t>
      </w:r>
      <w:r>
        <w:rPr>
          <w:rFonts w:cs="Symbol" w:ascii="Symbol" w:hAnsi="Symbol"/>
        </w:rPr>
        <w:t></w:t>
      </w:r>
      <w:r>
        <w:rPr/>
        <w:t>м. При этом увеличение требуемых настоящей главой сопротивлений заземляющих устройств должно быть не более десятикратного.</w:t>
      </w:r>
    </w:p>
    <w:p>
      <w:pPr>
        <w:pStyle w:val="Heading3"/>
        <w:rPr/>
      </w:pPr>
      <w:bookmarkStart w:id="5" w:name="_%D0%97%D0%B0%D0%B7%D0%B5%D0%BC%D0%BB%D0"/>
      <w:bookmarkEnd w:id="5"/>
      <w:r>
        <w:rPr/>
        <w:t>Заземлители</w:t>
      </w:r>
    </w:p>
    <w:p>
      <w:pPr>
        <w:pStyle w:val="Normal"/>
        <w:shd w:fill="FFFFFF" w:val="clear"/>
        <w:ind w:firstLine="283"/>
        <w:jc w:val="both"/>
        <w:rPr/>
      </w:pPr>
      <w:r>
        <w:rPr>
          <w:b/>
          <w:bCs/>
        </w:rPr>
        <w:t>1.7.109.</w:t>
      </w:r>
      <w:r>
        <w:rPr/>
        <w:t xml:space="preserve"> В качестве естественных заземлителей могут быть использованы:</w:t>
      </w:r>
    </w:p>
    <w:p>
      <w:pPr>
        <w:pStyle w:val="Normal"/>
        <w:shd w:fill="FFFFFF" w:val="clear"/>
        <w:ind w:firstLine="283"/>
        <w:jc w:val="both"/>
        <w:rPr/>
      </w:pPr>
      <w:r>
        <w:rP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pPr>
        <w:pStyle w:val="Normal"/>
        <w:shd w:fill="FFFFFF" w:val="clear"/>
        <w:ind w:firstLine="283"/>
        <w:jc w:val="both"/>
        <w:rPr/>
      </w:pPr>
      <w:r>
        <w:rPr/>
        <w:t>2) металлические трубы водопровода, проложенные в земле;</w:t>
      </w:r>
    </w:p>
    <w:p>
      <w:pPr>
        <w:pStyle w:val="Normal"/>
        <w:shd w:fill="FFFFFF" w:val="clear"/>
        <w:ind w:firstLine="283"/>
        <w:jc w:val="both"/>
        <w:rPr/>
      </w:pPr>
      <w:r>
        <w:rPr/>
        <w:t>3) обсадные трубы буровых скважин;</w:t>
      </w:r>
    </w:p>
    <w:p>
      <w:pPr>
        <w:pStyle w:val="Normal"/>
        <w:shd w:fill="FFFFFF" w:val="clear"/>
        <w:ind w:firstLine="283"/>
        <w:jc w:val="both"/>
        <w:rPr/>
      </w:pPr>
      <w:r>
        <w:rPr/>
        <w:t>4) металлические шпунты гидротехнических сооружений, водоводы, закладные части затворов и т.п.;</w:t>
      </w:r>
    </w:p>
    <w:p>
      <w:pPr>
        <w:pStyle w:val="Normal"/>
        <w:shd w:fill="FFFFFF" w:val="clear"/>
        <w:ind w:firstLine="283"/>
        <w:jc w:val="both"/>
        <w:rPr/>
      </w:pPr>
      <w:r>
        <w:rPr/>
        <w:t>5)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p>
    <w:p>
      <w:pPr>
        <w:pStyle w:val="Normal"/>
        <w:shd w:fill="FFFFFF" w:val="clear"/>
        <w:ind w:firstLine="283"/>
        <w:jc w:val="both"/>
        <w:rPr/>
      </w:pPr>
      <w:r>
        <w:rPr/>
        <w:t>6) другие находящиеся в земле металлические конструкции и сооружения;</w:t>
      </w:r>
    </w:p>
    <w:p>
      <w:pPr>
        <w:pStyle w:val="Normal"/>
        <w:shd w:fill="FFFFFF" w:val="clear"/>
        <w:ind w:firstLine="283"/>
        <w:jc w:val="both"/>
        <w:rPr/>
      </w:pPr>
      <w:r>
        <w:rP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pPr>
        <w:pStyle w:val="Normal"/>
        <w:shd w:fill="FFFFFF" w:val="clear"/>
        <w:ind w:firstLine="283"/>
        <w:jc w:val="both"/>
        <w:rPr/>
      </w:pPr>
      <w:r>
        <w:rPr>
          <w:b/>
          <w:bCs/>
        </w:rPr>
        <w:t>1.7.110.</w:t>
      </w:r>
      <w:r>
        <w:rPr/>
        <w:t xml:space="preserve"> Не допускается использовать в качестве заземлителей трубопроводы горючих жидкостей, горючих или взрывоопасных газов и смесей и трубопроводов канализации и центрального отопления.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Pr>
          <w:b/>
          <w:bCs/>
        </w:rPr>
        <w:t>1.7.82</w:t>
      </w:r>
      <w:r>
        <w:rPr/>
        <w:t>.</w:t>
      </w:r>
    </w:p>
    <w:p>
      <w:pPr>
        <w:pStyle w:val="Normal"/>
        <w:shd w:fill="FFFFFF" w:val="clear"/>
        <w:ind w:firstLine="283"/>
        <w:jc w:val="both"/>
        <w:rPr/>
      </w:pPr>
      <w:r>
        <w:rP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pPr>
        <w:pStyle w:val="Normal"/>
        <w:shd w:fill="FFFFFF" w:val="clear"/>
        <w:ind w:firstLine="283"/>
        <w:jc w:val="both"/>
        <w:rPr/>
      </w:pPr>
      <w:r>
        <w:rPr/>
        <w:t>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pPr>
        <w:pStyle w:val="Normal"/>
        <w:shd w:fill="FFFFFF" w:val="clear"/>
        <w:ind w:firstLine="283"/>
        <w:jc w:val="both"/>
        <w:rPr/>
      </w:pPr>
      <w:r>
        <w:rPr>
          <w:b/>
          <w:bCs/>
        </w:rPr>
        <w:t>1.7.111.</w:t>
      </w:r>
      <w:r>
        <w:rPr/>
        <w:t xml:space="preserve"> Искусственные заземлители могут быть из черной или оцинкованной стали или медными.</w:t>
      </w:r>
    </w:p>
    <w:p>
      <w:pPr>
        <w:pStyle w:val="Normal"/>
        <w:shd w:fill="FFFFFF" w:val="clear"/>
        <w:ind w:firstLine="283"/>
        <w:jc w:val="both"/>
        <w:rPr/>
      </w:pPr>
      <w:r>
        <w:rPr/>
        <w:t>Искусственные заземлители не должны иметь окраски.</w:t>
      </w:r>
    </w:p>
    <w:p>
      <w:pPr>
        <w:pStyle w:val="Normal"/>
        <w:shd w:fill="FFFFFF" w:val="clear"/>
        <w:ind w:firstLine="283"/>
        <w:jc w:val="both"/>
        <w:rPr/>
      </w:pPr>
      <w:r>
        <w:rPr/>
        <w:t xml:space="preserve">Материал и наименьшие размеры заземлителей должны соответствовать приведенным в табл. </w:t>
      </w:r>
      <w:r>
        <w:rPr>
          <w:color w:val="000000"/>
        </w:rPr>
        <w:t>1.7.4</w:t>
      </w:r>
      <w:r>
        <w:rPr/>
        <w:t>.</w:t>
      </w:r>
    </w:p>
    <w:p>
      <w:pPr>
        <w:pStyle w:val="Normal"/>
        <w:shd w:fill="FFFFFF" w:val="clear"/>
        <w:ind w:firstLine="283"/>
        <w:jc w:val="both"/>
        <w:rPr/>
      </w:pPr>
      <w:r>
        <w:rPr>
          <w:b/>
          <w:bCs/>
        </w:rPr>
        <w:t>1.7.112.</w:t>
      </w:r>
      <w:r>
        <w:rPr/>
        <w:t xml:space="preserve"> 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нагрев, соответствующий времени действия защиты и отключения выключателя).</w:t>
      </w:r>
    </w:p>
    <w:p>
      <w:pPr>
        <w:pStyle w:val="Normal"/>
        <w:shd w:fill="FFFFFF" w:val="clear"/>
        <w:ind w:firstLine="283"/>
        <w:jc w:val="both"/>
        <w:rPr/>
      </w:pPr>
      <w:r>
        <w:rPr/>
        <w:t>В случае опасности коррозии заземляющих устройств следует выполнить одно из следующих мероприятий:</w:t>
      </w:r>
    </w:p>
    <w:p>
      <w:pPr>
        <w:pStyle w:val="Normal"/>
        <w:shd w:fill="FFFFFF" w:val="clear"/>
        <w:ind w:firstLine="283"/>
        <w:jc w:val="both"/>
        <w:rPr/>
      </w:pPr>
      <w:r>
        <w:rPr/>
        <w:t>увеличить сечения заземлителей и заземляющих проводников с учетом расчетного срока их службы;</w:t>
      </w:r>
    </w:p>
    <w:p>
      <w:pPr>
        <w:pStyle w:val="Normal"/>
        <w:shd w:fill="FFFFFF" w:val="clear"/>
        <w:ind w:firstLine="283"/>
        <w:jc w:val="both"/>
        <w:rPr/>
      </w:pPr>
      <w:r>
        <w:rPr/>
        <w:t>применить заземлители и заземляющие проводники с гальваническим покрытием или медные.</w:t>
      </w:r>
    </w:p>
    <w:p>
      <w:pPr>
        <w:pStyle w:val="Normal"/>
        <w:shd w:fill="FFFFFF" w:val="clear"/>
        <w:ind w:firstLine="283"/>
        <w:jc w:val="both"/>
        <w:rPr/>
      </w:pPr>
      <w:r>
        <w:rPr/>
        <w:t>При этом следует учитывать возможное увеличение сопротивления заземляющих устройств, обусловленное коррозией.</w:t>
      </w:r>
    </w:p>
    <w:p>
      <w:pPr>
        <w:pStyle w:val="Normal"/>
        <w:shd w:fill="FFFFFF" w:val="clear"/>
        <w:ind w:firstLine="283"/>
        <w:jc w:val="both"/>
        <w:rPr/>
      </w:pPr>
      <w:r>
        <w:rPr/>
        <w:t>Траншеи для горизонтальных заземлителей должны заполняться однородным грунтом, не содержащим щебня и строительного мусора.</w:t>
      </w:r>
    </w:p>
    <w:p>
      <w:pPr>
        <w:pStyle w:val="Normal"/>
        <w:shd w:fill="FFFFFF" w:val="clear"/>
        <w:ind w:firstLine="283"/>
        <w:jc w:val="both"/>
        <w:rPr/>
      </w:pPr>
      <w:r>
        <w:rPr/>
        <w:t>Не следует располагать (использовать) заземлители в местах, где земля подсушивается под действием тепла трубопроводов и т.п.</w:t>
      </w:r>
    </w:p>
    <w:p>
      <w:pPr>
        <w:pStyle w:val="Heading3"/>
        <w:rPr/>
      </w:pPr>
      <w:r>
        <w:rPr/>
        <w:t>Заземляющие проводники</w:t>
      </w:r>
    </w:p>
    <w:p>
      <w:pPr>
        <w:pStyle w:val="Normal"/>
        <w:shd w:fill="FFFFFF" w:val="clear"/>
        <w:ind w:firstLine="283"/>
        <w:jc w:val="both"/>
        <w:rPr/>
      </w:pPr>
      <w:r>
        <w:rPr>
          <w:b/>
          <w:bCs/>
        </w:rPr>
        <w:t>1.7.113.</w:t>
      </w:r>
      <w:r>
        <w:rPr/>
        <w:t xml:space="preserve"> Сечения заземляющих проводников в электроустановках напряжением до 1 кВ должны соответствовать требованиям </w:t>
      </w:r>
      <w:r>
        <w:rPr>
          <w:b/>
          <w:bCs/>
        </w:rPr>
        <w:t xml:space="preserve">1.7.126 </w:t>
      </w:r>
      <w:r>
        <w:rPr/>
        <w:t>к защитным проводникам.</w:t>
      </w:r>
    </w:p>
    <w:p>
      <w:pPr>
        <w:pStyle w:val="Normal"/>
        <w:shd w:fill="FFFFFF" w:val="clear"/>
        <w:ind w:firstLine="283"/>
        <w:jc w:val="both"/>
        <w:rPr/>
      </w:pPr>
      <w:r>
        <w:rPr/>
        <w:t>Наименьшие сечения заземляющих проводников, проложенных в земле, должны соответствовать приведенным в табл. 1.7.4.</w:t>
      </w:r>
    </w:p>
    <w:p>
      <w:pPr>
        <w:pStyle w:val="Normal"/>
        <w:shd w:fill="FFFFFF" w:val="clear"/>
        <w:ind w:firstLine="283"/>
        <w:jc w:val="both"/>
        <w:rPr/>
      </w:pPr>
      <w:r>
        <w:rPr/>
        <w:t>Прокладка в земле алюминиевых неизолированных проводников не допускается.</w:t>
      </w:r>
    </w:p>
    <w:p>
      <w:pPr>
        <w:pStyle w:val="Normal"/>
        <w:shd w:fill="FFFFFF" w:val="clear"/>
        <w:ind w:firstLine="283"/>
        <w:jc w:val="both"/>
        <w:rPr/>
      </w:pPr>
      <w:r>
        <w:rPr>
          <w:b/>
          <w:bCs/>
        </w:rPr>
        <w:t>1.7.114.</w:t>
      </w:r>
      <w:r>
        <w:rPr/>
        <w:t xml:space="preserve">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°С (кратковременный нагрев, соответствующий полному времени действия защиты и отключения выключателя).</w:t>
      </w:r>
    </w:p>
    <w:p>
      <w:pPr>
        <w:pStyle w:val="Normal"/>
        <w:shd w:fill="FFFFFF" w:val="clear"/>
        <w:ind w:firstLine="283"/>
        <w:jc w:val="both"/>
        <w:rPr/>
      </w:pPr>
      <w:r>
        <w:rPr>
          <w:b/>
          <w:bCs/>
        </w:rPr>
        <w:t>1.7.115.</w:t>
      </w:r>
      <w:r>
        <w:rPr/>
        <w:t xml:space="preserve"> В электроустановках напряжением выше 1 кВ с изолированной нейтралью проводимость заземляющих проводников сечением до 25 мм</w:t>
      </w:r>
      <w:r>
        <w:rPr>
          <w:vertAlign w:val="superscript"/>
        </w:rPr>
        <w:t>2</w:t>
      </w:r>
      <w:r>
        <w:rPr/>
        <w:t xml:space="preserve"> по меди или равноценное ему из других материалов должна составлять не менее 1/3 проводимости фазных проводников. Как правило, не требуется применение медных проводников сечением более 25 мм</w:t>
      </w:r>
      <w:r>
        <w:rPr>
          <w:vertAlign w:val="superscript"/>
        </w:rPr>
        <w:t>2</w:t>
      </w:r>
      <w:r>
        <w:rPr/>
        <w:t>, алюминиевых - 35 мм</w:t>
      </w:r>
      <w:r>
        <w:rPr>
          <w:vertAlign w:val="superscript"/>
        </w:rPr>
        <w:t>2</w:t>
      </w:r>
      <w:r>
        <w:rPr/>
        <w:t>, стальных - 120 мм</w:t>
      </w:r>
      <w:r>
        <w:rPr>
          <w:vertAlign w:val="superscript"/>
        </w:rPr>
        <w:t>2</w:t>
      </w:r>
      <w:r>
        <w:rPr/>
        <w:t>.</w:t>
      </w:r>
    </w:p>
    <w:p>
      <w:pPr>
        <w:pStyle w:val="Normal"/>
        <w:shd w:fill="FFFFFF" w:val="clear"/>
        <w:ind w:firstLine="283"/>
        <w:jc w:val="both"/>
        <w:rPr/>
      </w:pPr>
      <w:r>
        <w:rPr>
          <w:b/>
          <w:bCs/>
        </w:rPr>
        <w:t>1.7.116.</w:t>
      </w:r>
      <w:r>
        <w:rPr/>
        <w:t xml:space="preserve">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при помощи инструмента.</w:t>
      </w:r>
    </w:p>
    <w:p>
      <w:pPr>
        <w:pStyle w:val="Normal"/>
        <w:shd w:fill="FFFFFF" w:val="clear"/>
        <w:ind w:firstLine="283"/>
        <w:jc w:val="both"/>
        <w:rPr/>
      </w:pPr>
      <w:r>
        <w:rPr>
          <w:b/>
          <w:bCs/>
        </w:rPr>
        <w:t>1.7.117.</w:t>
      </w:r>
      <w:r>
        <w:rPr/>
        <w:t xml:space="preserve">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vertAlign w:val="superscript"/>
        </w:rPr>
        <w:t>2</w:t>
      </w:r>
      <w:r>
        <w:rPr/>
        <w:t>, алюминиевый - 16 мм</w:t>
      </w:r>
      <w:r>
        <w:rPr>
          <w:vertAlign w:val="superscript"/>
        </w:rPr>
        <w:t>2</w:t>
      </w:r>
      <w:r>
        <w:rPr/>
        <w:t>, стальной - 75 мм</w:t>
      </w:r>
      <w:r>
        <w:rPr>
          <w:vertAlign w:val="superscript"/>
        </w:rPr>
        <w:t>2</w:t>
      </w:r>
      <w:r>
        <w:rPr/>
        <w:t>.</w:t>
      </w:r>
    </w:p>
    <w:p>
      <w:pPr>
        <w:pStyle w:val="Normal"/>
        <w:shd w:fill="FFFFFF" w:val="clear"/>
        <w:ind w:firstLine="300"/>
        <w:jc w:val="both"/>
        <w:rPr/>
      </w:pPr>
      <w:r>
        <w:rPr>
          <w:b/>
          <w:bCs/>
        </w:rPr>
        <w:t>1.7.118.</w:t>
      </w:r>
      <w:r>
        <w:rPr/>
        <w:t xml:space="preserve"> У мест ввода заземляющих проводников в здания должен быть предусмотрен опознавательный знак </w:t>
      </w:r>
      <w:r>
        <w:rPr>
          <w:vertAlign w:val="subscript"/>
        </w:rPr>
        <w:drawing>
          <wp:inline distT="0" distB="0" distL="0" distR="0">
            <wp:extent cx="238760" cy="246380"/>
            <wp:effectExtent l="0" t="0" r="0" b="0"/>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22"/>
                    <a:srcRect l="-151" t="-145" r="-151" b="-145"/>
                    <a:stretch>
                      <a:fillRect/>
                    </a:stretch>
                  </pic:blipFill>
                  <pic:spPr bwMode="auto">
                    <a:xfrm>
                      <a:off x="0" y="0"/>
                      <a:ext cx="238760" cy="246380"/>
                    </a:xfrm>
                    <a:prstGeom prst="rect">
                      <a:avLst/>
                    </a:prstGeom>
                  </pic:spPr>
                </pic:pic>
              </a:graphicData>
            </a:graphic>
          </wp:inline>
        </w:drawing>
      </w:r>
    </w:p>
    <w:p>
      <w:pPr>
        <w:pStyle w:val="Heading3"/>
        <w:rPr/>
      </w:pPr>
      <w:r>
        <w:rPr/>
        <w:t>Главная заземляющая шина</w:t>
      </w:r>
    </w:p>
    <w:p>
      <w:pPr>
        <w:pStyle w:val="Normal"/>
        <w:shd w:fill="FFFFFF" w:val="clear"/>
        <w:ind w:firstLine="283"/>
        <w:jc w:val="both"/>
        <w:rPr/>
      </w:pPr>
      <w:r>
        <w:rPr>
          <w:b/>
          <w:bCs/>
        </w:rPr>
        <w:t>1.7.119.</w:t>
      </w:r>
      <w:r>
        <w:rPr/>
        <w:t xml:space="preserve"> Главная заземляющая шина может быть выполнена внутри вводного устройства электроустановки напряжением до 1 кВ или отдельно от него.</w:t>
      </w:r>
    </w:p>
    <w:p>
      <w:pPr>
        <w:pStyle w:val="Normal"/>
        <w:shd w:fill="FFFFFF" w:val="clear"/>
        <w:ind w:firstLine="283"/>
        <w:jc w:val="both"/>
        <w:rPr/>
      </w:pPr>
      <w:r>
        <w:rPr/>
        <w:t xml:space="preserve">Внутри вводного устройства в качестве главной заземляющей шины следует использовать шину </w:t>
      </w:r>
      <w:r>
        <w:rPr>
          <w:i/>
          <w:iCs/>
        </w:rPr>
        <w:t>РЕ.</w:t>
      </w:r>
    </w:p>
    <w:p>
      <w:pPr>
        <w:pStyle w:val="Normal"/>
        <w:shd w:fill="FFFFFF" w:val="clear"/>
        <w:ind w:firstLine="283"/>
        <w:jc w:val="both"/>
        <w:rPr/>
      </w:pPr>
      <w:r>
        <w:rPr/>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pPr>
        <w:pStyle w:val="Normal"/>
        <w:shd w:fill="FFFFFF" w:val="clear"/>
        <w:ind w:firstLine="283"/>
        <w:jc w:val="both"/>
        <w:rPr/>
      </w:pPr>
      <w:r>
        <w:rPr/>
        <w:t xml:space="preserve">Сечение отдельно установленной главной заземляющей шины должно быть не менее сечения </w:t>
      </w:r>
      <w:r>
        <w:rPr>
          <w:i/>
          <w:iCs/>
        </w:rPr>
        <w:t xml:space="preserve">РЕ </w:t>
      </w:r>
      <w:r>
        <w:rPr/>
        <w:t>(</w:t>
      </w:r>
      <w:r>
        <w:rPr>
          <w:i/>
          <w:iCs/>
        </w:rPr>
        <w:t>PEN)</w:t>
      </w:r>
      <w:r>
        <w:rPr/>
        <w:t>-проводника питающей линии.</w:t>
      </w:r>
    </w:p>
    <w:p>
      <w:pPr>
        <w:pStyle w:val="Normal"/>
        <w:shd w:fill="FFFFFF" w:val="clear"/>
        <w:ind w:firstLine="283"/>
        <w:jc w:val="both"/>
        <w:rPr/>
      </w:pPr>
      <w:r>
        <w:rP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pPr>
        <w:pStyle w:val="Normal"/>
        <w:shd w:fill="FFFFFF" w:val="clear"/>
        <w:ind w:firstLine="283"/>
        <w:jc w:val="both"/>
        <w:rPr/>
      </w:pPr>
      <w:r>
        <w:rPr/>
        <w:t>В конструкции шины должна быть предусмотрена возможность индивидуального отсоединения присоединенных к ней проводников</w:t>
      </w:r>
      <w:r>
        <w:rPr>
          <w:caps/>
        </w:rPr>
        <w:t xml:space="preserve">. </w:t>
      </w:r>
      <w:r>
        <w:rPr/>
        <w:t>Отсоединение должно быть возможно только с использованием инструмента.</w:t>
      </w:r>
    </w:p>
    <w:p>
      <w:pPr>
        <w:pStyle w:val="Normal"/>
        <w:shd w:fill="FFFFFF" w:val="clear"/>
        <w:ind w:firstLine="300"/>
        <w:jc w:val="both"/>
        <w:rPr/>
      </w:pPr>
      <w:r>
        <w:rPr/>
        <w:t xml:space="preserve">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Pr>
          <w:vertAlign w:val="subscript"/>
        </w:rPr>
        <w:drawing>
          <wp:inline distT="0" distB="0" distL="0" distR="0">
            <wp:extent cx="229870" cy="246380"/>
            <wp:effectExtent l="0" t="0" r="0" b="0"/>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23"/>
                    <a:srcRect l="-157" t="-145" r="-157" b="-145"/>
                    <a:stretch>
                      <a:fillRect/>
                    </a:stretch>
                  </pic:blipFill>
                  <pic:spPr bwMode="auto">
                    <a:xfrm>
                      <a:off x="0" y="0"/>
                      <a:ext cx="229870" cy="246380"/>
                    </a:xfrm>
                    <a:prstGeom prst="rect">
                      <a:avLst/>
                    </a:prstGeom>
                  </pic:spPr>
                </pic:pic>
              </a:graphicData>
            </a:graphic>
          </wp:inline>
        </w:drawing>
      </w:r>
      <w:r>
        <w:rPr>
          <w:vertAlign w:val="subscript"/>
        </w:rPr>
        <w:t>.</w:t>
      </w:r>
    </w:p>
    <w:p>
      <w:pPr>
        <w:pStyle w:val="Normal"/>
        <w:shd w:fill="FFFFFF" w:val="clear"/>
        <w:ind w:firstLine="283"/>
        <w:jc w:val="both"/>
        <w:rPr/>
      </w:pPr>
      <w:r>
        <w:rPr>
          <w:b/>
          <w:bCs/>
        </w:rPr>
        <w:t>1.7.120.</w:t>
      </w:r>
      <w:r>
        <w:rPr/>
        <w:t xml:space="preserve"> 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w:t>
      </w:r>
      <w:r>
        <w:rPr>
          <w:i/>
          <w:iCs/>
        </w:rPr>
        <w:t xml:space="preserve">РЕ </w:t>
      </w:r>
      <w:r>
        <w:rPr/>
        <w:t>(</w:t>
      </w:r>
      <w:r>
        <w:rPr>
          <w:i/>
          <w:iCs/>
        </w:rPr>
        <w:t>PEN)</w:t>
      </w:r>
      <w:r>
        <w:rPr/>
        <w:t xml:space="preserve">-проводника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w:t>
      </w:r>
      <w:r>
        <w:rPr>
          <w:b/>
          <w:bCs/>
        </w:rPr>
        <w:t xml:space="preserve">1.7.122 </w:t>
      </w:r>
      <w:r>
        <w:rPr/>
        <w:t>к непрерывности и проводимости электрической цепи.</w:t>
      </w:r>
    </w:p>
    <w:p>
      <w:pPr>
        <w:pStyle w:val="Heading3"/>
        <w:rPr/>
      </w:pPr>
      <w:r>
        <w:rPr/>
        <w:t>Защитные проводники (</w:t>
      </w:r>
      <w:r>
        <w:rPr>
          <w:i/>
          <w:iCs/>
        </w:rPr>
        <w:t>PE</w:t>
      </w:r>
      <w:r>
        <w:rPr/>
        <w:t>-проводники)</w:t>
      </w:r>
    </w:p>
    <w:p>
      <w:pPr>
        <w:pStyle w:val="Normal"/>
        <w:shd w:fill="FFFFFF" w:val="clear"/>
        <w:ind w:firstLine="283"/>
        <w:jc w:val="both"/>
        <w:rPr/>
      </w:pPr>
      <w:r>
        <w:rPr>
          <w:b/>
          <w:bCs/>
        </w:rPr>
        <w:t>1.7.121.</w:t>
      </w:r>
      <w:r>
        <w:rPr/>
        <w:t xml:space="preserve"> В качестве </w:t>
      </w:r>
      <w:r>
        <w:rPr>
          <w:i/>
          <w:iCs/>
        </w:rPr>
        <w:t>РЕ-</w:t>
      </w:r>
      <w:r>
        <w:rPr/>
        <w:t>проводников в электроустановках напряжением до 1 кВ могут использоваться:</w:t>
      </w:r>
    </w:p>
    <w:p>
      <w:pPr>
        <w:pStyle w:val="Normal"/>
        <w:shd w:fill="FFFFFF" w:val="clear"/>
        <w:ind w:firstLine="283"/>
        <w:jc w:val="both"/>
        <w:rPr/>
      </w:pPr>
      <w:r>
        <w:rPr/>
        <w:t>1) специально предусмотренные проводники:</w:t>
      </w:r>
    </w:p>
    <w:p>
      <w:pPr>
        <w:pStyle w:val="Normal"/>
        <w:shd w:fill="FFFFFF" w:val="clear"/>
        <w:ind w:firstLine="283"/>
        <w:jc w:val="both"/>
        <w:rPr/>
      </w:pPr>
      <w:r>
        <w:rPr/>
        <w:t>жилы многожильных кабелей;</w:t>
      </w:r>
    </w:p>
    <w:p>
      <w:pPr>
        <w:pStyle w:val="Normal"/>
        <w:shd w:fill="FFFFFF" w:val="clear"/>
        <w:ind w:firstLine="283"/>
        <w:jc w:val="both"/>
        <w:rPr/>
      </w:pPr>
      <w:r>
        <w:rPr/>
        <w:t>изолированные или неизолированные провода в общей оболочке с фазными проводами;</w:t>
      </w:r>
    </w:p>
    <w:p>
      <w:pPr>
        <w:pStyle w:val="Normal"/>
        <w:shd w:fill="FFFFFF" w:val="clear"/>
        <w:ind w:firstLine="283"/>
        <w:jc w:val="both"/>
        <w:rPr/>
      </w:pPr>
      <w:r>
        <w:rPr/>
        <w:t>стационарно проложенные изолированные или неизолированные проводники;</w:t>
      </w:r>
    </w:p>
    <w:p>
      <w:pPr>
        <w:pStyle w:val="Normal"/>
        <w:shd w:fill="FFFFFF" w:val="clear"/>
        <w:ind w:firstLine="283"/>
        <w:jc w:val="both"/>
        <w:rPr/>
      </w:pPr>
      <w:r>
        <w:rPr/>
        <w:t>2) открытые проводящие части электроустановок:</w:t>
      </w:r>
    </w:p>
    <w:p>
      <w:pPr>
        <w:pStyle w:val="Normal"/>
        <w:shd w:fill="FFFFFF" w:val="clear"/>
        <w:ind w:firstLine="283"/>
        <w:jc w:val="both"/>
        <w:rPr/>
      </w:pPr>
      <w:r>
        <w:rPr/>
        <w:t>алюминиевые оболочки кабелей;</w:t>
      </w:r>
    </w:p>
    <w:p>
      <w:pPr>
        <w:pStyle w:val="Normal"/>
        <w:shd w:fill="FFFFFF" w:val="clear"/>
        <w:ind w:firstLine="283"/>
        <w:jc w:val="both"/>
        <w:rPr/>
      </w:pPr>
      <w:r>
        <w:rPr/>
        <w:t>стальные трубы электропроводок;</w:t>
      </w:r>
    </w:p>
    <w:p>
      <w:pPr>
        <w:pStyle w:val="Normal"/>
        <w:shd w:fill="FFFFFF" w:val="clear"/>
        <w:ind w:firstLine="283"/>
        <w:jc w:val="both"/>
        <w:rPr/>
      </w:pPr>
      <w:r>
        <w:rPr/>
        <w:t>металлические оболочки и опорные конструкции шинопроводов и комплектных устройств заводского изготовления.</w:t>
      </w:r>
    </w:p>
    <w:p>
      <w:pPr>
        <w:pStyle w:val="Normal"/>
        <w:shd w:fill="FFFFFF" w:val="clear"/>
        <w:ind w:firstLine="283"/>
        <w:jc w:val="both"/>
        <w:rPr/>
      </w:pPr>
      <w:r>
        <w:rP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pPr>
        <w:pStyle w:val="Normal"/>
        <w:shd w:fill="FFFFFF" w:val="clear"/>
        <w:ind w:firstLine="283"/>
        <w:jc w:val="both"/>
        <w:rPr/>
      </w:pPr>
      <w:r>
        <w:rPr/>
        <w:t>3) некоторые сторонние проводящие части:</w:t>
      </w:r>
    </w:p>
    <w:p>
      <w:pPr>
        <w:pStyle w:val="Normal"/>
        <w:shd w:fill="FFFFFF" w:val="clear"/>
        <w:ind w:firstLine="283"/>
        <w:jc w:val="both"/>
        <w:rPr/>
      </w:pPr>
      <w:r>
        <w:rPr/>
        <w:t>металлические строительные конструкции зданий и сооружений (фермы, колонны и т.п.);</w:t>
      </w:r>
    </w:p>
    <w:p>
      <w:pPr>
        <w:pStyle w:val="Normal"/>
        <w:shd w:fill="FFFFFF" w:val="clear"/>
        <w:ind w:firstLine="283"/>
        <w:jc w:val="both"/>
        <w:rPr/>
      </w:pPr>
      <w:r>
        <w:rPr/>
        <w:t xml:space="preserve">арматура железобетонных строительных конструкций зданий при условии выполнения требований </w:t>
      </w:r>
      <w:r>
        <w:rPr>
          <w:b/>
          <w:bCs/>
          <w:color w:val="000000"/>
        </w:rPr>
        <w:t>1.7.122</w:t>
      </w:r>
      <w:r>
        <w:rPr>
          <w:b/>
          <w:bCs/>
        </w:rPr>
        <w:t>;</w:t>
      </w:r>
    </w:p>
    <w:p>
      <w:pPr>
        <w:pStyle w:val="Normal"/>
        <w:shd w:fill="FFFFFF" w:val="clear"/>
        <w:ind w:firstLine="283"/>
        <w:jc w:val="both"/>
        <w:rPr/>
      </w:pPr>
      <w:r>
        <w:rP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pPr>
        <w:pStyle w:val="Normal"/>
        <w:shd w:fill="FFFFFF" w:val="clear"/>
        <w:ind w:firstLine="283"/>
        <w:jc w:val="both"/>
        <w:rPr/>
      </w:pPr>
      <w:r>
        <w:rPr>
          <w:b/>
          <w:bCs/>
        </w:rPr>
        <w:t>1.7.122.</w:t>
      </w:r>
      <w:r>
        <w:rPr/>
        <w:t xml:space="preserve"> Использование открытых и сторонних проводящих частей в качестве </w:t>
      </w:r>
      <w:r>
        <w:rPr>
          <w:i/>
          <w:iCs/>
        </w:rPr>
        <w:t>РЕ</w:t>
      </w:r>
      <w:r>
        <w:rPr/>
        <w:t>-проводников допускается, если они отвечают требованиям настоящей главы к проводимости и непрерывности электрической цепи.</w:t>
      </w:r>
    </w:p>
    <w:p>
      <w:pPr>
        <w:pStyle w:val="Normal"/>
        <w:shd w:fill="FFFFFF" w:val="clear"/>
        <w:ind w:firstLine="283"/>
        <w:jc w:val="both"/>
        <w:rPr/>
      </w:pPr>
      <w:r>
        <w:rPr/>
        <w:t xml:space="preserve">Сторонние проводящие части могут быть использованы в качестве </w:t>
      </w:r>
      <w:r>
        <w:rPr>
          <w:i/>
          <w:iCs/>
        </w:rPr>
        <w:t>РЕ</w:t>
      </w:r>
      <w:r>
        <w:rPr/>
        <w:t>-проводников, если они, кроме того, одновременно отвечают следующим требованиям:</w:t>
      </w:r>
    </w:p>
    <w:p>
      <w:pPr>
        <w:pStyle w:val="Normal"/>
        <w:shd w:fill="FFFFFF" w:val="clear"/>
        <w:ind w:firstLine="283"/>
        <w:jc w:val="both"/>
        <w:rPr/>
      </w:pPr>
      <w:r>
        <w:rP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pPr>
        <w:pStyle w:val="Normal"/>
        <w:shd w:fill="FFFFFF" w:val="clear"/>
        <w:ind w:firstLine="283"/>
        <w:jc w:val="both"/>
        <w:rPr/>
      </w:pPr>
      <w:r>
        <w:rPr/>
        <w:t>2) их демонтаж невозможен, если не предусмотрены меры по сохранению непрерывности цепи и ее проводимости.</w:t>
      </w:r>
    </w:p>
    <w:p>
      <w:pPr>
        <w:pStyle w:val="Normal"/>
        <w:shd w:fill="FFFFFF" w:val="clear"/>
        <w:ind w:firstLine="283"/>
        <w:jc w:val="both"/>
        <w:rPr/>
      </w:pPr>
      <w:r>
        <w:rPr>
          <w:b/>
          <w:bCs/>
        </w:rPr>
        <w:t>1.7.123.</w:t>
      </w:r>
      <w:r>
        <w:rPr/>
        <w:t xml:space="preserve"> Не допускается использовать в качестве </w:t>
      </w:r>
      <w:r>
        <w:rPr>
          <w:i/>
          <w:iCs/>
        </w:rPr>
        <w:t>РЕ</w:t>
      </w:r>
      <w:r>
        <w:rPr/>
        <w:t>-проводников:</w:t>
      </w:r>
    </w:p>
    <w:p>
      <w:pPr>
        <w:pStyle w:val="Normal"/>
        <w:shd w:fill="FFFFFF" w:val="clear"/>
        <w:ind w:firstLine="283"/>
        <w:jc w:val="both"/>
        <w:rPr/>
      </w:pPr>
      <w:r>
        <w:rP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pPr>
        <w:pStyle w:val="Normal"/>
        <w:shd w:fill="FFFFFF" w:val="clear"/>
        <w:ind w:firstLine="283"/>
        <w:jc w:val="both"/>
        <w:rPr/>
      </w:pPr>
      <w:r>
        <w:rPr/>
        <w:t>трубопроводы газоснабжения и другие трубопроводы горючих и взрывоопасных веществ и смесей, трубы канализации и центрального отопления;</w:t>
      </w:r>
    </w:p>
    <w:p>
      <w:pPr>
        <w:pStyle w:val="Normal"/>
        <w:shd w:fill="FFFFFF" w:val="clear"/>
        <w:ind w:firstLine="283"/>
        <w:jc w:val="both"/>
        <w:rPr/>
      </w:pPr>
      <w:r>
        <w:rPr/>
        <w:t>водопроводные трубы при наличии в них изолирующих вставок.</w:t>
      </w:r>
    </w:p>
    <w:p>
      <w:pPr>
        <w:pStyle w:val="Normal"/>
        <w:shd w:fill="FFFFFF" w:val="clear"/>
        <w:ind w:firstLine="283"/>
        <w:jc w:val="both"/>
        <w:rPr/>
      </w:pPr>
      <w:r>
        <w:rPr>
          <w:b/>
          <w:bCs/>
        </w:rPr>
        <w:t>1.7.124.</w:t>
      </w:r>
      <w:r>
        <w:rPr/>
        <w:t xml:space="preserve"> 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pPr>
        <w:pStyle w:val="Normal"/>
        <w:shd w:fill="FFFFFF" w:val="clear"/>
        <w:ind w:firstLine="283"/>
        <w:jc w:val="both"/>
        <w:rPr/>
      </w:pPr>
      <w:r>
        <w:rPr>
          <w:b/>
          <w:bCs/>
        </w:rPr>
        <w:t>1.7.125.</w:t>
      </w:r>
      <w:r>
        <w:rPr/>
        <w:t xml:space="preserve"> Использование специально предусмотренных защитных проводников для иных целей не допускается.</w:t>
      </w:r>
    </w:p>
    <w:p>
      <w:pPr>
        <w:pStyle w:val="Normal"/>
        <w:shd w:fill="FFFFFF" w:val="clear"/>
        <w:ind w:firstLine="283"/>
        <w:jc w:val="both"/>
        <w:rPr/>
      </w:pPr>
      <w:r>
        <w:rPr>
          <w:b/>
          <w:bCs/>
        </w:rPr>
        <w:t>1.7.126.</w:t>
      </w:r>
      <w:r>
        <w:rPr/>
        <w:t xml:space="preserve"> Наименьшие площади поперечного сечения защитных проводников должны соответствовать табл. 1.7.5.</w:t>
      </w:r>
    </w:p>
    <w:p>
      <w:pPr>
        <w:pStyle w:val="Normal"/>
        <w:shd w:fill="FFFFFF" w:val="clear"/>
        <w:ind w:firstLine="283"/>
        <w:jc w:val="both"/>
        <w:rPr/>
      </w:pPr>
      <w:r>
        <w:rP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w:t>
      </w:r>
    </w:p>
    <w:p>
      <w:pPr>
        <w:pStyle w:val="Normal"/>
        <w:shd w:fill="FFFFFF" w:val="clear"/>
        <w:spacing w:before="120" w:after="120"/>
        <w:jc w:val="right"/>
        <w:rPr>
          <w:i/>
          <w:i/>
          <w:iCs/>
        </w:rPr>
      </w:pPr>
      <w:r>
        <w:rPr>
          <w:i/>
          <w:iCs/>
        </w:rPr>
        <w:t>Таблица 1.7.5</w:t>
      </w:r>
    </w:p>
    <w:p>
      <w:pPr>
        <w:pStyle w:val="Normal"/>
        <w:shd w:fill="FFFFFF" w:val="clear"/>
        <w:spacing w:before="0" w:after="120"/>
        <w:jc w:val="center"/>
        <w:rPr>
          <w:b/>
          <w:b/>
          <w:bCs/>
        </w:rPr>
      </w:pPr>
      <w:r>
        <w:rPr>
          <w:b/>
          <w:bCs/>
        </w:rPr>
        <w:t>Наименьшие сечения защитных проводников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796"/>
        <w:gridCol w:w="4559"/>
      </w:tblGrid>
      <w:tr>
        <w:trPr/>
        <w:tc>
          <w:tcPr>
            <w:tcW w:w="4796" w:type="dxa"/>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jc w:val="center"/>
              <w:rPr/>
            </w:pPr>
            <w:r>
              <w:rPr/>
              <w:t>Сечение фазных проводников, мм</w:t>
            </w:r>
            <w:r>
              <w:rPr>
                <w:vertAlign w:val="superscript"/>
              </w:rPr>
              <w:t>2</w:t>
            </w:r>
          </w:p>
        </w:tc>
        <w:tc>
          <w:tcPr>
            <w:tcW w:w="455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Наименьшее сечение защитных проводников, мм</w:t>
            </w:r>
          </w:p>
        </w:tc>
      </w:tr>
      <w:tr>
        <w:trPr/>
        <w:tc>
          <w:tcPr>
            <w:tcW w:w="4796" w:type="dxa"/>
            <w:tcBorders>
              <w:left w:val="single" w:sz="8" w:space="0" w:color="000000"/>
            </w:tcBorders>
            <w:shd w:fill="FFFFFF" w:val="clear"/>
          </w:tcPr>
          <w:p>
            <w:pPr>
              <w:pStyle w:val="Normal"/>
              <w:shd w:fill="FFFFFF" w:val="clear"/>
              <w:jc w:val="center"/>
              <w:rPr/>
            </w:pPr>
            <w:r>
              <w:rPr>
                <w:i/>
                <w:iCs/>
              </w:rPr>
              <w:t>S</w:t>
            </w:r>
            <w:r>
              <w:rPr/>
              <w:t xml:space="preserve"> </w:t>
            </w:r>
            <w:r>
              <w:rPr>
                <w:rFonts w:cs="Symbol" w:ascii="Symbol" w:hAnsi="Symbol"/>
              </w:rPr>
              <w:t></w:t>
            </w:r>
            <w:r>
              <w:rPr/>
              <w:t xml:space="preserve"> 16</w:t>
            </w:r>
          </w:p>
        </w:tc>
        <w:tc>
          <w:tcPr>
            <w:tcW w:w="45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i/>
                <w:i/>
                <w:iCs/>
              </w:rPr>
            </w:pPr>
            <w:r>
              <w:rPr>
                <w:i/>
                <w:iCs/>
              </w:rPr>
              <w:t>S</w:t>
            </w:r>
          </w:p>
        </w:tc>
      </w:tr>
      <w:tr>
        <w:trPr/>
        <w:tc>
          <w:tcPr>
            <w:tcW w:w="4796" w:type="dxa"/>
            <w:tcBorders>
              <w:left w:val="single" w:sz="8" w:space="0" w:color="000000"/>
            </w:tcBorders>
            <w:shd w:fill="FFFFFF" w:val="clear"/>
          </w:tcPr>
          <w:p>
            <w:pPr>
              <w:pStyle w:val="Normal"/>
              <w:shd w:fill="FFFFFF" w:val="clear"/>
              <w:jc w:val="center"/>
              <w:rPr/>
            </w:pPr>
            <w:r>
              <w:rPr/>
              <w:t xml:space="preserve">16 &lt; </w:t>
            </w:r>
            <w:r>
              <w:rPr>
                <w:i/>
                <w:iCs/>
              </w:rPr>
              <w:t>S</w:t>
            </w:r>
            <w:r>
              <w:rPr/>
              <w:t xml:space="preserve"> </w:t>
            </w:r>
            <w:r>
              <w:rPr>
                <w:rFonts w:cs="Symbol" w:ascii="Symbol" w:hAnsi="Symbol"/>
              </w:rPr>
              <w:t></w:t>
            </w:r>
            <w:r>
              <w:rPr/>
              <w:t xml:space="preserve"> 35</w:t>
            </w:r>
          </w:p>
        </w:tc>
        <w:tc>
          <w:tcPr>
            <w:tcW w:w="45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16</w:t>
            </w:r>
          </w:p>
        </w:tc>
      </w:tr>
      <w:tr>
        <w:trPr/>
        <w:tc>
          <w:tcPr>
            <w:tcW w:w="4796"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i/>
                <w:iCs/>
              </w:rPr>
              <w:t>S</w:t>
            </w:r>
            <w:r>
              <w:rPr/>
              <w:t xml:space="preserve"> &gt; 35</w:t>
            </w:r>
          </w:p>
        </w:tc>
        <w:tc>
          <w:tcPr>
            <w:tcW w:w="45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i/>
                <w:iCs/>
              </w:rPr>
              <w:t>S</w:t>
            </w:r>
            <w:r>
              <w:rPr/>
              <w:t>/2</w:t>
            </w:r>
          </w:p>
        </w:tc>
      </w:tr>
    </w:tbl>
    <w:p>
      <w:pPr>
        <w:pStyle w:val="Normal"/>
        <w:shd w:fill="FFFFFF" w:val="clear"/>
        <w:spacing w:before="120" w:after="0"/>
        <w:ind w:firstLine="283"/>
        <w:jc w:val="both"/>
        <w:rPr/>
      </w:pPr>
      <w:r>
        <w:rPr/>
        <w:t xml:space="preserve">Допускается, при необходимости, принимать сечение защитного проводника менее требуемых, если оно рассчитано по формуле (только для времени отключения </w:t>
      </w:r>
      <w:r>
        <w:rPr>
          <w:rFonts w:cs="Symbol" w:ascii="Symbol" w:hAnsi="Symbol"/>
        </w:rPr>
        <w:t></w:t>
      </w:r>
      <w:r>
        <w:rPr/>
        <w:t xml:space="preserve"> 5 с):</w:t>
      </w:r>
    </w:p>
    <w:p>
      <w:pPr>
        <w:pStyle w:val="Normal"/>
        <w:shd w:fill="FFFFFF" w:val="clear"/>
        <w:spacing w:before="120" w:after="120"/>
        <w:jc w:val="center"/>
        <w:rPr/>
      </w:pPr>
      <w:r>
        <w:rPr>
          <w:i/>
          <w:iCs/>
        </w:rPr>
        <w:t>S</w:t>
      </w:r>
      <w:r>
        <w:rPr/>
        <w:t xml:space="preserve"> </w:t>
      </w:r>
      <w:r>
        <w:rPr>
          <w:rFonts w:cs="Symbol" w:ascii="Symbol" w:hAnsi="Symbol"/>
        </w:rPr>
        <w:t></w:t>
      </w:r>
      <w:r>
        <w:rPr/>
        <w:t xml:space="preserve"> I</w:t>
      </w:r>
      <w:r>
        <w:rPr>
          <w:vertAlign w:val="subscript"/>
        </w:rPr>
        <w:drawing>
          <wp:inline distT="0" distB="0" distL="0" distR="0">
            <wp:extent cx="209550" cy="228600"/>
            <wp:effectExtent l="0" t="0" r="0" b="0"/>
            <wp:docPr id="1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pic:cNvPicPr>
                      <a:picLocks noChangeAspect="1" noChangeArrowheads="1"/>
                    </pic:cNvPicPr>
                  </pic:nvPicPr>
                  <pic:blipFill>
                    <a:blip r:embed="rId24"/>
                    <a:srcRect l="-171" t="-157" r="-171" b="-157"/>
                    <a:stretch>
                      <a:fillRect/>
                    </a:stretch>
                  </pic:blipFill>
                  <pic:spPr bwMode="auto">
                    <a:xfrm>
                      <a:off x="0" y="0"/>
                      <a:ext cx="209550" cy="228600"/>
                    </a:xfrm>
                    <a:prstGeom prst="rect">
                      <a:avLst/>
                    </a:prstGeom>
                  </pic:spPr>
                </pic:pic>
              </a:graphicData>
            </a:graphic>
          </wp:inline>
        </w:drawing>
      </w:r>
      <w:r>
        <w:rPr/>
        <w:t>/</w:t>
      </w:r>
      <w:r>
        <w:rPr>
          <w:i/>
          <w:iCs/>
        </w:rPr>
        <w:t>k</w:t>
      </w:r>
      <w:r>
        <w:rPr/>
        <w:t>,</w:t>
      </w:r>
    </w:p>
    <w:p>
      <w:pPr>
        <w:pStyle w:val="Normal"/>
        <w:shd w:fill="FFFFFF" w:val="clear"/>
        <w:jc w:val="both"/>
        <w:rPr/>
      </w:pPr>
      <w:r>
        <w:rPr/>
        <w:t xml:space="preserve">где </w:t>
      </w:r>
      <w:r>
        <w:rPr>
          <w:i/>
          <w:iCs/>
        </w:rPr>
        <w:t xml:space="preserve">S - </w:t>
      </w:r>
      <w:r>
        <w:rPr/>
        <w:t>площадь поперечного сечения защитного проводника, мм</w:t>
      </w:r>
      <w:r>
        <w:rPr>
          <w:vertAlign w:val="superscript"/>
        </w:rPr>
        <w:t>2</w:t>
      </w:r>
      <w:r>
        <w:rPr/>
        <w:t>;</w:t>
      </w:r>
    </w:p>
    <w:p>
      <w:pPr>
        <w:pStyle w:val="Normal"/>
        <w:shd w:fill="FFFFFF" w:val="clear"/>
        <w:ind w:left="700" w:hanging="417"/>
        <w:jc w:val="both"/>
        <w:rPr/>
      </w:pPr>
      <w:r>
        <w:rPr>
          <w:i/>
          <w:iCs/>
        </w:rPr>
        <w:t>I</w:t>
      </w:r>
      <w:r>
        <w:rPr/>
        <w:t xml:space="preserve"> - ток короткого замыкания, обеспечивающий время отключения поврежденной цепи защитным аппаратом в соответствии с табл. 1.7.1 и 1.7.2 или за время не более 5 с в соответствии с </w:t>
      </w:r>
      <w:r>
        <w:rPr>
          <w:b/>
          <w:bCs/>
        </w:rPr>
        <w:t xml:space="preserve">1.7.79, </w:t>
      </w:r>
      <w:r>
        <w:rPr/>
        <w:t>А;</w:t>
      </w:r>
    </w:p>
    <w:p>
      <w:pPr>
        <w:pStyle w:val="Normal"/>
        <w:shd w:fill="FFFFFF" w:val="clear"/>
        <w:ind w:firstLine="400"/>
        <w:jc w:val="both"/>
        <w:rPr/>
      </w:pPr>
      <w:r>
        <w:rPr>
          <w:i/>
          <w:iCs/>
        </w:rPr>
        <w:t xml:space="preserve">t - </w:t>
      </w:r>
      <w:r>
        <w:rPr/>
        <w:t>время срабатывания защитного аппарата, с;</w:t>
      </w:r>
    </w:p>
    <w:p>
      <w:pPr>
        <w:pStyle w:val="Normal"/>
        <w:shd w:fill="FFFFFF" w:val="clear"/>
        <w:ind w:left="700" w:hanging="400"/>
        <w:jc w:val="both"/>
        <w:rPr/>
      </w:pPr>
      <w:r>
        <w:rPr>
          <w:i/>
          <w:iCs/>
        </w:rPr>
        <w:t xml:space="preserve">k - </w:t>
      </w:r>
      <w:r>
        <w:rPr/>
        <w:t xml:space="preserve">коэффициент, значение которого зависит от материала защитного проводника, его изоляции, начальной и конечной температур. Значение </w:t>
      </w:r>
      <w:r>
        <w:rPr>
          <w:i/>
          <w:iCs/>
        </w:rPr>
        <w:t xml:space="preserve">k </w:t>
      </w:r>
      <w:r>
        <w:rPr/>
        <w:t>для защитных проводников в различных условиях приведены в табл. 1.7.6-1.7.9.</w:t>
      </w:r>
    </w:p>
    <w:p>
      <w:pPr>
        <w:pStyle w:val="Normal"/>
        <w:shd w:fill="FFFFFF" w:val="clear"/>
        <w:ind w:firstLine="283"/>
        <w:jc w:val="both"/>
        <w:rPr/>
      </w:pPr>
      <w:r>
        <w:rPr/>
        <w:t>Если при расчете получается сечение, отличное от приведенного в табл. 1.7.5,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pPr>
        <w:pStyle w:val="Normal"/>
        <w:shd w:fill="FFFFFF" w:val="clear"/>
        <w:ind w:firstLine="283"/>
        <w:jc w:val="both"/>
        <w:rPr/>
      </w:pPr>
      <w:r>
        <w:rPr/>
        <w:t>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ГОСТ 22782.0 «Электрооборудование взрывозащищенное. Общие технические требования и методы испытаний».</w:t>
      </w:r>
    </w:p>
    <w:p>
      <w:pPr>
        <w:pStyle w:val="Normal"/>
        <w:shd w:fill="FFFFFF" w:val="clear"/>
        <w:ind w:firstLine="283"/>
        <w:jc w:val="both"/>
        <w:rPr/>
      </w:pPr>
      <w:r>
        <w:rPr>
          <w:b/>
          <w:bCs/>
        </w:rPr>
        <w:t>1.7.127.</w:t>
      </w:r>
      <w:r>
        <w:rPr/>
        <w:t xml:space="preserve">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pPr>
        <w:pStyle w:val="Normal"/>
        <w:shd w:fill="FFFFFF" w:val="clear"/>
        <w:ind w:firstLine="283"/>
        <w:jc w:val="both"/>
        <w:rPr/>
      </w:pPr>
      <w:r>
        <w:rPr/>
        <w:t>2,5 мм</w:t>
      </w:r>
      <w:r>
        <w:rPr>
          <w:vertAlign w:val="superscript"/>
        </w:rPr>
        <w:t>2</w:t>
      </w:r>
      <w:r>
        <w:rPr/>
        <w:t xml:space="preserve"> - при наличии механической защиты;</w:t>
      </w:r>
    </w:p>
    <w:p>
      <w:pPr>
        <w:pStyle w:val="Normal"/>
        <w:shd w:fill="FFFFFF" w:val="clear"/>
        <w:ind w:firstLine="283"/>
        <w:jc w:val="both"/>
        <w:rPr/>
      </w:pPr>
      <w:r>
        <w:rPr/>
        <w:t>4 мм</w:t>
      </w:r>
      <w:r>
        <w:rPr>
          <w:vertAlign w:val="superscript"/>
        </w:rPr>
        <w:t>2</w:t>
      </w:r>
      <w:r>
        <w:rPr/>
        <w:t xml:space="preserve"> - при отсутствии механической защиты.</w:t>
      </w:r>
    </w:p>
    <w:p>
      <w:pPr>
        <w:pStyle w:val="Normal"/>
        <w:shd w:fill="FFFFFF" w:val="clear"/>
        <w:ind w:firstLine="283"/>
        <w:jc w:val="both"/>
        <w:rPr/>
      </w:pPr>
      <w:r>
        <w:rPr/>
        <w:t>Сечение отдельно проложенных защитных алюминиевых проводников должно быть не менее 16 мм</w:t>
      </w:r>
      <w:r>
        <w:rPr>
          <w:vertAlign w:val="superscript"/>
        </w:rPr>
        <w:t>2</w:t>
      </w:r>
      <w:r>
        <w:rPr/>
        <w:t>.</w:t>
      </w:r>
    </w:p>
    <w:p>
      <w:pPr>
        <w:pStyle w:val="Normal"/>
        <w:shd w:fill="FFFFFF" w:val="clear"/>
        <w:ind w:firstLine="283"/>
        <w:jc w:val="both"/>
        <w:rPr/>
      </w:pPr>
      <w:r>
        <w:rPr>
          <w:b/>
          <w:bCs/>
        </w:rPr>
        <w:t>1.7.128.</w:t>
      </w:r>
      <w:r>
        <w:rPr/>
        <w:t xml:space="preserve"> В системе </w:t>
      </w:r>
      <w:r>
        <w:rPr>
          <w:i/>
          <w:iCs/>
        </w:rPr>
        <w:t>TN</w:t>
      </w:r>
      <w:r>
        <w:rPr/>
        <w:t xml:space="preserve"> для обеспечения требований </w:t>
      </w:r>
      <w:r>
        <w:rPr>
          <w:b/>
          <w:bCs/>
        </w:rPr>
        <w:t xml:space="preserve">1.7.88 </w:t>
      </w:r>
      <w:r>
        <w:rPr/>
        <w:t>нулевые защитные проводники рекомендуется прокладывать совместно или в непосредственной близости с фазными проводниками.</w:t>
      </w:r>
    </w:p>
    <w:p>
      <w:pPr>
        <w:pStyle w:val="Normal"/>
        <w:shd w:fill="FFFFFF" w:val="clear"/>
        <w:spacing w:before="120" w:after="120"/>
        <w:jc w:val="right"/>
        <w:rPr>
          <w:i/>
          <w:i/>
          <w:iCs/>
        </w:rPr>
      </w:pPr>
      <w:r>
        <w:rPr>
          <w:i/>
          <w:iCs/>
        </w:rPr>
        <w:t>Таблица 1.7.6</w:t>
      </w:r>
    </w:p>
    <w:p>
      <w:pPr>
        <w:pStyle w:val="Normal"/>
        <w:shd w:fill="FFFFFF" w:val="clear"/>
        <w:spacing w:before="0" w:after="120"/>
        <w:jc w:val="center"/>
        <w:rPr>
          <w:b/>
          <w:b/>
          <w:bCs/>
        </w:rPr>
      </w:pPr>
      <w:r>
        <w:rPr>
          <w:b/>
          <w:bCs/>
        </w:rPr>
        <w:t xml:space="preserve">Значение коэффициента А для изолированных защитных проводников, не входящих в кабель, и для неизолированных проводников, касающихся оболочки кабелей </w:t>
        <w:br/>
        <w:t>(начальная температура проводника принята равной 30 °С)</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393"/>
        <w:gridCol w:w="1931"/>
        <w:gridCol w:w="2885"/>
        <w:gridCol w:w="2146"/>
      </w:tblGrid>
      <w:tr>
        <w:trPr>
          <w:tblHeader w:val="true"/>
        </w:trPr>
        <w:tc>
          <w:tcPr>
            <w:tcW w:w="239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Параметр</w:t>
            </w:r>
          </w:p>
        </w:tc>
        <w:tc>
          <w:tcPr>
            <w:tcW w:w="6962"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Материал изоляции</w:t>
            </w:r>
          </w:p>
        </w:tc>
      </w:tr>
      <w:tr>
        <w:trPr>
          <w:tblHeader w:val="true"/>
        </w:trPr>
        <w:tc>
          <w:tcPr>
            <w:tcW w:w="239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931"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Поливинилхлорид (ПВХ)</w:t>
            </w:r>
          </w:p>
        </w:tc>
        <w:tc>
          <w:tcPr>
            <w:tcW w:w="288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 xml:space="preserve">Сшитый полиэтилен, этиленпропиленовая резина </w:t>
            </w:r>
          </w:p>
        </w:tc>
        <w:tc>
          <w:tcPr>
            <w:tcW w:w="214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Бутиловая резина</w:t>
            </w:r>
          </w:p>
        </w:tc>
      </w:tr>
      <w:tr>
        <w:trPr/>
        <w:tc>
          <w:tcPr>
            <w:tcW w:w="239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Конечная температура, °С</w:t>
            </w:r>
          </w:p>
        </w:tc>
        <w:tc>
          <w:tcPr>
            <w:tcW w:w="19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160</w:t>
            </w:r>
          </w:p>
        </w:tc>
        <w:tc>
          <w:tcPr>
            <w:tcW w:w="288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250</w:t>
            </w:r>
          </w:p>
        </w:tc>
        <w:tc>
          <w:tcPr>
            <w:tcW w:w="214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220</w:t>
            </w:r>
          </w:p>
        </w:tc>
      </w:tr>
      <w:tr>
        <w:trPr/>
        <w:tc>
          <w:tcPr>
            <w:tcW w:w="2393" w:type="dxa"/>
            <w:tcBorders>
              <w:left w:val="single" w:sz="8" w:space="0" w:color="000000"/>
            </w:tcBorders>
            <w:shd w:fill="FFFFFF" w:val="clear"/>
          </w:tcPr>
          <w:p>
            <w:pPr>
              <w:pStyle w:val="Normal"/>
              <w:shd w:fill="FFFFFF" w:val="clear"/>
              <w:jc w:val="both"/>
              <w:rPr/>
            </w:pPr>
            <w:r>
              <w:rPr>
                <w:i/>
                <w:iCs/>
              </w:rPr>
              <w:t xml:space="preserve">k </w:t>
            </w:r>
            <w:r>
              <w:rPr/>
              <w:t>проводника:</w:t>
            </w:r>
          </w:p>
        </w:tc>
        <w:tc>
          <w:tcPr>
            <w:tcW w:w="1931" w:type="dxa"/>
            <w:tcBorders>
              <w:left w:val="single" w:sz="8" w:space="0" w:color="000000"/>
            </w:tcBorders>
            <w:shd w:fill="FFFFFF" w:val="clear"/>
            <w:tcMar>
              <w:left w:w="0" w:type="dxa"/>
              <w:right w:w="0" w:type="dxa"/>
            </w:tcMar>
          </w:tcPr>
          <w:p>
            <w:pPr>
              <w:pStyle w:val="Normal"/>
              <w:snapToGrid w:val="false"/>
              <w:rPr/>
            </w:pPr>
            <w:r>
              <w:rPr/>
            </w:r>
          </w:p>
        </w:tc>
        <w:tc>
          <w:tcPr>
            <w:tcW w:w="2885" w:type="dxa"/>
            <w:tcBorders>
              <w:left w:val="single" w:sz="8" w:space="0" w:color="000000"/>
            </w:tcBorders>
            <w:shd w:fill="FFFFFF" w:val="clear"/>
            <w:tcMar>
              <w:left w:w="0" w:type="dxa"/>
              <w:right w:w="0" w:type="dxa"/>
            </w:tcMar>
          </w:tcPr>
          <w:p>
            <w:pPr>
              <w:pStyle w:val="Normal"/>
              <w:snapToGrid w:val="false"/>
              <w:rPr/>
            </w:pPr>
            <w:r>
              <w:rPr/>
            </w:r>
          </w:p>
        </w:tc>
        <w:tc>
          <w:tcPr>
            <w:tcW w:w="2146"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2393" w:type="dxa"/>
            <w:tcBorders>
              <w:left w:val="single" w:sz="8" w:space="0" w:color="000000"/>
            </w:tcBorders>
            <w:shd w:fill="FFFFFF" w:val="clear"/>
          </w:tcPr>
          <w:p>
            <w:pPr>
              <w:pStyle w:val="Normal"/>
              <w:shd w:fill="FFFFFF" w:val="clear"/>
              <w:ind w:left="300" w:hanging="0"/>
              <w:jc w:val="both"/>
              <w:rPr/>
            </w:pPr>
            <w:r>
              <w:rPr/>
              <w:t>медного</w:t>
            </w:r>
          </w:p>
        </w:tc>
        <w:tc>
          <w:tcPr>
            <w:tcW w:w="1931" w:type="dxa"/>
            <w:tcBorders>
              <w:left w:val="single" w:sz="8" w:space="0" w:color="000000"/>
            </w:tcBorders>
            <w:shd w:fill="FFFFFF" w:val="clear"/>
            <w:tcMar>
              <w:left w:w="0" w:type="dxa"/>
              <w:right w:w="0" w:type="dxa"/>
            </w:tcMar>
          </w:tcPr>
          <w:p>
            <w:pPr>
              <w:pStyle w:val="Normal"/>
              <w:shd w:fill="FFFFFF" w:val="clear"/>
              <w:jc w:val="center"/>
              <w:rPr/>
            </w:pPr>
            <w:r>
              <w:rPr/>
              <w:t>143</w:t>
            </w:r>
          </w:p>
        </w:tc>
        <w:tc>
          <w:tcPr>
            <w:tcW w:w="2885" w:type="dxa"/>
            <w:tcBorders>
              <w:left w:val="single" w:sz="8" w:space="0" w:color="000000"/>
            </w:tcBorders>
            <w:shd w:fill="FFFFFF" w:val="clear"/>
            <w:tcMar>
              <w:left w:w="0" w:type="dxa"/>
              <w:right w:w="0" w:type="dxa"/>
            </w:tcMar>
          </w:tcPr>
          <w:p>
            <w:pPr>
              <w:pStyle w:val="Normal"/>
              <w:shd w:fill="FFFFFF" w:val="clear"/>
              <w:jc w:val="center"/>
              <w:rPr/>
            </w:pPr>
            <w:r>
              <w:rPr/>
              <w:t>176</w:t>
            </w:r>
          </w:p>
        </w:tc>
        <w:tc>
          <w:tcPr>
            <w:tcW w:w="2146"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166</w:t>
            </w:r>
          </w:p>
        </w:tc>
      </w:tr>
      <w:tr>
        <w:trPr/>
        <w:tc>
          <w:tcPr>
            <w:tcW w:w="2393" w:type="dxa"/>
            <w:tcBorders>
              <w:left w:val="single" w:sz="8" w:space="0" w:color="000000"/>
            </w:tcBorders>
            <w:shd w:fill="FFFFFF" w:val="clear"/>
          </w:tcPr>
          <w:p>
            <w:pPr>
              <w:pStyle w:val="Normal"/>
              <w:shd w:fill="FFFFFF" w:val="clear"/>
              <w:ind w:left="300" w:hanging="0"/>
              <w:jc w:val="both"/>
              <w:rPr/>
            </w:pPr>
            <w:r>
              <w:rPr/>
              <w:t>алюминиевого</w:t>
            </w:r>
          </w:p>
        </w:tc>
        <w:tc>
          <w:tcPr>
            <w:tcW w:w="1931" w:type="dxa"/>
            <w:tcBorders>
              <w:left w:val="single" w:sz="8" w:space="0" w:color="000000"/>
            </w:tcBorders>
            <w:shd w:fill="FFFFFF" w:val="clear"/>
            <w:tcMar>
              <w:left w:w="0" w:type="dxa"/>
              <w:right w:w="0" w:type="dxa"/>
            </w:tcMar>
          </w:tcPr>
          <w:p>
            <w:pPr>
              <w:pStyle w:val="Normal"/>
              <w:shd w:fill="FFFFFF" w:val="clear"/>
              <w:jc w:val="center"/>
              <w:rPr/>
            </w:pPr>
            <w:r>
              <w:rPr/>
              <w:t>95</w:t>
            </w:r>
          </w:p>
        </w:tc>
        <w:tc>
          <w:tcPr>
            <w:tcW w:w="2885" w:type="dxa"/>
            <w:tcBorders>
              <w:left w:val="single" w:sz="8" w:space="0" w:color="000000"/>
            </w:tcBorders>
            <w:shd w:fill="FFFFFF" w:val="clear"/>
            <w:tcMar>
              <w:left w:w="0" w:type="dxa"/>
              <w:right w:w="0" w:type="dxa"/>
            </w:tcMar>
          </w:tcPr>
          <w:p>
            <w:pPr>
              <w:pStyle w:val="Normal"/>
              <w:shd w:fill="FFFFFF" w:val="clear"/>
              <w:jc w:val="center"/>
              <w:rPr/>
            </w:pPr>
            <w:r>
              <w:rPr/>
              <w:t>116</w:t>
            </w:r>
          </w:p>
        </w:tc>
        <w:tc>
          <w:tcPr>
            <w:tcW w:w="2146"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110</w:t>
            </w:r>
          </w:p>
        </w:tc>
      </w:tr>
      <w:tr>
        <w:trPr/>
        <w:tc>
          <w:tcPr>
            <w:tcW w:w="2393" w:type="dxa"/>
            <w:tcBorders>
              <w:left w:val="single" w:sz="8" w:space="0" w:color="000000"/>
              <w:bottom w:val="single" w:sz="8" w:space="0" w:color="000000"/>
              <w:insideH w:val="single" w:sz="8" w:space="0" w:color="000000"/>
            </w:tcBorders>
            <w:shd w:fill="FFFFFF" w:val="clear"/>
          </w:tcPr>
          <w:p>
            <w:pPr>
              <w:pStyle w:val="Normal"/>
              <w:shd w:fill="FFFFFF" w:val="clear"/>
              <w:ind w:left="300" w:hanging="0"/>
              <w:jc w:val="both"/>
              <w:rPr/>
            </w:pPr>
            <w:r>
              <w:rPr/>
              <w:t>стального</w:t>
            </w:r>
          </w:p>
        </w:tc>
        <w:tc>
          <w:tcPr>
            <w:tcW w:w="19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52</w:t>
            </w:r>
          </w:p>
        </w:tc>
        <w:tc>
          <w:tcPr>
            <w:tcW w:w="288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64</w:t>
            </w:r>
          </w:p>
        </w:tc>
        <w:tc>
          <w:tcPr>
            <w:tcW w:w="214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60</w:t>
            </w:r>
          </w:p>
        </w:tc>
      </w:tr>
    </w:tbl>
    <w:p>
      <w:pPr>
        <w:pStyle w:val="Normal"/>
        <w:shd w:fill="FFFFFF" w:val="clear"/>
        <w:spacing w:before="120" w:after="120"/>
        <w:jc w:val="right"/>
        <w:rPr>
          <w:i/>
          <w:i/>
          <w:iCs/>
        </w:rPr>
      </w:pPr>
      <w:r>
        <w:rPr>
          <w:i/>
          <w:iCs/>
        </w:rPr>
        <w:t>Таблица 1.7.7</w:t>
      </w:r>
    </w:p>
    <w:p>
      <w:pPr>
        <w:pStyle w:val="Normal"/>
        <w:shd w:fill="FFFFFF" w:val="clear"/>
        <w:spacing w:before="0" w:after="120"/>
        <w:jc w:val="center"/>
        <w:rPr/>
      </w:pPr>
      <w:r>
        <w:rPr>
          <w:b/>
          <w:bCs/>
        </w:rPr>
        <w:t xml:space="preserve">Значение коэффициента </w:t>
      </w:r>
      <w:r>
        <w:rPr>
          <w:b/>
          <w:bCs/>
          <w:i/>
          <w:iCs/>
        </w:rPr>
        <w:t xml:space="preserve">k </w:t>
      </w:r>
      <w:r>
        <w:rPr>
          <w:b/>
          <w:bCs/>
        </w:rPr>
        <w:t>для защитного проводника, входящего в многожильный кабель</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83"/>
        <w:gridCol w:w="2057"/>
        <w:gridCol w:w="2546"/>
        <w:gridCol w:w="2169"/>
      </w:tblGrid>
      <w:tr>
        <w:trPr>
          <w:tblHeader w:val="true"/>
        </w:trPr>
        <w:tc>
          <w:tcPr>
            <w:tcW w:w="258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Параметр</w:t>
            </w:r>
          </w:p>
        </w:tc>
        <w:tc>
          <w:tcPr>
            <w:tcW w:w="6772"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Материал изоляции</w:t>
            </w:r>
          </w:p>
        </w:tc>
      </w:tr>
      <w:tr>
        <w:trPr>
          <w:tblHeader w:val="true"/>
        </w:trPr>
        <w:tc>
          <w:tcPr>
            <w:tcW w:w="258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057"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Поливинилхлорид (ПВХ)</w:t>
            </w:r>
          </w:p>
        </w:tc>
        <w:tc>
          <w:tcPr>
            <w:tcW w:w="254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Сшитый полиэтилен, этиленпропиленовая резина</w:t>
            </w:r>
          </w:p>
        </w:tc>
        <w:tc>
          <w:tcPr>
            <w:tcW w:w="21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Бутиловая резина</w:t>
            </w:r>
          </w:p>
        </w:tc>
      </w:tr>
      <w:tr>
        <w:trPr/>
        <w:tc>
          <w:tcPr>
            <w:tcW w:w="258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Начальная температура, °С</w:t>
            </w:r>
          </w:p>
        </w:tc>
        <w:tc>
          <w:tcPr>
            <w:tcW w:w="205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70</w:t>
            </w:r>
          </w:p>
        </w:tc>
        <w:tc>
          <w:tcPr>
            <w:tcW w:w="25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90</w:t>
            </w:r>
          </w:p>
        </w:tc>
        <w:tc>
          <w:tcPr>
            <w:tcW w:w="21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85</w:t>
            </w:r>
          </w:p>
        </w:tc>
      </w:tr>
      <w:tr>
        <w:trPr/>
        <w:tc>
          <w:tcPr>
            <w:tcW w:w="258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Конечная температура, °С</w:t>
            </w:r>
          </w:p>
        </w:tc>
        <w:tc>
          <w:tcPr>
            <w:tcW w:w="205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160</w:t>
            </w:r>
          </w:p>
        </w:tc>
        <w:tc>
          <w:tcPr>
            <w:tcW w:w="25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250</w:t>
            </w:r>
          </w:p>
        </w:tc>
        <w:tc>
          <w:tcPr>
            <w:tcW w:w="21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220</w:t>
            </w:r>
          </w:p>
        </w:tc>
      </w:tr>
      <w:tr>
        <w:trPr/>
        <w:tc>
          <w:tcPr>
            <w:tcW w:w="2583" w:type="dxa"/>
            <w:tcBorders>
              <w:left w:val="single" w:sz="8" w:space="0" w:color="000000"/>
            </w:tcBorders>
            <w:shd w:fill="FFFFFF" w:val="clear"/>
          </w:tcPr>
          <w:p>
            <w:pPr>
              <w:pStyle w:val="Normal"/>
              <w:shd w:fill="FFFFFF" w:val="clear"/>
              <w:jc w:val="both"/>
              <w:rPr/>
            </w:pPr>
            <w:r>
              <w:rPr>
                <w:i/>
                <w:iCs/>
              </w:rPr>
              <w:t xml:space="preserve">k </w:t>
            </w:r>
            <w:r>
              <w:rPr/>
              <w:t xml:space="preserve">проводника: </w:t>
            </w:r>
          </w:p>
        </w:tc>
        <w:tc>
          <w:tcPr>
            <w:tcW w:w="2057" w:type="dxa"/>
            <w:tcBorders>
              <w:left w:val="single" w:sz="8" w:space="0" w:color="000000"/>
            </w:tcBorders>
            <w:shd w:fill="FFFFFF" w:val="clear"/>
            <w:tcMar>
              <w:left w:w="0" w:type="dxa"/>
              <w:right w:w="0" w:type="dxa"/>
            </w:tcMar>
          </w:tcPr>
          <w:p>
            <w:pPr>
              <w:pStyle w:val="Normal"/>
              <w:snapToGrid w:val="false"/>
              <w:rPr/>
            </w:pPr>
            <w:r>
              <w:rPr/>
            </w:r>
          </w:p>
        </w:tc>
        <w:tc>
          <w:tcPr>
            <w:tcW w:w="2546" w:type="dxa"/>
            <w:tcBorders>
              <w:left w:val="single" w:sz="8" w:space="0" w:color="000000"/>
            </w:tcBorders>
            <w:shd w:fill="FFFFFF" w:val="clear"/>
            <w:tcMar>
              <w:left w:w="0" w:type="dxa"/>
              <w:right w:w="0" w:type="dxa"/>
            </w:tcMar>
          </w:tcPr>
          <w:p>
            <w:pPr>
              <w:pStyle w:val="Normal"/>
              <w:snapToGrid w:val="false"/>
              <w:rPr/>
            </w:pPr>
            <w:r>
              <w:rPr/>
            </w:r>
          </w:p>
        </w:tc>
        <w:tc>
          <w:tcPr>
            <w:tcW w:w="21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2583" w:type="dxa"/>
            <w:tcBorders>
              <w:left w:val="single" w:sz="8" w:space="0" w:color="000000"/>
            </w:tcBorders>
            <w:shd w:fill="FFFFFF" w:val="clear"/>
          </w:tcPr>
          <w:p>
            <w:pPr>
              <w:pStyle w:val="Normal"/>
              <w:shd w:fill="FFFFFF" w:val="clear"/>
              <w:ind w:left="300" w:hanging="0"/>
              <w:jc w:val="both"/>
              <w:rPr/>
            </w:pPr>
            <w:r>
              <w:rPr/>
              <w:t>медного</w:t>
            </w:r>
          </w:p>
        </w:tc>
        <w:tc>
          <w:tcPr>
            <w:tcW w:w="2057" w:type="dxa"/>
            <w:tcBorders>
              <w:left w:val="single" w:sz="8" w:space="0" w:color="000000"/>
            </w:tcBorders>
            <w:shd w:fill="FFFFFF" w:val="clear"/>
            <w:tcMar>
              <w:left w:w="0" w:type="dxa"/>
              <w:right w:w="0" w:type="dxa"/>
            </w:tcMar>
          </w:tcPr>
          <w:p>
            <w:pPr>
              <w:pStyle w:val="Normal"/>
              <w:shd w:fill="FFFFFF" w:val="clear"/>
              <w:jc w:val="center"/>
              <w:rPr/>
            </w:pPr>
            <w:r>
              <w:rPr/>
              <w:t>115</w:t>
            </w:r>
          </w:p>
        </w:tc>
        <w:tc>
          <w:tcPr>
            <w:tcW w:w="2546" w:type="dxa"/>
            <w:tcBorders>
              <w:left w:val="single" w:sz="8" w:space="0" w:color="000000"/>
            </w:tcBorders>
            <w:shd w:fill="FFFFFF" w:val="clear"/>
            <w:tcMar>
              <w:left w:w="0" w:type="dxa"/>
              <w:right w:w="0" w:type="dxa"/>
            </w:tcMar>
          </w:tcPr>
          <w:p>
            <w:pPr>
              <w:pStyle w:val="Normal"/>
              <w:shd w:fill="FFFFFF" w:val="clear"/>
              <w:jc w:val="center"/>
              <w:rPr/>
            </w:pPr>
            <w:r>
              <w:rPr/>
              <w:t>143</w:t>
            </w:r>
          </w:p>
        </w:tc>
        <w:tc>
          <w:tcPr>
            <w:tcW w:w="21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134</w:t>
            </w:r>
          </w:p>
        </w:tc>
      </w:tr>
      <w:tr>
        <w:trPr/>
        <w:tc>
          <w:tcPr>
            <w:tcW w:w="2583" w:type="dxa"/>
            <w:tcBorders>
              <w:left w:val="single" w:sz="8" w:space="0" w:color="000000"/>
              <w:bottom w:val="single" w:sz="8" w:space="0" w:color="000000"/>
              <w:insideH w:val="single" w:sz="8" w:space="0" w:color="000000"/>
            </w:tcBorders>
            <w:shd w:fill="FFFFFF" w:val="clear"/>
          </w:tcPr>
          <w:p>
            <w:pPr>
              <w:pStyle w:val="Normal"/>
              <w:shd w:fill="FFFFFF" w:val="clear"/>
              <w:ind w:left="300" w:hanging="0"/>
              <w:jc w:val="both"/>
              <w:rPr/>
            </w:pPr>
            <w:r>
              <w:rPr/>
              <w:t>алюминиевого</w:t>
            </w:r>
          </w:p>
        </w:tc>
        <w:tc>
          <w:tcPr>
            <w:tcW w:w="205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76</w:t>
            </w:r>
          </w:p>
        </w:tc>
        <w:tc>
          <w:tcPr>
            <w:tcW w:w="25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94</w:t>
            </w:r>
          </w:p>
        </w:tc>
        <w:tc>
          <w:tcPr>
            <w:tcW w:w="21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89</w:t>
            </w:r>
          </w:p>
        </w:tc>
      </w:tr>
    </w:tbl>
    <w:p>
      <w:pPr>
        <w:pStyle w:val="Normal"/>
        <w:shd w:fill="FFFFFF" w:val="clear"/>
        <w:spacing w:before="120" w:after="120"/>
        <w:jc w:val="right"/>
        <w:rPr>
          <w:i/>
          <w:i/>
          <w:iCs/>
        </w:rPr>
      </w:pPr>
      <w:r>
        <w:rPr>
          <w:i/>
          <w:iCs/>
        </w:rPr>
        <w:t>Таблица 1.7.8</w:t>
      </w:r>
    </w:p>
    <w:p>
      <w:pPr>
        <w:pStyle w:val="Normal"/>
        <w:shd w:fill="FFFFFF" w:val="clear"/>
        <w:spacing w:before="0" w:after="120"/>
        <w:jc w:val="center"/>
        <w:rPr/>
      </w:pPr>
      <w:r>
        <w:rPr>
          <w:b/>
          <w:bCs/>
        </w:rPr>
        <w:t xml:space="preserve">Значение коэффициента </w:t>
      </w:r>
      <w:r>
        <w:rPr>
          <w:b/>
          <w:bCs/>
          <w:i/>
          <w:iCs/>
        </w:rPr>
        <w:t xml:space="preserve">k </w:t>
      </w:r>
      <w:r>
        <w:rPr>
          <w:b/>
          <w:bCs/>
        </w:rPr>
        <w:t>при использовании в качестве защитного проводника алюминиевой оболочки кабеля</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08"/>
        <w:gridCol w:w="2271"/>
        <w:gridCol w:w="2507"/>
        <w:gridCol w:w="2069"/>
      </w:tblGrid>
      <w:tr>
        <w:trPr>
          <w:tblHeader w:val="true"/>
        </w:trPr>
        <w:tc>
          <w:tcPr>
            <w:tcW w:w="250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Параметр</w:t>
            </w:r>
          </w:p>
        </w:tc>
        <w:tc>
          <w:tcPr>
            <w:tcW w:w="6847"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Материал изоляции</w:t>
            </w:r>
          </w:p>
        </w:tc>
      </w:tr>
      <w:tr>
        <w:trPr>
          <w:tblHeader w:val="true"/>
        </w:trPr>
        <w:tc>
          <w:tcPr>
            <w:tcW w:w="250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271"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Поливинилхлорид (ПВХ)</w:t>
            </w:r>
          </w:p>
        </w:tc>
        <w:tc>
          <w:tcPr>
            <w:tcW w:w="250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Сшитый полиэтилен, этиленпропиленовая резина</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Бутиловая резина</w:t>
            </w:r>
          </w:p>
        </w:tc>
      </w:tr>
      <w:tr>
        <w:trPr/>
        <w:tc>
          <w:tcPr>
            <w:tcW w:w="2508"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Начальная температура, °С</w:t>
            </w:r>
          </w:p>
        </w:tc>
        <w:tc>
          <w:tcPr>
            <w:tcW w:w="22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60</w:t>
            </w:r>
          </w:p>
        </w:tc>
        <w:tc>
          <w:tcPr>
            <w:tcW w:w="25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80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75</w:t>
            </w:r>
          </w:p>
        </w:tc>
      </w:tr>
      <w:tr>
        <w:trPr/>
        <w:tc>
          <w:tcPr>
            <w:tcW w:w="2508"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Конечная температура, °С</w:t>
            </w:r>
          </w:p>
        </w:tc>
        <w:tc>
          <w:tcPr>
            <w:tcW w:w="22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160</w:t>
            </w:r>
          </w:p>
        </w:tc>
        <w:tc>
          <w:tcPr>
            <w:tcW w:w="25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250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220</w:t>
            </w:r>
          </w:p>
        </w:tc>
      </w:tr>
      <w:tr>
        <w:trPr/>
        <w:tc>
          <w:tcPr>
            <w:tcW w:w="2508" w:type="dxa"/>
            <w:tcBorders>
              <w:left w:val="single" w:sz="8" w:space="0" w:color="000000"/>
              <w:bottom w:val="single" w:sz="8" w:space="0" w:color="000000"/>
              <w:insideH w:val="single" w:sz="8" w:space="0" w:color="000000"/>
            </w:tcBorders>
            <w:shd w:fill="FFFFFF" w:val="clear"/>
          </w:tcPr>
          <w:p>
            <w:pPr>
              <w:pStyle w:val="Normal"/>
              <w:shd w:fill="FFFFFF" w:val="clear"/>
              <w:jc w:val="both"/>
              <w:rPr>
                <w:i/>
                <w:i/>
                <w:iCs/>
              </w:rPr>
            </w:pPr>
            <w:r>
              <w:rPr>
                <w:i/>
                <w:iCs/>
              </w:rPr>
              <w:t>k</w:t>
            </w:r>
          </w:p>
        </w:tc>
        <w:tc>
          <w:tcPr>
            <w:tcW w:w="22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81</w:t>
            </w:r>
          </w:p>
        </w:tc>
        <w:tc>
          <w:tcPr>
            <w:tcW w:w="25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98</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93</w:t>
            </w:r>
          </w:p>
        </w:tc>
      </w:tr>
    </w:tbl>
    <w:p>
      <w:pPr>
        <w:pStyle w:val="Normal"/>
        <w:shd w:fill="FFFFFF" w:val="clear"/>
        <w:spacing w:before="120" w:after="120"/>
        <w:jc w:val="right"/>
        <w:rPr>
          <w:i/>
          <w:i/>
          <w:iCs/>
        </w:rPr>
      </w:pPr>
      <w:r>
        <w:rPr>
          <w:i/>
          <w:iCs/>
        </w:rPr>
        <w:t>Таблица 1.7.9</w:t>
      </w:r>
    </w:p>
    <w:p>
      <w:pPr>
        <w:pStyle w:val="Normal"/>
        <w:shd w:fill="FFFFFF" w:val="clear"/>
        <w:spacing w:before="0" w:after="120"/>
        <w:jc w:val="center"/>
        <w:rPr/>
      </w:pPr>
      <w:r>
        <w:rPr>
          <w:b/>
          <w:bCs/>
        </w:rPr>
        <w:t xml:space="preserve">Значение коэффициента </w:t>
      </w:r>
      <w:r>
        <w:rPr>
          <w:b/>
          <w:bCs/>
          <w:i/>
          <w:iCs/>
        </w:rPr>
        <w:t xml:space="preserve">k </w:t>
      </w:r>
      <w:r>
        <w:rPr>
          <w:b/>
          <w:bCs/>
        </w:rPr>
        <w:t xml:space="preserve">для неизолированных проводников, когда указанные температуры не создают опасности повреждения находящихся вблизи материалов </w:t>
        <w:br/>
        <w:t>(начальная температура проводника принята равной 30 °С)</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732"/>
        <w:gridCol w:w="2336"/>
        <w:gridCol w:w="2073"/>
        <w:gridCol w:w="1551"/>
        <w:gridCol w:w="1663"/>
      </w:tblGrid>
      <w:tr>
        <w:trPr>
          <w:tblHeader w:val="true"/>
        </w:trPr>
        <w:tc>
          <w:tcPr>
            <w:tcW w:w="173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Материал проводника</w:t>
            </w:r>
          </w:p>
        </w:tc>
        <w:tc>
          <w:tcPr>
            <w:tcW w:w="233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Условия</w:t>
            </w:r>
          </w:p>
        </w:tc>
        <w:tc>
          <w:tcPr>
            <w:tcW w:w="5287"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Проводники</w:t>
            </w:r>
          </w:p>
        </w:tc>
      </w:tr>
      <w:tr>
        <w:trPr>
          <w:tblHeader w:val="true"/>
        </w:trPr>
        <w:tc>
          <w:tcPr>
            <w:tcW w:w="173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3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073" w:type="dxa"/>
            <w:vMerge w:val="restart"/>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Проложенные открыто и в специально отведенных местах</w:t>
            </w:r>
          </w:p>
        </w:tc>
        <w:tc>
          <w:tcPr>
            <w:tcW w:w="3214"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Эксплуатируемые</w:t>
            </w:r>
          </w:p>
        </w:tc>
      </w:tr>
      <w:tr>
        <w:trPr>
          <w:tblHeader w:val="true"/>
        </w:trPr>
        <w:tc>
          <w:tcPr>
            <w:tcW w:w="173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3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073"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551"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в нормальной среде</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в пожароопасной среде</w:t>
            </w:r>
          </w:p>
        </w:tc>
      </w:tr>
      <w:tr>
        <w:trPr/>
        <w:tc>
          <w:tcPr>
            <w:tcW w:w="173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Медь</w:t>
            </w:r>
          </w:p>
        </w:tc>
        <w:tc>
          <w:tcPr>
            <w:tcW w:w="23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Максимальная температура, °С</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500*</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200</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150</w:t>
            </w:r>
          </w:p>
        </w:tc>
      </w:tr>
      <w:tr>
        <w:trPr/>
        <w:tc>
          <w:tcPr>
            <w:tcW w:w="173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36" w:type="dxa"/>
            <w:tcBorders>
              <w:left w:val="single" w:sz="8" w:space="0" w:color="000000"/>
              <w:bottom w:val="single" w:sz="8" w:space="0" w:color="000000"/>
              <w:insideH w:val="single" w:sz="8" w:space="0" w:color="000000"/>
            </w:tcBorders>
            <w:shd w:fill="FFFFFF" w:val="clear"/>
          </w:tcPr>
          <w:p>
            <w:pPr>
              <w:pStyle w:val="Normal"/>
              <w:shd w:fill="FFFFFF" w:val="clear"/>
              <w:jc w:val="both"/>
              <w:rPr>
                <w:i/>
                <w:i/>
                <w:iCs/>
              </w:rPr>
            </w:pPr>
            <w:r>
              <w:rPr>
                <w:i/>
                <w:iCs/>
              </w:rPr>
              <w:t>k</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228</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159</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138</w:t>
            </w:r>
          </w:p>
        </w:tc>
      </w:tr>
      <w:tr>
        <w:trPr/>
        <w:tc>
          <w:tcPr>
            <w:tcW w:w="173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Алюминий</w:t>
            </w:r>
          </w:p>
        </w:tc>
        <w:tc>
          <w:tcPr>
            <w:tcW w:w="23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Максимальная температура, °С</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300*</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200</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150</w:t>
            </w:r>
          </w:p>
        </w:tc>
      </w:tr>
      <w:tr>
        <w:trPr/>
        <w:tc>
          <w:tcPr>
            <w:tcW w:w="173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36" w:type="dxa"/>
            <w:tcBorders>
              <w:left w:val="single" w:sz="8" w:space="0" w:color="000000"/>
              <w:bottom w:val="single" w:sz="8" w:space="0" w:color="000000"/>
              <w:insideH w:val="single" w:sz="8" w:space="0" w:color="000000"/>
            </w:tcBorders>
            <w:shd w:fill="FFFFFF" w:val="clear"/>
          </w:tcPr>
          <w:p>
            <w:pPr>
              <w:pStyle w:val="Normal"/>
              <w:shd w:fill="FFFFFF" w:val="clear"/>
              <w:jc w:val="both"/>
              <w:rPr>
                <w:i/>
                <w:i/>
                <w:iCs/>
              </w:rPr>
            </w:pPr>
            <w:r>
              <w:rPr>
                <w:i/>
                <w:iCs/>
              </w:rPr>
              <w:t>k</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125</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105</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91</w:t>
            </w:r>
          </w:p>
        </w:tc>
      </w:tr>
      <w:tr>
        <w:trPr/>
        <w:tc>
          <w:tcPr>
            <w:tcW w:w="173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Сталь</w:t>
            </w:r>
          </w:p>
        </w:tc>
        <w:tc>
          <w:tcPr>
            <w:tcW w:w="23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Максимальная температура, °С</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500*</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200</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150</w:t>
            </w:r>
          </w:p>
        </w:tc>
      </w:tr>
      <w:tr>
        <w:trPr/>
        <w:tc>
          <w:tcPr>
            <w:tcW w:w="173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36" w:type="dxa"/>
            <w:tcBorders>
              <w:left w:val="single" w:sz="8" w:space="0" w:color="000000"/>
              <w:bottom w:val="single" w:sz="8" w:space="0" w:color="000000"/>
              <w:insideH w:val="single" w:sz="8" w:space="0" w:color="000000"/>
            </w:tcBorders>
            <w:shd w:fill="FFFFFF" w:val="clear"/>
          </w:tcPr>
          <w:p>
            <w:pPr>
              <w:pStyle w:val="Normal"/>
              <w:shd w:fill="FFFFFF" w:val="clear"/>
              <w:jc w:val="both"/>
              <w:rPr>
                <w:i/>
                <w:i/>
                <w:iCs/>
              </w:rPr>
            </w:pPr>
            <w:r>
              <w:rPr>
                <w:i/>
                <w:iCs/>
              </w:rPr>
              <w:t>k</w:t>
            </w:r>
          </w:p>
        </w:tc>
        <w:tc>
          <w:tcPr>
            <w:tcW w:w="20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82</w:t>
            </w:r>
          </w:p>
        </w:tc>
        <w:tc>
          <w:tcPr>
            <w:tcW w:w="1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58</w:t>
            </w:r>
          </w:p>
        </w:tc>
        <w:tc>
          <w:tcPr>
            <w:tcW w:w="16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50</w:t>
            </w:r>
          </w:p>
        </w:tc>
      </w:tr>
    </w:tbl>
    <w:p>
      <w:pPr>
        <w:pStyle w:val="Normal"/>
        <w:shd w:fill="FFFFFF" w:val="clear"/>
        <w:spacing w:before="120" w:after="120"/>
        <w:ind w:firstLine="283"/>
        <w:jc w:val="both"/>
        <w:rPr/>
      </w:pPr>
      <w:r>
        <w:rPr/>
        <w:t>* Указанные температуры допускаются, если они не ухудшают качество соединений.</w:t>
      </w:r>
    </w:p>
    <w:p>
      <w:pPr>
        <w:pStyle w:val="Normal"/>
        <w:shd w:fill="FFFFFF" w:val="clear"/>
        <w:ind w:firstLine="283"/>
        <w:jc w:val="both"/>
        <w:rPr/>
      </w:pPr>
      <w:r>
        <w:rPr>
          <w:b/>
          <w:bCs/>
        </w:rPr>
        <w:t>1.7.129.</w:t>
      </w:r>
      <w:r>
        <w:rPr/>
        <w:t xml:space="preserve">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pPr>
        <w:pStyle w:val="Normal"/>
        <w:shd w:fill="FFFFFF" w:val="clear"/>
        <w:ind w:firstLine="283"/>
        <w:jc w:val="both"/>
        <w:rPr/>
      </w:pPr>
      <w:r>
        <w:rPr>
          <w:b/>
          <w:bCs/>
        </w:rPr>
        <w:t>1.7.130.</w:t>
      </w:r>
      <w:r>
        <w:rPr/>
        <w:t xml:space="preserve"> Неизолированные </w:t>
      </w:r>
      <w:r>
        <w:rPr>
          <w:i/>
          <w:iCs/>
        </w:rPr>
        <w:t>РЕ</w:t>
      </w:r>
      <w:r>
        <w:rPr/>
        <w:t xml:space="preserve">-проводники должны быть защищены от коррозии. В местах пересечения </w:t>
      </w:r>
      <w:r>
        <w:rPr>
          <w:i/>
          <w:iCs/>
        </w:rPr>
        <w:t>РЕ</w:t>
      </w:r>
      <w:r>
        <w:rPr/>
        <w:t xml:space="preserve">-проводников с кабелями, трубопроводами, железнодорожными путями, в местах их ввода в здания и в других местах, где возможны механические повреждения </w:t>
      </w:r>
      <w:r>
        <w:rPr>
          <w:i/>
          <w:iCs/>
        </w:rPr>
        <w:t>РЕ</w:t>
      </w:r>
      <w:r>
        <w:rPr/>
        <w:t>-проводников, эти проводники должны быть защищены.</w:t>
      </w:r>
    </w:p>
    <w:p>
      <w:pPr>
        <w:pStyle w:val="Normal"/>
        <w:shd w:fill="FFFFFF" w:val="clear"/>
        <w:ind w:firstLine="283"/>
        <w:jc w:val="both"/>
        <w:rPr/>
      </w:pPr>
      <w:r>
        <w:rPr/>
        <w:t xml:space="preserve">В местах пересечения температурных и осадочных швов должна быть предусмотрена компенсация длины </w:t>
      </w:r>
      <w:r>
        <w:rPr>
          <w:i/>
          <w:iCs/>
        </w:rPr>
        <w:t>РЕ</w:t>
      </w:r>
      <w:r>
        <w:rPr/>
        <w:t>-проводников.</w:t>
      </w:r>
    </w:p>
    <w:p>
      <w:pPr>
        <w:pStyle w:val="Heading3"/>
        <w:rPr/>
      </w:pPr>
      <w:r>
        <w:rPr/>
        <w:t>Совмещенные нулевые защитные и нулевые рабочие проводники (</w:t>
      </w:r>
      <w:r>
        <w:rPr>
          <w:i/>
          <w:iCs/>
        </w:rPr>
        <w:t>PEN</w:t>
      </w:r>
      <w:r>
        <w:rPr/>
        <w:t>-проводники)</w:t>
      </w:r>
    </w:p>
    <w:p>
      <w:pPr>
        <w:pStyle w:val="Normal"/>
        <w:shd w:fill="FFFFFF" w:val="clear"/>
        <w:ind w:firstLine="283"/>
        <w:jc w:val="both"/>
        <w:rPr/>
      </w:pPr>
      <w:r>
        <w:rPr>
          <w:b/>
          <w:bCs/>
        </w:rPr>
        <w:t>1.7.131.</w:t>
      </w:r>
      <w:r>
        <w:rPr/>
        <w:t xml:space="preserve"> В многофазных цепях в системе </w:t>
      </w:r>
      <w:r>
        <w:rPr>
          <w:i/>
          <w:iCs/>
        </w:rPr>
        <w:t xml:space="preserve">TN </w:t>
      </w:r>
      <w:r>
        <w:rPr/>
        <w:t>для стационарно проложенных кабелей, жилы которых имеют площадь поперечного сечения не менее 10 мм</w:t>
      </w:r>
      <w:r>
        <w:rPr>
          <w:vertAlign w:val="superscript"/>
        </w:rPr>
        <w:t>2</w:t>
      </w:r>
      <w:r>
        <w:rPr/>
        <w:t xml:space="preserve"> по меди или 16 мм</w:t>
      </w:r>
      <w:r>
        <w:rPr>
          <w:vertAlign w:val="superscript"/>
        </w:rPr>
        <w:t>2</w:t>
      </w:r>
      <w:r>
        <w:rPr/>
        <w:t xml:space="preserve"> по алюминию, функции нулевого защитного </w:t>
      </w:r>
      <w:r>
        <w:rPr>
          <w:i/>
          <w:iCs/>
        </w:rPr>
        <w:t xml:space="preserve">(РЕ) </w:t>
      </w:r>
      <w:r>
        <w:rPr/>
        <w:t xml:space="preserve">и нулевого рабочего </w:t>
      </w:r>
      <w:r>
        <w:rPr>
          <w:i/>
          <w:iCs/>
        </w:rPr>
        <w:t xml:space="preserve">(N) </w:t>
      </w:r>
      <w:r>
        <w:rPr/>
        <w:t>проводников могут быть совмещены в одном проводнике (</w:t>
      </w:r>
      <w:r>
        <w:rPr>
          <w:i/>
          <w:iCs/>
        </w:rPr>
        <w:t>PEN</w:t>
      </w:r>
      <w:r>
        <w:rPr/>
        <w:t>-проводник).</w:t>
      </w:r>
    </w:p>
    <w:p>
      <w:pPr>
        <w:pStyle w:val="Normal"/>
        <w:shd w:fill="FFFFFF" w:val="clear"/>
        <w:ind w:firstLine="283"/>
        <w:jc w:val="both"/>
        <w:rPr/>
      </w:pPr>
      <w:r>
        <w:rPr>
          <w:b/>
          <w:bCs/>
        </w:rPr>
        <w:t>1.7.132.</w:t>
      </w:r>
      <w:r>
        <w:rPr/>
        <w:t xml:space="preserve"> 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pPr>
        <w:pStyle w:val="Normal"/>
        <w:shd w:fill="FFFFFF" w:val="clear"/>
        <w:ind w:firstLine="283"/>
        <w:jc w:val="both"/>
        <w:rPr/>
      </w:pPr>
      <w:r>
        <w:rPr>
          <w:b/>
          <w:bCs/>
        </w:rPr>
        <w:t>1.7.133.</w:t>
      </w:r>
      <w:r>
        <w:rPr/>
        <w:t xml:space="preserve"> Не допускается использование сторонних проводящих частей в качестве единственного </w:t>
      </w:r>
      <w:r>
        <w:rPr>
          <w:i/>
          <w:iCs/>
        </w:rPr>
        <w:t>PEN</w:t>
      </w:r>
      <w:r>
        <w:rPr/>
        <w:t>-проводника.</w:t>
      </w:r>
    </w:p>
    <w:p>
      <w:pPr>
        <w:pStyle w:val="Normal"/>
        <w:shd w:fill="FFFFFF" w:val="clear"/>
        <w:ind w:firstLine="283"/>
        <w:jc w:val="both"/>
        <w:rPr/>
      </w:pPr>
      <w:r>
        <w:rPr/>
        <w:t xml:space="preserve">Это требование не исключает использования открытых и сторонних проводящих частей в качестве дополнительного </w:t>
      </w:r>
      <w:r>
        <w:rPr>
          <w:i/>
          <w:iCs/>
        </w:rPr>
        <w:t>PEN</w:t>
      </w:r>
      <w:r>
        <w:rPr/>
        <w:t>-проводника при присоединении их к системе уравнивания потенциалов.</w:t>
      </w:r>
    </w:p>
    <w:p>
      <w:pPr>
        <w:pStyle w:val="Normal"/>
        <w:shd w:fill="FFFFFF" w:val="clear"/>
        <w:ind w:firstLine="283"/>
        <w:jc w:val="both"/>
        <w:rPr/>
      </w:pPr>
      <w:r>
        <w:rPr>
          <w:b/>
          <w:bCs/>
        </w:rPr>
        <w:t>1.7.134.</w:t>
      </w:r>
      <w:r>
        <w:rPr/>
        <w:t xml:space="preserve"> Специально предусмотренные </w:t>
      </w:r>
      <w:r>
        <w:rPr>
          <w:i/>
          <w:iCs/>
        </w:rPr>
        <w:t>PEN</w:t>
      </w:r>
      <w:r>
        <w:rPr/>
        <w:t xml:space="preserve">-проводники должны соответствовать требованиям </w:t>
      </w:r>
      <w:r>
        <w:rPr>
          <w:b/>
          <w:bCs/>
        </w:rPr>
        <w:t xml:space="preserve">1.7.126 </w:t>
      </w:r>
      <w:r>
        <w:rPr/>
        <w:t>к сечению защитных проводников, а также требованиям гл. 2.1 к нулевому рабочему проводнику.</w:t>
      </w:r>
    </w:p>
    <w:p>
      <w:pPr>
        <w:pStyle w:val="Normal"/>
        <w:shd w:fill="FFFFFF" w:val="clear"/>
        <w:ind w:firstLine="283"/>
        <w:jc w:val="both"/>
        <w:rPr/>
      </w:pPr>
      <w:r>
        <w:rPr/>
        <w:t xml:space="preserve">Изоляция </w:t>
      </w:r>
      <w:r>
        <w:rPr>
          <w:i/>
          <w:iCs/>
        </w:rPr>
        <w:t>PEN</w:t>
      </w:r>
      <w:r>
        <w:rPr/>
        <w:t xml:space="preserve">-проводников должна быть равноценна изоляции фазных проводников. Не требуется изолировать шину </w:t>
      </w:r>
      <w:r>
        <w:rPr>
          <w:i/>
          <w:iCs/>
        </w:rPr>
        <w:t>PEN</w:t>
      </w:r>
      <w:r>
        <w:rPr/>
        <w:t xml:space="preserve"> сборных шин низковольтных комплектных устройств.</w:t>
      </w:r>
    </w:p>
    <w:p>
      <w:pPr>
        <w:pStyle w:val="Normal"/>
        <w:shd w:fill="FFFFFF" w:val="clear"/>
        <w:ind w:firstLine="283"/>
        <w:jc w:val="both"/>
        <w:rPr/>
      </w:pPr>
      <w:r>
        <w:rPr>
          <w:b/>
          <w:bCs/>
        </w:rPr>
        <w:t>1.7.135.</w:t>
      </w:r>
      <w:r>
        <w:rPr/>
        <w:t xml:space="preserve"> 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 В месте разделения </w:t>
      </w:r>
      <w:r>
        <w:rPr>
          <w:i/>
          <w:iCs/>
        </w:rPr>
        <w:t>PEN</w:t>
      </w:r>
      <w:r>
        <w:rP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i/>
          <w:iCs/>
        </w:rPr>
        <w:t>PEN</w:t>
      </w:r>
      <w:r>
        <w:rPr/>
        <w:t xml:space="preserve">-проводник питающей линии должен быть подключен к зажиму или шине нулевого защитного </w:t>
      </w:r>
      <w:r>
        <w:rPr>
          <w:i/>
          <w:iCs/>
        </w:rPr>
        <w:t>РЕ</w:t>
      </w:r>
      <w:r>
        <w:rPr/>
        <w:t>-проводника.</w:t>
      </w:r>
    </w:p>
    <w:p>
      <w:pPr>
        <w:pStyle w:val="Heading3"/>
        <w:rPr/>
      </w:pPr>
      <w:bookmarkStart w:id="6" w:name="_%D0%9F%D1%80%D0%BE%D0%B2%D0%BE%D0%B4%D0"/>
      <w:bookmarkEnd w:id="6"/>
      <w:r>
        <w:rPr/>
        <w:t>Проводники системы уравнивания потенциалов</w:t>
      </w:r>
    </w:p>
    <w:p>
      <w:pPr>
        <w:pStyle w:val="Normal"/>
        <w:shd w:fill="FFFFFF" w:val="clear"/>
        <w:ind w:firstLine="283"/>
        <w:jc w:val="both"/>
        <w:rPr/>
      </w:pPr>
      <w:r>
        <w:rPr>
          <w:b/>
          <w:bCs/>
        </w:rPr>
        <w:t>1.7.136.</w:t>
      </w:r>
      <w:r>
        <w:rPr/>
        <w:t xml:space="preserve"> В качестве проводников системы уравнивания потенциалов могут быть использованы открытые и сторонние проводящие части, указанные в </w:t>
      </w:r>
      <w:r>
        <w:rPr>
          <w:b/>
          <w:bCs/>
        </w:rPr>
        <w:t xml:space="preserve">1.7.121, </w:t>
      </w:r>
      <w:r>
        <w:rPr/>
        <w:t>или специально проложенные проводники, или их сочетание.</w:t>
      </w:r>
    </w:p>
    <w:p>
      <w:pPr>
        <w:pStyle w:val="Normal"/>
        <w:shd w:fill="FFFFFF" w:val="clear"/>
        <w:ind w:firstLine="283"/>
        <w:jc w:val="both"/>
        <w:rPr/>
      </w:pPr>
      <w:r>
        <w:rPr>
          <w:b/>
          <w:bCs/>
        </w:rPr>
        <w:t>1.7.137.</w:t>
      </w:r>
      <w:r>
        <w:rPr/>
        <w:t xml:space="preserve">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vertAlign w:val="superscript"/>
        </w:rPr>
        <w:t>2</w:t>
      </w:r>
      <w:r>
        <w:rPr/>
        <w:t xml:space="preserve"> 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Pr>
          <w:vertAlign w:val="superscript"/>
        </w:rPr>
        <w:t>2</w:t>
      </w:r>
      <w:r>
        <w:rPr/>
        <w:t>, алюминиевых - 16 мм</w:t>
      </w:r>
      <w:r>
        <w:rPr>
          <w:vertAlign w:val="superscript"/>
        </w:rPr>
        <w:t>2</w:t>
      </w:r>
      <w:r>
        <w:rPr/>
        <w:t>, стальных - 50 мм</w:t>
      </w:r>
      <w:r>
        <w:rPr>
          <w:vertAlign w:val="superscript"/>
        </w:rPr>
        <w:t>2</w:t>
      </w:r>
      <w:r>
        <w:rPr/>
        <w:t>.</w:t>
      </w:r>
    </w:p>
    <w:p>
      <w:pPr>
        <w:pStyle w:val="Normal"/>
        <w:shd w:fill="FFFFFF" w:val="clear"/>
        <w:ind w:firstLine="283"/>
        <w:jc w:val="both"/>
        <w:rPr/>
      </w:pPr>
      <w:r>
        <w:rPr>
          <w:b/>
          <w:bCs/>
        </w:rPr>
        <w:t>1.7.138.</w:t>
      </w:r>
      <w:r>
        <w:rPr/>
        <w:t xml:space="preserve"> Сечение проводников дополнительной системы уравнивания потенциалов должно быть не менее:</w:t>
      </w:r>
    </w:p>
    <w:p>
      <w:pPr>
        <w:pStyle w:val="Normal"/>
        <w:shd w:fill="FFFFFF" w:val="clear"/>
        <w:ind w:firstLine="283"/>
        <w:jc w:val="both"/>
        <w:rPr/>
      </w:pPr>
      <w:r>
        <w:rPr/>
        <w:t>при соединении двух открытых проводящих частей - сечения меньшего из защитных проводников, подключенных к этим частям;</w:t>
      </w:r>
    </w:p>
    <w:p>
      <w:pPr>
        <w:pStyle w:val="Normal"/>
        <w:shd w:fill="FFFFFF" w:val="clear"/>
        <w:ind w:firstLine="283"/>
        <w:jc w:val="both"/>
        <w:rPr/>
      </w:pPr>
      <w:r>
        <w:rP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pPr>
        <w:pStyle w:val="Normal"/>
        <w:shd w:fill="FFFFFF" w:val="clear"/>
        <w:ind w:firstLine="283"/>
        <w:jc w:val="both"/>
        <w:rPr/>
      </w:pPr>
      <w:r>
        <w:rPr/>
        <w:t xml:space="preserve">Сечения проводников дополнительного уравнивания потенциалов, не входящих в состав кабеля, должны соответствовать требованиям </w:t>
      </w:r>
      <w:r>
        <w:rPr>
          <w:b/>
          <w:bCs/>
        </w:rPr>
        <w:t>1.7.127</w:t>
      </w:r>
      <w:r>
        <w:rPr/>
        <w:t>.</w:t>
      </w:r>
    </w:p>
    <w:p>
      <w:pPr>
        <w:pStyle w:val="Heading3"/>
        <w:rPr/>
      </w:pPr>
      <w:r>
        <w:rPr/>
        <w:t>Соединения и присоединения заземляющих, защитных проводников и проводников системы уравнивания и выравнивания потенциалов</w:t>
      </w:r>
    </w:p>
    <w:p>
      <w:pPr>
        <w:pStyle w:val="Normal"/>
        <w:shd w:fill="FFFFFF" w:val="clear"/>
        <w:ind w:firstLine="283"/>
        <w:jc w:val="both"/>
        <w:rPr/>
      </w:pPr>
      <w:r>
        <w:rPr>
          <w:b/>
          <w:bCs/>
        </w:rPr>
        <w:t>1.7.139.</w:t>
      </w:r>
      <w:r>
        <w:rPr/>
        <w:t xml:space="preserve">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«Соединения контактные электрические. Общие технические требования» ко 2-му классу соединений.</w:t>
      </w:r>
    </w:p>
    <w:p>
      <w:pPr>
        <w:pStyle w:val="Normal"/>
        <w:shd w:fill="FFFFFF" w:val="clear"/>
        <w:ind w:firstLine="283"/>
        <w:jc w:val="both"/>
        <w:rPr/>
      </w:pPr>
      <w:r>
        <w:rPr/>
        <w:t>Соединения должны быть защищены от коррозии и механических повреждений.</w:t>
      </w:r>
    </w:p>
    <w:p>
      <w:pPr>
        <w:pStyle w:val="Normal"/>
        <w:shd w:fill="FFFFFF" w:val="clear"/>
        <w:ind w:firstLine="283"/>
        <w:jc w:val="both"/>
        <w:rPr/>
      </w:pPr>
      <w:r>
        <w:rPr/>
        <w:t>Для болтовых соединений должны быть предусмотрены меры против ослабления контакта.</w:t>
      </w:r>
    </w:p>
    <w:p>
      <w:pPr>
        <w:pStyle w:val="Normal"/>
        <w:shd w:fill="FFFFFF" w:val="clear"/>
        <w:ind w:firstLine="283"/>
        <w:jc w:val="both"/>
        <w:rPr/>
      </w:pPr>
      <w:r>
        <w:rPr>
          <w:b/>
          <w:bCs/>
        </w:rPr>
        <w:t>1.7.140.</w:t>
      </w:r>
      <w:r>
        <w:rPr/>
        <w:t xml:space="preserve"> 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элементам в системах обогрева и их соединений, находящихся в полах, стенах, перекрытиях и в земле.</w:t>
      </w:r>
    </w:p>
    <w:p>
      <w:pPr>
        <w:pStyle w:val="Normal"/>
        <w:shd w:fill="FFFFFF" w:val="clear"/>
        <w:ind w:firstLine="283"/>
        <w:jc w:val="both"/>
        <w:rPr/>
      </w:pPr>
      <w:r>
        <w:rPr>
          <w:b/>
          <w:bCs/>
        </w:rPr>
        <w:t>1.7.141.</w:t>
      </w:r>
      <w:r>
        <w:rPr/>
        <w:t xml:space="preserve"> 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pPr>
        <w:pStyle w:val="Normal"/>
        <w:shd w:fill="FFFFFF" w:val="clear"/>
        <w:ind w:firstLine="283"/>
        <w:jc w:val="both"/>
        <w:rPr/>
      </w:pPr>
      <w:r>
        <w:rPr>
          <w:b/>
          <w:bCs/>
        </w:rPr>
        <w:t>1.7.142.</w:t>
      </w:r>
      <w:r>
        <w:rPr/>
        <w:t xml:space="preserve"> Присоединения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pPr>
        <w:pStyle w:val="Normal"/>
        <w:shd w:fill="FFFFFF" w:val="clear"/>
        <w:ind w:firstLine="283"/>
        <w:jc w:val="both"/>
        <w:rPr/>
      </w:pPr>
      <w:r>
        <w:rPr/>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при помощи гибких проводников.</w:t>
      </w:r>
    </w:p>
    <w:p>
      <w:pPr>
        <w:pStyle w:val="Normal"/>
        <w:shd w:fill="FFFFFF" w:val="clear"/>
        <w:ind w:firstLine="283"/>
        <w:jc w:val="both"/>
        <w:rPr/>
      </w:pPr>
      <w:r>
        <w:rPr/>
        <w:t>Соединения защитных проводников электропроводок и ВЛ следует выполнять теми же методами, что и соединения фазных проводников.</w:t>
      </w:r>
    </w:p>
    <w:p>
      <w:pPr>
        <w:pStyle w:val="Normal"/>
        <w:shd w:fill="FFFFFF" w:val="clear"/>
        <w:ind w:firstLine="283"/>
        <w:jc w:val="both"/>
        <w:rPr/>
      </w:pPr>
      <w:r>
        <w:rPr/>
        <w:t xml:space="preserve">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w:t>
      </w:r>
      <w:hyperlink r:id="rId25">
        <w:r>
          <w:rPr>
            <w:rStyle w:val="InternetLink"/>
            <w:bCs/>
            <w:kern w:val="2"/>
          </w:rPr>
          <w:t>ГОСТ 12.1.030</w:t>
        </w:r>
      </w:hyperlink>
      <w:r>
        <w:rPr/>
        <w:t xml:space="preserve"> «ССБТ. Электробезопасность. Защитное заземление, зануление».</w:t>
      </w:r>
    </w:p>
    <w:p>
      <w:pPr>
        <w:pStyle w:val="Normal"/>
        <w:shd w:fill="FFFFFF" w:val="clear"/>
        <w:ind w:firstLine="283"/>
        <w:jc w:val="both"/>
        <w:rPr/>
      </w:pPr>
      <w:r>
        <w:rPr>
          <w:b/>
          <w:bCs/>
        </w:rPr>
        <w:t>1.7.143.</w:t>
      </w:r>
      <w:r>
        <w:rPr/>
        <w:t xml:space="preserve"> 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pPr>
        <w:pStyle w:val="Normal"/>
        <w:shd w:fill="FFFFFF" w:val="clear"/>
        <w:ind w:firstLine="283"/>
        <w:jc w:val="both"/>
        <w:rPr/>
      </w:pPr>
      <w:r>
        <w:rPr/>
        <w:t>Шунтирование водомеров, задвижек и т.п. следует выполнять при помощи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pPr>
        <w:pStyle w:val="Normal"/>
        <w:shd w:fill="FFFFFF" w:val="clear"/>
        <w:ind w:firstLine="283"/>
        <w:jc w:val="both"/>
        <w:rPr/>
      </w:pPr>
      <w:r>
        <w:rPr>
          <w:b/>
          <w:bCs/>
        </w:rPr>
        <w:t>1.7.144.</w:t>
      </w:r>
      <w:r>
        <w:rPr/>
        <w:t xml:space="preserve">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pPr>
        <w:pStyle w:val="Normal"/>
        <w:shd w:fill="FFFFFF" w:val="clear"/>
        <w:ind w:firstLine="283"/>
        <w:jc w:val="both"/>
        <w:rPr/>
      </w:pPr>
      <w:r>
        <w:rPr/>
        <w:t>Присоединение проводящих частей к основной системе уравнивания потенциалов должно быть выполнено также при помощи отдельных ответвлений.</w:t>
      </w:r>
    </w:p>
    <w:p>
      <w:pPr>
        <w:pStyle w:val="Normal"/>
        <w:shd w:fill="FFFFFF" w:val="clear"/>
        <w:ind w:firstLine="283"/>
        <w:jc w:val="both"/>
        <w:rPr/>
      </w:pPr>
      <w:r>
        <w:rP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проводнику.</w:t>
      </w:r>
    </w:p>
    <w:p>
      <w:pPr>
        <w:pStyle w:val="Normal"/>
        <w:shd w:fill="FFFFFF" w:val="clear"/>
        <w:ind w:firstLine="283"/>
        <w:jc w:val="both"/>
        <w:rPr/>
      </w:pPr>
      <w:r>
        <w:rPr>
          <w:b/>
          <w:bCs/>
        </w:rPr>
        <w:t>1.7.145.</w:t>
      </w:r>
      <w:r>
        <w:rPr/>
        <w:t xml:space="preserve"> Не допускается включать коммутационные аппараты в цепи </w:t>
      </w:r>
      <w:r>
        <w:rPr>
          <w:i/>
          <w:iCs/>
        </w:rPr>
        <w:t xml:space="preserve">РЕ- </w:t>
      </w:r>
      <w:r>
        <w:rPr/>
        <w:t xml:space="preserve">и </w:t>
      </w:r>
      <w:r>
        <w:rPr>
          <w:i/>
          <w:iCs/>
        </w:rPr>
        <w:t>PEN</w:t>
      </w:r>
      <w:r>
        <w:rPr/>
        <w:t>-проводников, за исключением случаев питания электроприемников при помощи штепсельных соединителей.</w:t>
      </w:r>
    </w:p>
    <w:p>
      <w:pPr>
        <w:pStyle w:val="Normal"/>
        <w:shd w:fill="FFFFFF" w:val="clear"/>
        <w:ind w:firstLine="283"/>
        <w:jc w:val="both"/>
        <w:rPr/>
      </w:pPr>
      <w:r>
        <w:rPr/>
        <w:t xml:space="preserve">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питающихся по однофазным ответвлениям от ВЛ. При этом разделение </w:t>
      </w:r>
      <w:r>
        <w:rPr>
          <w:i/>
          <w:iCs/>
        </w:rPr>
        <w:t>PEN-</w:t>
      </w:r>
      <w:r>
        <w:rPr/>
        <w:t xml:space="preserve">проводника на </w:t>
      </w:r>
      <w:r>
        <w:rPr>
          <w:i/>
          <w:iCs/>
        </w:rPr>
        <w:t>РЕ</w:t>
      </w:r>
      <w:r>
        <w:rPr/>
        <w:t xml:space="preserve">- и </w:t>
      </w:r>
      <w:r>
        <w:rPr>
          <w:i/>
          <w:iCs/>
        </w:rPr>
        <w:t>N</w:t>
      </w:r>
      <w:r>
        <w:rPr/>
        <w:t>-проводники должно быть выполнено до вводного защитно-коммутационного аппарата.</w:t>
      </w:r>
    </w:p>
    <w:p>
      <w:pPr>
        <w:pStyle w:val="Normal"/>
        <w:shd w:fill="FFFFFF" w:val="clear"/>
        <w:ind w:firstLine="283"/>
        <w:jc w:val="both"/>
        <w:rPr/>
      </w:pPr>
      <w:r>
        <w:rPr>
          <w:b/>
          <w:bCs/>
        </w:rPr>
        <w:t>1.7.146.</w:t>
      </w:r>
      <w:r>
        <w:rPr/>
        <w:t xml:space="preserve"> Если 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pPr>
        <w:pStyle w:val="Normal"/>
        <w:shd w:fill="FFFFFF" w:val="clear"/>
        <w:ind w:firstLine="283"/>
        <w:jc w:val="both"/>
        <w:rPr/>
      </w:pPr>
      <w:r>
        <w:rPr/>
        <w:t>Если корпус штепсельной розетки выполнен из металла, он должен быть присоединен к защитному контакту этой розетки.</w:t>
      </w:r>
    </w:p>
    <w:p>
      <w:pPr>
        <w:pStyle w:val="Heading3"/>
        <w:rPr/>
      </w:pPr>
      <w:r>
        <w:rPr/>
        <w:t>Переносные электроприемники</w:t>
      </w:r>
    </w:p>
    <w:p>
      <w:pPr>
        <w:pStyle w:val="Normal"/>
        <w:shd w:fill="FFFFFF" w:val="clear"/>
        <w:ind w:firstLine="283"/>
        <w:jc w:val="both"/>
        <w:rPr/>
      </w:pPr>
      <w:r>
        <w:rPr>
          <w:b/>
          <w:bCs/>
        </w:rPr>
        <w:t>1.7.147.</w:t>
      </w:r>
      <w:r>
        <w:rPr/>
        <w:t xml:space="preserve"> 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pPr>
        <w:pStyle w:val="Normal"/>
        <w:shd w:fill="FFFFFF" w:val="clear"/>
        <w:ind w:firstLine="283"/>
        <w:jc w:val="both"/>
        <w:rPr/>
      </w:pPr>
      <w:r>
        <w:rPr>
          <w:b/>
          <w:bCs/>
        </w:rPr>
        <w:t>1.7.148.</w:t>
      </w:r>
      <w:r>
        <w:rPr/>
        <w:t xml:space="preserve"> Питание переносных электроприемников переменного тока следует выполнять от сети напряжением не выше 380/220 В.</w:t>
      </w:r>
    </w:p>
    <w:p>
      <w:pPr>
        <w:pStyle w:val="Normal"/>
        <w:shd w:fill="FFFFFF" w:val="clear"/>
        <w:ind w:firstLine="283"/>
        <w:jc w:val="both"/>
        <w:rPr/>
      </w:pPr>
      <w:r>
        <w:rPr/>
        <w:t>В зависимости от категории помещения по уровню опасности поражения людей электрическим током (см. гл. 1.1)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pPr>
        <w:pStyle w:val="Normal"/>
        <w:shd w:fill="FFFFFF" w:val="clear"/>
        <w:ind w:firstLine="283"/>
        <w:jc w:val="both"/>
        <w:rPr/>
      </w:pPr>
      <w:r>
        <w:rPr>
          <w:b/>
          <w:bCs/>
        </w:rPr>
        <w:t>1.7.149.</w:t>
      </w:r>
      <w:r>
        <w:rPr/>
        <w:t xml:space="preserve">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w:t>
      </w:r>
      <w:r>
        <w:rPr>
          <w:i/>
          <w:iCs/>
        </w:rPr>
        <w:t xml:space="preserve">TN </w:t>
      </w:r>
      <w:r>
        <w:rPr/>
        <w:t xml:space="preserve">или заземлены в системе </w:t>
      </w:r>
      <w:r>
        <w:rPr>
          <w:i/>
          <w:iCs/>
        </w:rPr>
        <w:t xml:space="preserve">IT, </w:t>
      </w:r>
      <w:r>
        <w:rPr/>
        <w:t>для чего должен быть предусмотрен специальный защитный (</w:t>
      </w:r>
      <w:r>
        <w:rPr>
          <w:i/>
          <w:iCs/>
        </w:rPr>
        <w:t>РЕ</w:t>
      </w:r>
      <w:r>
        <w:rPr/>
        <w:t xml:space="preserve">) проводник, расположенный в одной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w:t>
      </w:r>
      <w:r>
        <w:rPr>
          <w:i/>
          <w:iCs/>
        </w:rPr>
        <w:t>PE</w:t>
      </w:r>
      <w:r>
        <w:rPr/>
        <w:t>-проводник должен быть медным, гибким, его сечение должно быть равно сечению фазных проводников. Использование для этой цели нулевого рабочего (</w:t>
      </w:r>
      <w:r>
        <w:rPr>
          <w:i/>
          <w:iCs/>
        </w:rPr>
        <w:t>N</w:t>
      </w:r>
      <w:r>
        <w:rPr/>
        <w:t>) проводника, в том числе расположенного в общей оболочке с фазными проводниками, не допускается.</w:t>
      </w:r>
    </w:p>
    <w:p>
      <w:pPr>
        <w:pStyle w:val="Normal"/>
        <w:shd w:fill="FFFFFF" w:val="clear"/>
        <w:ind w:firstLine="283"/>
        <w:jc w:val="both"/>
        <w:rPr/>
      </w:pPr>
      <w:r>
        <w:rPr>
          <w:b/>
          <w:bCs/>
        </w:rPr>
        <w:t>1.7.150.</w:t>
      </w:r>
      <w:r>
        <w:rPr/>
        <w:t xml:space="preserve"> 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r>
        <w:rPr>
          <w:b/>
          <w:bCs/>
        </w:rPr>
        <w:t xml:space="preserve">1.7.121-1.7.130, </w:t>
      </w:r>
      <w:r>
        <w:rPr/>
        <w:t xml:space="preserve">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w:t>
      </w:r>
      <w:r>
        <w:rPr>
          <w:b/>
          <w:bCs/>
        </w:rPr>
        <w:t>1.7.127</w:t>
      </w:r>
      <w:r>
        <w:rPr/>
        <w:t>.</w:t>
      </w:r>
    </w:p>
    <w:p>
      <w:pPr>
        <w:pStyle w:val="Normal"/>
        <w:shd w:fill="FFFFFF" w:val="clear"/>
        <w:ind w:firstLine="283"/>
        <w:jc w:val="both"/>
        <w:rPr/>
      </w:pPr>
      <w:r>
        <w:rPr>
          <w:b/>
          <w:bCs/>
        </w:rPr>
        <w:t>1.7.151.</w:t>
      </w:r>
      <w:r>
        <w:rPr/>
        <w:t xml:space="preserve">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pPr>
        <w:pStyle w:val="Normal"/>
        <w:shd w:fill="FFFFFF" w:val="clear"/>
        <w:ind w:firstLine="283"/>
        <w:jc w:val="both"/>
        <w:rPr/>
      </w:pPr>
      <w:r>
        <w:rP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pPr>
        <w:pStyle w:val="Normal"/>
        <w:shd w:fill="FFFFFF" w:val="clear"/>
        <w:ind w:firstLine="283"/>
        <w:jc w:val="both"/>
        <w:rPr/>
      </w:pPr>
      <w:r>
        <w:rP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pPr>
        <w:pStyle w:val="Normal"/>
        <w:shd w:fill="FFFFFF" w:val="clear"/>
        <w:ind w:firstLine="283"/>
        <w:jc w:val="both"/>
        <w:rPr/>
      </w:pPr>
      <w:r>
        <w:rPr>
          <w:b/>
          <w:bCs/>
        </w:rPr>
        <w:t>1.7.152.</w:t>
      </w:r>
      <w:r>
        <w:rPr/>
        <w:t xml:space="preserve"> Для присоединения переносных электроприемников к питающей сети следует применять штепсельные соединители, соответствующие требованиям </w:t>
      </w:r>
      <w:r>
        <w:rPr>
          <w:b/>
          <w:bCs/>
        </w:rPr>
        <w:t>1.7.146</w:t>
      </w:r>
      <w:r>
        <w:rPr/>
        <w:t>.</w:t>
      </w:r>
    </w:p>
    <w:p>
      <w:pPr>
        <w:pStyle w:val="Normal"/>
        <w:shd w:fill="FFFFFF" w:val="clear"/>
        <w:ind w:firstLine="283"/>
        <w:jc w:val="both"/>
        <w:rPr/>
      </w:pPr>
      <w:r>
        <w:rP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pPr>
        <w:pStyle w:val="Normal"/>
        <w:shd w:fill="FFFFFF" w:val="clear"/>
        <w:ind w:firstLine="283"/>
        <w:jc w:val="both"/>
        <w:rPr/>
      </w:pPr>
      <w:r>
        <w:rPr>
          <w:b/>
          <w:bCs/>
        </w:rPr>
        <w:t>1.7.153.</w:t>
      </w:r>
      <w:r>
        <w:rPr/>
        <w:t xml:space="preserve"> УЗО защиты розеточных цепей рекомендуется размещать в распределительных (групповых, квартирных) щитках.</w:t>
      </w:r>
    </w:p>
    <w:p>
      <w:pPr>
        <w:pStyle w:val="Normal"/>
        <w:shd w:fill="FFFFFF" w:val="clear"/>
        <w:ind w:firstLine="283"/>
        <w:jc w:val="both"/>
        <w:rPr/>
      </w:pPr>
      <w:r>
        <w:rPr/>
        <w:t>Допускается применять УЗО-розетки.</w:t>
      </w:r>
    </w:p>
    <w:p>
      <w:pPr>
        <w:pStyle w:val="Normal"/>
        <w:shd w:fill="FFFFFF" w:val="clear"/>
        <w:ind w:firstLine="283"/>
        <w:jc w:val="both"/>
        <w:rPr/>
      </w:pPr>
      <w:r>
        <w:rPr>
          <w:b/>
          <w:bCs/>
        </w:rPr>
        <w:t>1.7.154.</w:t>
      </w:r>
      <w:r>
        <w:rPr/>
        <w:t xml:space="preserve"> Защитные проводники переносных проводов и кабелей должны быть обозначены желто-зелеными полосами.</w:t>
      </w:r>
    </w:p>
    <w:p>
      <w:pPr>
        <w:pStyle w:val="Heading3"/>
        <w:rPr/>
      </w:pPr>
      <w:r>
        <w:rPr/>
        <w:t>Передвижные электроустановки</w:t>
      </w:r>
    </w:p>
    <w:p>
      <w:pPr>
        <w:pStyle w:val="Normal"/>
        <w:shd w:fill="FFFFFF" w:val="clear"/>
        <w:ind w:firstLine="283"/>
        <w:jc w:val="both"/>
        <w:rPr/>
      </w:pPr>
      <w:r>
        <w:rPr>
          <w:b/>
          <w:bCs/>
        </w:rPr>
        <w:t>1.7.155.</w:t>
      </w:r>
      <w:r>
        <w:rPr/>
        <w:t xml:space="preserve"> Требования к передвижным электроустановкам не распространяются на:</w:t>
      </w:r>
    </w:p>
    <w:p>
      <w:pPr>
        <w:pStyle w:val="Normal"/>
        <w:shd w:fill="FFFFFF" w:val="clear"/>
        <w:ind w:firstLine="283"/>
        <w:jc w:val="both"/>
        <w:rPr/>
      </w:pPr>
      <w:r>
        <w:rPr/>
        <w:t>судовые электроустановки;</w:t>
      </w:r>
    </w:p>
    <w:p>
      <w:pPr>
        <w:pStyle w:val="Normal"/>
        <w:shd w:fill="FFFFFF" w:val="clear"/>
        <w:ind w:firstLine="283"/>
        <w:jc w:val="both"/>
        <w:rPr/>
      </w:pPr>
      <w:r>
        <w:rPr/>
        <w:t>электрооборудование, размещенное на движущихся частях станков, машин и механизмов;</w:t>
      </w:r>
    </w:p>
    <w:p>
      <w:pPr>
        <w:pStyle w:val="Normal"/>
        <w:shd w:fill="FFFFFF" w:val="clear"/>
        <w:ind w:firstLine="283"/>
        <w:jc w:val="both"/>
        <w:rPr/>
      </w:pPr>
      <w:r>
        <w:rPr/>
        <w:t>электрифицированный транспорт;</w:t>
      </w:r>
    </w:p>
    <w:p>
      <w:pPr>
        <w:pStyle w:val="Normal"/>
        <w:shd w:fill="FFFFFF" w:val="clear"/>
        <w:ind w:firstLine="283"/>
        <w:jc w:val="both"/>
        <w:rPr/>
      </w:pPr>
      <w:r>
        <w:rPr/>
        <w:t>жилые автофургоны.</w:t>
      </w:r>
    </w:p>
    <w:p>
      <w:pPr>
        <w:pStyle w:val="Normal"/>
        <w:shd w:fill="FFFFFF" w:val="clear"/>
        <w:ind w:firstLine="283"/>
        <w:jc w:val="both"/>
        <w:rPr/>
      </w:pPr>
      <w:r>
        <w:rPr/>
        <w:t>Для испытательных лабораторий должны также выполняться требования других соответствующих нормативных документов.</w:t>
      </w:r>
    </w:p>
    <w:p>
      <w:pPr>
        <w:pStyle w:val="Normal"/>
        <w:shd w:fill="FFFFFF" w:val="clear"/>
        <w:ind w:firstLine="283"/>
        <w:jc w:val="both"/>
        <w:rPr/>
      </w:pPr>
      <w:r>
        <w:rPr>
          <w:b/>
          <w:bCs/>
        </w:rPr>
        <w:t>1.7.156.</w:t>
      </w:r>
      <w:r>
        <w:rPr/>
        <w:t xml:space="preserve">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pPr>
        <w:pStyle w:val="Normal"/>
        <w:shd w:fill="FFFFFF" w:val="clear"/>
        <w:ind w:firstLine="283"/>
        <w:jc w:val="both"/>
        <w:rPr/>
      </w:pPr>
      <w:r>
        <w:rPr>
          <w:b/>
          <w:bCs/>
        </w:rPr>
        <w:t>1.7.157.</w:t>
      </w:r>
      <w:r>
        <w:rPr/>
        <w:t xml:space="preserve"> Передвижные электроустановки могут получать питание от стационарных или автономных передвижных источников электроэнергии.</w:t>
      </w:r>
    </w:p>
    <w:p>
      <w:pPr>
        <w:pStyle w:val="Normal"/>
        <w:shd w:fill="FFFFFF" w:val="clear"/>
        <w:ind w:firstLine="283"/>
        <w:jc w:val="both"/>
        <w:rPr/>
      </w:pPr>
      <w:r>
        <w:rP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i/>
          <w:iCs/>
        </w:rPr>
        <w:t xml:space="preserve">TN-S </w:t>
      </w:r>
      <w:r>
        <w:rPr/>
        <w:t xml:space="preserve">или </w:t>
      </w:r>
      <w:r>
        <w:rPr>
          <w:i/>
          <w:iCs/>
        </w:rPr>
        <w:t xml:space="preserve">TN-C-S. </w:t>
      </w:r>
      <w:r>
        <w:rPr/>
        <w:t xml:space="preserve">Объединение функций нулевого защитного проводника </w:t>
      </w:r>
      <w:r>
        <w:rPr>
          <w:i/>
          <w:iCs/>
        </w:rPr>
        <w:t xml:space="preserve">РЕ </w:t>
      </w:r>
      <w:r>
        <w:rPr/>
        <w:t xml:space="preserve">и нулевого рабочего проводника </w:t>
      </w:r>
      <w:r>
        <w:rPr>
          <w:i/>
          <w:iCs/>
        </w:rPr>
        <w:t xml:space="preserve">N </w:t>
      </w:r>
      <w:r>
        <w:rPr/>
        <w:t xml:space="preserve">в одном общем проводнике </w:t>
      </w:r>
      <w:r>
        <w:rPr>
          <w:i/>
          <w:iCs/>
        </w:rPr>
        <w:t xml:space="preserve">PEN </w:t>
      </w:r>
      <w:r>
        <w:rPr/>
        <w:t xml:space="preserve">внутри передвижной электроустановки не допускается. Разделение </w:t>
      </w:r>
      <w:r>
        <w:rPr>
          <w:i/>
          <w:iCs/>
        </w:rPr>
        <w:t>PEN-</w:t>
      </w:r>
      <w:r>
        <w:rPr/>
        <w:t xml:space="preserve">проводника питающей линии на </w:t>
      </w:r>
      <w:r>
        <w:rPr>
          <w:i/>
          <w:iCs/>
        </w:rPr>
        <w:t xml:space="preserve">РЕ- </w:t>
      </w:r>
      <w:r>
        <w:rPr/>
        <w:t xml:space="preserve">и </w:t>
      </w:r>
      <w:r>
        <w:rPr>
          <w:i/>
          <w:iCs/>
        </w:rPr>
        <w:t>N</w:t>
      </w:r>
      <w:r>
        <w:rPr/>
        <w:t>-проводники должно быть выполнено в точке подключения установки к источнику питания.</w:t>
      </w:r>
    </w:p>
    <w:p>
      <w:pPr>
        <w:pStyle w:val="Normal"/>
        <w:shd w:fill="FFFFFF" w:val="clear"/>
        <w:ind w:firstLine="283"/>
        <w:jc w:val="both"/>
        <w:rPr/>
      </w:pPr>
      <w:r>
        <w:rPr/>
        <w:t>При питании от автономного передвижного источника его нейтраль, как правило, должна быть изолирована.</w:t>
      </w:r>
    </w:p>
    <w:p>
      <w:pPr>
        <w:pStyle w:val="Normal"/>
        <w:shd w:fill="FFFFFF" w:val="clear"/>
        <w:ind w:firstLine="283"/>
        <w:jc w:val="both"/>
        <w:rPr/>
      </w:pPr>
      <w:r>
        <w:rPr>
          <w:b/>
          <w:bCs/>
        </w:rPr>
        <w:t>1.7.158.</w:t>
      </w:r>
      <w:r>
        <w:rPr/>
        <w:t xml:space="preserve">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pPr>
        <w:pStyle w:val="Normal"/>
        <w:shd w:fill="FFFFFF" w:val="clear"/>
        <w:ind w:firstLine="283"/>
        <w:jc w:val="both"/>
        <w:rPr/>
      </w:pPr>
      <w:r>
        <w:rPr>
          <w:b/>
          <w:bCs/>
        </w:rPr>
        <w:t>1.7.159.</w:t>
      </w:r>
      <w:r>
        <w:rPr/>
        <w:t xml:space="preserve"> 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w:t>
      </w:r>
      <w:r>
        <w:rPr>
          <w:b/>
          <w:bCs/>
        </w:rPr>
        <w:t>1.7.79</w:t>
      </w:r>
      <w:r>
        <w:rPr/>
        <w:t xml:space="preserve"> с применением устройства защиты от сверхтоков. При этом время отключения, приведенное в табл. 1.7.1,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pPr>
        <w:pStyle w:val="Normal"/>
        <w:shd w:fill="FFFFFF" w:val="clear"/>
        <w:ind w:firstLine="283"/>
        <w:jc w:val="both"/>
        <w:rPr/>
      </w:pPr>
      <w:r>
        <w:rPr/>
        <w:t>В специальных электроустановках допускается применение УЗО, реагирующих на потенциал корпуса относительно земли.</w:t>
      </w:r>
    </w:p>
    <w:p>
      <w:pPr>
        <w:pStyle w:val="Normal"/>
        <w:shd w:fill="FFFFFF" w:val="clear"/>
        <w:ind w:firstLine="283"/>
        <w:jc w:val="both"/>
        <w:rPr/>
      </w:pPr>
      <w:r>
        <w:rP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pPr>
        <w:pStyle w:val="Normal"/>
        <w:shd w:fill="FFFFFF" w:val="clear"/>
        <w:ind w:firstLine="283"/>
        <w:jc w:val="both"/>
        <w:rPr/>
      </w:pPr>
      <w:r>
        <w:rPr>
          <w:b/>
          <w:bCs/>
        </w:rPr>
        <w:t>1.7.160.</w:t>
      </w:r>
      <w:r>
        <w:rPr/>
        <w:t xml:space="preserve">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pPr>
        <w:pStyle w:val="Normal"/>
        <w:shd w:fill="FFFFFF" w:val="clear"/>
        <w:ind w:firstLine="283"/>
        <w:jc w:val="both"/>
        <w:rPr/>
      </w:pPr>
      <w:r>
        <w:rPr/>
        <w:t xml:space="preserve">При необходимости на вводе в передвижную электроустановку может быть применено защитное электрическое разделение цепей в соответствии с </w:t>
      </w:r>
      <w:r>
        <w:rPr>
          <w:b/>
          <w:bCs/>
        </w:rPr>
        <w:t>1.7.85</w:t>
      </w:r>
      <w:r>
        <w:rPr/>
        <w:t>. При этом разделительный трансформатор, а также вводное защитное устройство должны быть помещены в изолирующую оболочку.</w:t>
      </w:r>
    </w:p>
    <w:p>
      <w:pPr>
        <w:pStyle w:val="Normal"/>
        <w:shd w:fill="FFFFFF" w:val="clear"/>
        <w:ind w:firstLine="283"/>
        <w:jc w:val="both"/>
        <w:rPr/>
      </w:pPr>
      <w:r>
        <w:rPr/>
        <w:t>Устройство присоединения ввода питания в передвижную электроустановку должно иметь двойную изоляцию.</w:t>
      </w:r>
    </w:p>
    <w:p>
      <w:pPr>
        <w:pStyle w:val="Normal"/>
        <w:shd w:fill="FFFFFF" w:val="clear"/>
        <w:ind w:firstLine="283"/>
        <w:jc w:val="both"/>
        <w:rPr/>
      </w:pPr>
      <w:r>
        <w:rPr>
          <w:b/>
          <w:bCs/>
        </w:rPr>
        <w:t xml:space="preserve">1.7.161. </w:t>
      </w:r>
      <w:r>
        <w:rPr/>
        <w:t xml:space="preserve">При применении автоматического отключения питания в системе </w:t>
      </w:r>
      <w:r>
        <w:rPr>
          <w:i/>
          <w:iCs/>
        </w:rPr>
        <w:t xml:space="preserve">IT </w:t>
      </w:r>
      <w:r>
        <w:rPr/>
        <w:t>для защиты при косвенном прикосновении должны быть выполнены:</w:t>
      </w:r>
    </w:p>
    <w:p>
      <w:pPr>
        <w:pStyle w:val="Normal"/>
        <w:shd w:fill="FFFFFF" w:val="clear"/>
        <w:ind w:firstLine="283"/>
        <w:jc w:val="both"/>
        <w:rPr/>
      </w:pPr>
      <w:r>
        <w:rPr/>
        <w:t>защитное заземление в сочетании с непрерывным контролем изоляции, действующим на сигнал;</w:t>
      </w:r>
    </w:p>
    <w:p>
      <w:pPr>
        <w:pStyle w:val="Normal"/>
        <w:shd w:fill="FFFFFF" w:val="clear"/>
        <w:ind w:firstLine="283"/>
        <w:jc w:val="both"/>
        <w:rPr/>
      </w:pPr>
      <w:r>
        <w:rPr/>
        <w:t>автоматическое отключение питания, обеспечивающее время отключения при двухфазном замыкании на открытые проводящие части - в соответствии с табл. 1.7.10.</w:t>
      </w:r>
    </w:p>
    <w:p>
      <w:pPr>
        <w:pStyle w:val="Normal"/>
        <w:shd w:fill="FFFFFF" w:val="clear"/>
        <w:spacing w:before="120" w:after="120"/>
        <w:jc w:val="right"/>
        <w:rPr>
          <w:i/>
          <w:i/>
          <w:iCs/>
        </w:rPr>
      </w:pPr>
      <w:r>
        <w:rPr>
          <w:i/>
          <w:iCs/>
        </w:rPr>
        <w:t>Таблица 1.7.10</w:t>
      </w:r>
    </w:p>
    <w:p>
      <w:pPr>
        <w:pStyle w:val="Normal"/>
        <w:shd w:fill="FFFFFF" w:val="clear"/>
        <w:spacing w:before="0" w:after="120"/>
        <w:jc w:val="center"/>
        <w:rPr/>
      </w:pPr>
      <w:r>
        <w:rPr>
          <w:b/>
          <w:bCs/>
        </w:rPr>
        <w:t xml:space="preserve">Наибольшее допустимое время защитного автоматического отключения для системы </w:t>
      </w:r>
      <w:r>
        <w:rPr>
          <w:b/>
          <w:bCs/>
          <w:i/>
          <w:iCs/>
        </w:rPr>
        <w:t>IT</w:t>
      </w:r>
      <w:r>
        <w:rPr>
          <w:i/>
          <w:iCs/>
        </w:rPr>
        <w:t xml:space="preserve"> </w:t>
      </w:r>
      <w:r>
        <w:rPr>
          <w:b/>
          <w:bCs/>
        </w:rPr>
        <w:t>в передвижных электроустановках, питающихся</w:t>
      </w:r>
      <w:r>
        <w:rPr/>
        <w:t xml:space="preserve"> </w:t>
      </w:r>
      <w:r>
        <w:rPr>
          <w:b/>
          <w:bCs/>
        </w:rPr>
        <w:t>от автономного передвижного источника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87"/>
        <w:gridCol w:w="4668"/>
      </w:tblGrid>
      <w:tr>
        <w:trPr/>
        <w:tc>
          <w:tcPr>
            <w:tcW w:w="4687" w:type="dxa"/>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jc w:val="center"/>
              <w:rPr/>
            </w:pPr>
            <w:r>
              <w:rPr/>
              <w:t xml:space="preserve">Номинальное линейное напряжение, </w:t>
            </w:r>
            <w:r>
              <w:rPr>
                <w:i/>
                <w:iCs/>
              </w:rPr>
              <w:t xml:space="preserve">U, </w:t>
            </w:r>
            <w:r>
              <w:rPr/>
              <w:t>в</w:t>
            </w:r>
          </w:p>
        </w:tc>
        <w:tc>
          <w:tcPr>
            <w:tcW w:w="466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Время отключения, с</w:t>
            </w:r>
          </w:p>
        </w:tc>
      </w:tr>
      <w:tr>
        <w:trPr/>
        <w:tc>
          <w:tcPr>
            <w:tcW w:w="4687" w:type="dxa"/>
            <w:tcBorders>
              <w:left w:val="single" w:sz="8" w:space="0" w:color="000000"/>
            </w:tcBorders>
            <w:shd w:fill="FFFFFF" w:val="clear"/>
          </w:tcPr>
          <w:p>
            <w:pPr>
              <w:pStyle w:val="Normal"/>
              <w:shd w:fill="FFFFFF" w:val="clear"/>
              <w:jc w:val="center"/>
              <w:rPr/>
            </w:pPr>
            <w:r>
              <w:rPr/>
              <w:t>220</w:t>
            </w:r>
          </w:p>
        </w:tc>
        <w:tc>
          <w:tcPr>
            <w:tcW w:w="46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0,4</w:t>
            </w:r>
          </w:p>
        </w:tc>
      </w:tr>
      <w:tr>
        <w:trPr/>
        <w:tc>
          <w:tcPr>
            <w:tcW w:w="4687" w:type="dxa"/>
            <w:tcBorders>
              <w:left w:val="single" w:sz="8" w:space="0" w:color="000000"/>
            </w:tcBorders>
            <w:shd w:fill="FFFFFF" w:val="clear"/>
          </w:tcPr>
          <w:p>
            <w:pPr>
              <w:pStyle w:val="Normal"/>
              <w:shd w:fill="FFFFFF" w:val="clear"/>
              <w:jc w:val="center"/>
              <w:rPr/>
            </w:pPr>
            <w:r>
              <w:rPr/>
              <w:t>380</w:t>
            </w:r>
          </w:p>
        </w:tc>
        <w:tc>
          <w:tcPr>
            <w:tcW w:w="46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0,2</w:t>
            </w:r>
          </w:p>
        </w:tc>
      </w:tr>
      <w:tr>
        <w:trPr/>
        <w:tc>
          <w:tcPr>
            <w:tcW w:w="4687" w:type="dxa"/>
            <w:tcBorders>
              <w:left w:val="single" w:sz="8" w:space="0" w:color="000000"/>
            </w:tcBorders>
            <w:shd w:fill="FFFFFF" w:val="clear"/>
          </w:tcPr>
          <w:p>
            <w:pPr>
              <w:pStyle w:val="Normal"/>
              <w:shd w:fill="FFFFFF" w:val="clear"/>
              <w:jc w:val="center"/>
              <w:rPr/>
            </w:pPr>
            <w:r>
              <w:rPr/>
              <w:t>660</w:t>
            </w:r>
          </w:p>
        </w:tc>
        <w:tc>
          <w:tcPr>
            <w:tcW w:w="46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0,06</w:t>
            </w:r>
          </w:p>
        </w:tc>
      </w:tr>
      <w:tr>
        <w:trPr/>
        <w:tc>
          <w:tcPr>
            <w:tcW w:w="4687"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Более 660</w:t>
            </w:r>
          </w:p>
        </w:tc>
        <w:tc>
          <w:tcPr>
            <w:tcW w:w="46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0,02</w:t>
            </w:r>
          </w:p>
        </w:tc>
      </w:tr>
    </w:tbl>
    <w:p>
      <w:pPr>
        <w:pStyle w:val="Normal"/>
        <w:shd w:fill="FFFFFF" w:val="clear"/>
        <w:spacing w:before="120" w:after="0"/>
        <w:ind w:firstLine="283"/>
        <w:jc w:val="both"/>
        <w:rPr/>
      </w:pPr>
      <w:r>
        <w:rPr/>
        <w:t xml:space="preserve">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w:t>
      </w:r>
      <w:r>
        <w:rPr>
          <w:b/>
          <w:bCs/>
        </w:rPr>
        <w:t xml:space="preserve">1.7.159, </w:t>
      </w:r>
      <w:r>
        <w:rPr/>
        <w:t>УЗО, реагирующим на потенциал корпуса относительно земли.</w:t>
      </w:r>
    </w:p>
    <w:p>
      <w:pPr>
        <w:pStyle w:val="Normal"/>
        <w:shd w:fill="FFFFFF" w:val="clear"/>
        <w:ind w:firstLine="283"/>
        <w:jc w:val="both"/>
        <w:rPr/>
      </w:pPr>
      <w:r>
        <w:rPr>
          <w:b/>
          <w:bCs/>
        </w:rPr>
        <w:t xml:space="preserve">1.7.162. </w:t>
      </w:r>
      <w:r>
        <w:rPr/>
        <w:t xml:space="preserve">На вводе в передвижную электроустановку должна быть предусмотрена главная шина уравнивания потенциалов, соответствующая требованиям </w:t>
      </w:r>
      <w:r>
        <w:rPr>
          <w:b/>
          <w:bCs/>
        </w:rPr>
        <w:t xml:space="preserve">1.7.119 </w:t>
      </w:r>
      <w:r>
        <w:rPr/>
        <w:t>к главной заземляющей шине, к которой должны быть присоединены:</w:t>
      </w:r>
    </w:p>
    <w:p>
      <w:pPr>
        <w:pStyle w:val="Normal"/>
        <w:shd w:fill="FFFFFF" w:val="clear"/>
        <w:ind w:firstLine="283"/>
        <w:jc w:val="both"/>
        <w:rPr/>
      </w:pPr>
      <w:r>
        <w:rPr/>
        <w:t xml:space="preserve">нулевой защитный проводник </w:t>
      </w:r>
      <w:r>
        <w:rPr>
          <w:i/>
          <w:iCs/>
        </w:rPr>
        <w:t xml:space="preserve">РЕ </w:t>
      </w:r>
      <w:r>
        <w:rPr/>
        <w:t xml:space="preserve">или защитный проводник </w:t>
      </w:r>
      <w:r>
        <w:rPr>
          <w:i/>
          <w:iCs/>
        </w:rPr>
        <w:t xml:space="preserve">РЕ </w:t>
      </w:r>
      <w:r>
        <w:rPr/>
        <w:t>питающей линии;</w:t>
      </w:r>
    </w:p>
    <w:p>
      <w:pPr>
        <w:pStyle w:val="Normal"/>
        <w:shd w:fill="FFFFFF" w:val="clear"/>
        <w:ind w:firstLine="283"/>
        <w:jc w:val="both"/>
        <w:rPr/>
      </w:pPr>
      <w:r>
        <w:rPr/>
        <w:t>защитный проводник передвижной электроустановки с присоединенными к нему защитными проводниками открытых проводящих частей;</w:t>
      </w:r>
    </w:p>
    <w:p>
      <w:pPr>
        <w:pStyle w:val="Normal"/>
        <w:shd w:fill="FFFFFF" w:val="clear"/>
        <w:ind w:firstLine="283"/>
        <w:jc w:val="both"/>
        <w:rPr/>
      </w:pPr>
      <w:r>
        <w:rPr/>
        <w:t>проводники уравнивания потенциалов корпуса и других сторонних проводящих частей передвижной электроустановки;</w:t>
      </w:r>
    </w:p>
    <w:p>
      <w:pPr>
        <w:pStyle w:val="Normal"/>
        <w:shd w:fill="FFFFFF" w:val="clear"/>
        <w:ind w:firstLine="283"/>
        <w:jc w:val="both"/>
        <w:rPr/>
      </w:pPr>
      <w:r>
        <w:rPr/>
        <w:t>заземляющий проводник, присоединенный к местному заземлителю передвижной электроустановки (при его наличии).</w:t>
      </w:r>
    </w:p>
    <w:p>
      <w:pPr>
        <w:pStyle w:val="Normal"/>
        <w:shd w:fill="FFFFFF" w:val="clear"/>
        <w:ind w:firstLine="283"/>
        <w:jc w:val="both"/>
        <w:rPr/>
      </w:pPr>
      <w:r>
        <w:rP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pPr>
        <w:pStyle w:val="Normal"/>
        <w:shd w:fill="FFFFFF" w:val="clear"/>
        <w:ind w:firstLine="283"/>
        <w:jc w:val="both"/>
        <w:rPr/>
      </w:pPr>
      <w:r>
        <w:rPr>
          <w:b/>
          <w:bCs/>
        </w:rPr>
        <w:t>1.7.163.</w:t>
      </w:r>
      <w:r>
        <w:rPr/>
        <w:t xml:space="preserve"> Защитное заземление передвижной электроустановки в системе </w:t>
      </w:r>
      <w:r>
        <w:rPr>
          <w:i/>
          <w:iCs/>
        </w:rPr>
        <w:t xml:space="preserve">IT </w:t>
      </w:r>
      <w:r>
        <w:rPr/>
        <w:t>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pPr>
        <w:pStyle w:val="Normal"/>
        <w:shd w:fill="FFFFFF" w:val="clear"/>
        <w:ind w:firstLine="283"/>
        <w:jc w:val="both"/>
        <w:rPr/>
      </w:pPr>
      <w:r>
        <w:rP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r>
        <w:rPr>
          <w:b/>
          <w:bCs/>
        </w:rPr>
        <w:t>1.7.108.</w:t>
      </w:r>
    </w:p>
    <w:p>
      <w:pPr>
        <w:pStyle w:val="Normal"/>
        <w:shd w:fill="FFFFFF" w:val="clear"/>
        <w:ind w:firstLine="283"/>
        <w:jc w:val="both"/>
        <w:rPr/>
      </w:pPr>
      <w:r>
        <w:rP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pPr>
        <w:pStyle w:val="Normal"/>
        <w:shd w:fill="FFFFFF" w:val="clear"/>
        <w:spacing w:before="120" w:after="120"/>
        <w:jc w:val="center"/>
        <w:rPr/>
      </w:pPr>
      <w:r>
        <w:rPr>
          <w:i/>
          <w:iCs/>
        </w:rPr>
        <w:t>R</w:t>
      </w:r>
      <w:r>
        <w:rPr>
          <w:i/>
          <w:iCs/>
          <w:vertAlign w:val="subscript"/>
        </w:rPr>
        <w:t>з</w:t>
      </w:r>
      <w:r>
        <w:rPr>
          <w:i/>
          <w:iCs/>
        </w:rPr>
        <w:t xml:space="preserve"> </w:t>
      </w:r>
      <w:r>
        <w:rPr>
          <w:rFonts w:cs="Symbol" w:ascii="Symbol" w:hAnsi="Symbol"/>
        </w:rPr>
        <w:t></w:t>
      </w:r>
      <w:r>
        <w:rPr/>
        <w:t xml:space="preserve"> 25</w:t>
      </w:r>
      <w:r>
        <w:rPr>
          <w:i/>
          <w:iCs/>
        </w:rPr>
        <w:t>/I</w:t>
      </w:r>
      <w:r>
        <w:rPr>
          <w:i/>
          <w:iCs/>
          <w:vertAlign w:val="subscript"/>
        </w:rPr>
        <w:t>з</w:t>
      </w:r>
      <w:r>
        <w:rPr/>
        <w:t>,</w:t>
      </w:r>
    </w:p>
    <w:p>
      <w:pPr>
        <w:pStyle w:val="Normal"/>
        <w:shd w:fill="FFFFFF" w:val="clear"/>
        <w:jc w:val="both"/>
        <w:rPr/>
      </w:pPr>
      <w:r>
        <w:rPr/>
        <w:t xml:space="preserve">где </w:t>
      </w:r>
      <w:r>
        <w:rPr>
          <w:i/>
          <w:iCs/>
        </w:rPr>
        <w:t>R</w:t>
      </w:r>
      <w:r>
        <w:rPr>
          <w:i/>
          <w:iCs/>
          <w:vertAlign w:val="subscript"/>
        </w:rPr>
        <w:t>з</w:t>
      </w:r>
      <w:r>
        <w:rPr>
          <w:i/>
          <w:iCs/>
        </w:rPr>
        <w:t xml:space="preserve"> - </w:t>
      </w:r>
      <w:r>
        <w:rPr/>
        <w:t>сопротивление заземляющего устройства передвижной электроустановки, Ом;</w:t>
      </w:r>
    </w:p>
    <w:p>
      <w:pPr>
        <w:pStyle w:val="Normal"/>
        <w:shd w:fill="FFFFFF" w:val="clear"/>
        <w:ind w:left="800" w:hanging="500"/>
        <w:jc w:val="both"/>
        <w:rPr/>
      </w:pPr>
      <w:r>
        <w:rPr>
          <w:i/>
          <w:iCs/>
        </w:rPr>
        <w:t>I</w:t>
      </w:r>
      <w:r>
        <w:rPr>
          <w:i/>
          <w:iCs/>
          <w:vertAlign w:val="subscript"/>
        </w:rPr>
        <w:t>з</w:t>
      </w:r>
      <w:r>
        <w:rPr/>
        <w:t xml:space="preserve"> - полный ток однофазного замыкания на открытые проводящие части передвижной электроустановки, А.</w:t>
      </w:r>
    </w:p>
    <w:p>
      <w:pPr>
        <w:pStyle w:val="Normal"/>
        <w:shd w:fill="FFFFFF" w:val="clear"/>
        <w:ind w:firstLine="283"/>
        <w:jc w:val="both"/>
        <w:rPr/>
      </w:pPr>
      <w:r>
        <w:rPr>
          <w:b/>
          <w:bCs/>
        </w:rPr>
        <w:t>1.7.164.</w:t>
      </w:r>
      <w:r>
        <w:rPr/>
        <w:t xml:space="preserve">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pPr>
        <w:pStyle w:val="Normal"/>
        <w:shd w:fill="FFFFFF" w:val="clear"/>
        <w:ind w:firstLine="283"/>
        <w:jc w:val="both"/>
        <w:rPr/>
      </w:pPr>
      <w:r>
        <w:rPr/>
        <w:t>1) автономный источник питания и электроприемники расположены непосредственно на передвижной электроустановке, их корпуса соединены между собой при помощи защитного проводника, а от источника не питаются другие электроустановки;</w:t>
      </w:r>
    </w:p>
    <w:p>
      <w:pPr>
        <w:pStyle w:val="Normal"/>
        <w:shd w:fill="FFFFFF" w:val="clear"/>
        <w:ind w:firstLine="283"/>
        <w:jc w:val="both"/>
        <w:rPr/>
      </w:pPr>
      <w:r>
        <w:rPr/>
        <w:t>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1.7.10.</w:t>
      </w:r>
    </w:p>
    <w:p>
      <w:pPr>
        <w:pStyle w:val="Normal"/>
        <w:shd w:fill="FFFFFF" w:val="clear"/>
        <w:ind w:firstLine="283"/>
        <w:jc w:val="both"/>
        <w:rPr/>
      </w:pPr>
      <w:r>
        <w:rPr>
          <w:b/>
          <w:bCs/>
        </w:rPr>
        <w:t>1.7.165.</w:t>
      </w:r>
      <w:r>
        <w:rPr/>
        <w:t xml:space="preserve">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pPr>
        <w:pStyle w:val="Normal"/>
        <w:shd w:fill="FFFFFF" w:val="clear"/>
        <w:ind w:firstLine="283"/>
        <w:jc w:val="both"/>
        <w:rPr/>
      </w:pPr>
      <w:r>
        <w:rPr/>
        <w:t xml:space="preserve">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Pr>
          <w:b/>
          <w:bCs/>
        </w:rPr>
        <w:t xml:space="preserve">1.7.164, </w:t>
      </w:r>
      <w:r>
        <w:rPr/>
        <w:t>пп. 2.</w:t>
      </w:r>
    </w:p>
    <w:p>
      <w:pPr>
        <w:pStyle w:val="Normal"/>
        <w:shd w:fill="FFFFFF" w:val="clear"/>
        <w:ind w:firstLine="283"/>
        <w:jc w:val="both"/>
        <w:rPr/>
      </w:pPr>
      <w:r>
        <w:rPr>
          <w:b/>
          <w:bCs/>
        </w:rPr>
        <w:t>1.7.166.</w:t>
      </w:r>
      <w:r>
        <w:rPr/>
        <w:t xml:space="preserve"> 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защиты не менее IP 2X. Применение барьеров и размещение вне пределов досягаемости не допускается.</w:t>
      </w:r>
    </w:p>
    <w:p>
      <w:pPr>
        <w:pStyle w:val="Normal"/>
        <w:shd w:fill="FFFFFF" w:val="clear"/>
        <w:ind w:firstLine="283"/>
        <w:jc w:val="both"/>
        <w:rPr/>
      </w:pPr>
      <w:r>
        <w:rPr/>
        <w:t xml:space="preserve">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w:t>
      </w:r>
      <w:r>
        <w:rPr>
          <w:b/>
          <w:bCs/>
        </w:rPr>
        <w:t>1.7.151.</w:t>
      </w:r>
    </w:p>
    <w:p>
      <w:pPr>
        <w:pStyle w:val="Normal"/>
        <w:shd w:fill="FFFFFF" w:val="clear"/>
        <w:ind w:firstLine="283"/>
        <w:jc w:val="both"/>
        <w:rPr/>
      </w:pPr>
      <w:r>
        <w:rPr>
          <w:b/>
          <w:bCs/>
        </w:rPr>
        <w:t>1.7.167.</w:t>
      </w:r>
      <w:r>
        <w:rPr/>
        <w:t xml:space="preserve"> 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pPr>
        <w:pStyle w:val="Normal"/>
        <w:shd w:fill="FFFFFF" w:val="clear"/>
        <w:ind w:firstLine="283"/>
        <w:jc w:val="both"/>
        <w:rPr/>
      </w:pPr>
      <w:r>
        <w:rPr/>
        <w:t xml:space="preserve">защитных - см. </w:t>
      </w:r>
      <w:r>
        <w:rPr>
          <w:b/>
          <w:bCs/>
        </w:rPr>
        <w:t>1.7.126-1.7.127</w:t>
      </w:r>
      <w:r>
        <w:rPr/>
        <w:t>;</w:t>
      </w:r>
    </w:p>
    <w:p>
      <w:pPr>
        <w:pStyle w:val="Normal"/>
        <w:shd w:fill="FFFFFF" w:val="clear"/>
        <w:ind w:firstLine="283"/>
        <w:jc w:val="both"/>
        <w:rPr/>
      </w:pPr>
      <w:r>
        <w:rPr/>
        <w:t xml:space="preserve">заземляющих </w:t>
      </w:r>
      <w:r>
        <w:rPr>
          <w:b/>
          <w:bCs/>
        </w:rPr>
        <w:t xml:space="preserve">- </w:t>
      </w:r>
      <w:r>
        <w:rPr/>
        <w:t xml:space="preserve">см. </w:t>
      </w:r>
      <w:r>
        <w:rPr>
          <w:b/>
          <w:bCs/>
        </w:rPr>
        <w:t>1.7.113;</w:t>
      </w:r>
    </w:p>
    <w:p>
      <w:pPr>
        <w:pStyle w:val="Normal"/>
        <w:shd w:fill="FFFFFF" w:val="clear"/>
        <w:ind w:firstLine="283"/>
        <w:jc w:val="both"/>
        <w:rPr/>
      </w:pPr>
      <w:r>
        <w:rPr/>
        <w:t xml:space="preserve">уравнивания потенциалов - см. </w:t>
      </w:r>
      <w:r>
        <w:rPr>
          <w:b/>
          <w:bCs/>
        </w:rPr>
        <w:t>1.7.136-1.7.138.</w:t>
      </w:r>
    </w:p>
    <w:p>
      <w:pPr>
        <w:pStyle w:val="Normal"/>
        <w:shd w:fill="FFFFFF" w:val="clear"/>
        <w:ind w:firstLine="283"/>
        <w:jc w:val="both"/>
        <w:rPr/>
      </w:pPr>
      <w:r>
        <w:rPr/>
        <w:t xml:space="preserve">При применении системы </w:t>
      </w:r>
      <w:r>
        <w:rPr>
          <w:i/>
          <w:iCs/>
        </w:rPr>
        <w:t xml:space="preserve">IT </w:t>
      </w:r>
      <w:r>
        <w:rPr/>
        <w:t>допускается прокладка защитных и заземляющих проводников и проводников уравнивания потенциалов отдельно от фазных проводников.</w:t>
      </w:r>
    </w:p>
    <w:p>
      <w:pPr>
        <w:pStyle w:val="Normal"/>
        <w:shd w:fill="FFFFFF" w:val="clear"/>
        <w:ind w:firstLine="283"/>
        <w:jc w:val="both"/>
        <w:rPr/>
      </w:pPr>
      <w:r>
        <w:rPr>
          <w:b/>
          <w:bCs/>
        </w:rPr>
        <w:t>1.7.168.</w:t>
      </w:r>
      <w:r>
        <w:rPr/>
        <w:t xml:space="preserve">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pPr>
        <w:pStyle w:val="Normal"/>
        <w:shd w:fill="FFFFFF" w:val="clear"/>
        <w:ind w:firstLine="283"/>
        <w:jc w:val="both"/>
        <w:rPr/>
      </w:pPr>
      <w:r>
        <w:rPr>
          <w:b/>
          <w:bCs/>
        </w:rPr>
        <w:t>1.7.169.</w:t>
      </w:r>
      <w:r>
        <w:rPr/>
        <w:t xml:space="preserve"> 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pPr>
        <w:pStyle w:val="Heading3"/>
        <w:rPr/>
      </w:pPr>
      <w:r>
        <w:rPr/>
        <w:t>Электроустановки помещений для содержания животных</w:t>
      </w:r>
    </w:p>
    <w:p>
      <w:pPr>
        <w:pStyle w:val="Normal"/>
        <w:shd w:fill="FFFFFF" w:val="clear"/>
        <w:ind w:firstLine="283"/>
        <w:jc w:val="both"/>
        <w:rPr/>
      </w:pPr>
      <w:r>
        <w:rPr>
          <w:b/>
          <w:bCs/>
        </w:rPr>
        <w:t>1.7.170.</w:t>
      </w:r>
      <w:r>
        <w:rPr/>
        <w:t xml:space="preserve"> Питание электроустановок животноводческих помещений следует, как правило, выполнять от сети напряжением 380/220 В переменного тока.</w:t>
      </w:r>
    </w:p>
    <w:p>
      <w:pPr>
        <w:pStyle w:val="Normal"/>
        <w:shd w:fill="FFFFFF" w:val="clear"/>
        <w:ind w:firstLine="283"/>
        <w:jc w:val="both"/>
        <w:rPr/>
      </w:pPr>
      <w:r>
        <w:rPr>
          <w:b/>
          <w:bCs/>
        </w:rPr>
        <w:t>1.7.171.</w:t>
      </w:r>
      <w:r>
        <w:rPr/>
        <w:t xml:space="preserve"> Для защиты людей и животных при косвенном прикосновении должно быть выполнено автоматическое отключение питания с применением системы </w:t>
      </w:r>
      <w:r>
        <w:rPr>
          <w:i/>
          <w:iCs/>
        </w:rPr>
        <w:t xml:space="preserve">TN-C-S. </w:t>
      </w:r>
      <w:r>
        <w:rPr/>
        <w:t xml:space="preserve">Разделение </w:t>
      </w:r>
      <w:r>
        <w:rPr>
          <w:i/>
          <w:iCs/>
        </w:rPr>
        <w:t>PEN-</w:t>
      </w:r>
      <w:r>
        <w:rPr/>
        <w:t>проводника на нулевой защитный (</w:t>
      </w:r>
      <w:r>
        <w:rPr>
          <w:i/>
          <w:iCs/>
        </w:rPr>
        <w:t>РЕ</w:t>
      </w:r>
      <w:r>
        <w:rPr/>
        <w:t>) и нулевой рабочий (</w:t>
      </w:r>
      <w:r>
        <w:rPr>
          <w:i/>
          <w:iCs/>
        </w:rPr>
        <w:t>N</w:t>
      </w:r>
      <w:r>
        <w:rPr/>
        <w:t xml:space="preserve">) 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w:t>
      </w:r>
      <w:r>
        <w:rPr>
          <w:i/>
          <w:iCs/>
        </w:rPr>
        <w:t xml:space="preserve">TN-S, </w:t>
      </w:r>
      <w:r>
        <w:rPr/>
        <w:t>при этом нулевой рабочий проводник должен иметь изоляцию, равноценную изоляции фазных проводников на всем его протяжении.</w:t>
      </w:r>
    </w:p>
    <w:p>
      <w:pPr>
        <w:pStyle w:val="Normal"/>
        <w:shd w:fill="FFFFFF" w:val="clear"/>
        <w:ind w:firstLine="283"/>
        <w:jc w:val="both"/>
        <w:rPr/>
      </w:pPr>
      <w:r>
        <w:rPr/>
        <w:t>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1.7.11.</w:t>
      </w:r>
    </w:p>
    <w:p>
      <w:pPr>
        <w:pStyle w:val="Normal"/>
        <w:shd w:fill="FFFFFF" w:val="clear"/>
        <w:spacing w:before="120" w:after="120"/>
        <w:jc w:val="right"/>
        <w:rPr>
          <w:i/>
          <w:i/>
          <w:iCs/>
        </w:rPr>
      </w:pPr>
      <w:r>
        <w:rPr>
          <w:i/>
          <w:iCs/>
        </w:rPr>
        <w:t>Таблица 1.7.11</w:t>
      </w:r>
    </w:p>
    <w:p>
      <w:pPr>
        <w:pStyle w:val="Normal"/>
        <w:shd w:fill="FFFFFF" w:val="clear"/>
        <w:spacing w:before="0" w:after="120"/>
        <w:jc w:val="center"/>
        <w:rPr/>
      </w:pPr>
      <w:r>
        <w:rPr>
          <w:b/>
          <w:bCs/>
        </w:rPr>
        <w:t xml:space="preserve">Наибольшее допустимое время защитного автоматического отключения для системы </w:t>
      </w:r>
      <w:r>
        <w:rPr>
          <w:b/>
          <w:bCs/>
          <w:i/>
          <w:iCs/>
        </w:rPr>
        <w:t xml:space="preserve">TN </w:t>
      </w:r>
      <w:r>
        <w:rPr>
          <w:b/>
          <w:bCs/>
        </w:rPr>
        <w:t>в помещениях для содержания животных</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75"/>
        <w:gridCol w:w="4680"/>
      </w:tblGrid>
      <w:tr>
        <w:trPr/>
        <w:tc>
          <w:tcPr>
            <w:tcW w:w="4675" w:type="dxa"/>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jc w:val="center"/>
              <w:rPr/>
            </w:pPr>
            <w:r>
              <w:rPr/>
              <w:t xml:space="preserve">Номинальное фазное напряжение, </w:t>
            </w:r>
            <w:r>
              <w:rPr>
                <w:i/>
                <w:iCs/>
              </w:rPr>
              <w:t>U</w:t>
            </w:r>
            <w:r>
              <w:rPr>
                <w:i/>
                <w:iCs/>
                <w:vertAlign w:val="subscript"/>
              </w:rPr>
              <w:t>o</w:t>
            </w:r>
            <w:r>
              <w:rPr/>
              <w:t>, В</w:t>
            </w:r>
          </w:p>
        </w:tc>
        <w:tc>
          <w:tcPr>
            <w:tcW w:w="468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Время отключения, с</w:t>
            </w:r>
          </w:p>
        </w:tc>
      </w:tr>
      <w:tr>
        <w:trPr/>
        <w:tc>
          <w:tcPr>
            <w:tcW w:w="4675" w:type="dxa"/>
            <w:tcBorders>
              <w:left w:val="single" w:sz="8" w:space="0" w:color="000000"/>
            </w:tcBorders>
            <w:shd w:fill="FFFFFF" w:val="clear"/>
          </w:tcPr>
          <w:p>
            <w:pPr>
              <w:pStyle w:val="Normal"/>
              <w:shd w:fill="FFFFFF" w:val="clear"/>
              <w:jc w:val="center"/>
              <w:rPr/>
            </w:pPr>
            <w:r>
              <w:rPr/>
              <w:t>127</w:t>
            </w:r>
          </w:p>
        </w:tc>
        <w:tc>
          <w:tcPr>
            <w:tcW w:w="468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0,35</w:t>
            </w:r>
          </w:p>
        </w:tc>
      </w:tr>
      <w:tr>
        <w:trPr/>
        <w:tc>
          <w:tcPr>
            <w:tcW w:w="4675" w:type="dxa"/>
            <w:tcBorders>
              <w:left w:val="single" w:sz="8" w:space="0" w:color="000000"/>
            </w:tcBorders>
            <w:shd w:fill="FFFFFF" w:val="clear"/>
          </w:tcPr>
          <w:p>
            <w:pPr>
              <w:pStyle w:val="Normal"/>
              <w:shd w:fill="FFFFFF" w:val="clear"/>
              <w:jc w:val="center"/>
              <w:rPr/>
            </w:pPr>
            <w:r>
              <w:rPr/>
              <w:t>220</w:t>
            </w:r>
          </w:p>
        </w:tc>
        <w:tc>
          <w:tcPr>
            <w:tcW w:w="468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0,2</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380</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0,05</w:t>
            </w:r>
          </w:p>
        </w:tc>
      </w:tr>
    </w:tbl>
    <w:p>
      <w:pPr>
        <w:pStyle w:val="Normal"/>
        <w:shd w:fill="FFFFFF" w:val="clear"/>
        <w:spacing w:before="120" w:after="0"/>
        <w:ind w:firstLine="283"/>
        <w:jc w:val="both"/>
        <w:rPr/>
      </w:pPr>
      <w:r>
        <w:rP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pPr>
        <w:pStyle w:val="Normal"/>
        <w:shd w:fill="FFFFFF" w:val="clear"/>
        <w:ind w:firstLine="283"/>
        <w:jc w:val="both"/>
        <w:rPr/>
      </w:pPr>
      <w:r>
        <w:rPr>
          <w:b/>
          <w:bCs/>
        </w:rPr>
        <w:t>1.7.172.</w:t>
      </w:r>
      <w:r>
        <w:rPr/>
        <w:t xml:space="preserve"> </w:t>
      </w:r>
      <w:r>
        <w:rPr>
          <w:i/>
          <w:iCs/>
        </w:rPr>
        <w:t>PEN</w:t>
      </w:r>
      <w:r>
        <w:rPr/>
        <w:t xml:space="preserve">-проводник на вводе в помещение должен быть повторно заземлен. Значение сопротивления повторного заземления должно соответствовать </w:t>
      </w:r>
      <w:r>
        <w:rPr>
          <w:b/>
          <w:bCs/>
        </w:rPr>
        <w:t>1.7.103</w:t>
      </w:r>
      <w:r>
        <w:rPr/>
        <w:t>.</w:t>
      </w:r>
    </w:p>
    <w:p>
      <w:pPr>
        <w:pStyle w:val="Normal"/>
        <w:shd w:fill="FFFFFF" w:val="clear"/>
        <w:ind w:firstLine="283"/>
        <w:jc w:val="both"/>
        <w:rPr/>
      </w:pPr>
      <w:r>
        <w:rPr>
          <w:b/>
          <w:bCs/>
        </w:rPr>
        <w:t>1.7.173.</w:t>
      </w:r>
      <w:r>
        <w:rPr/>
        <w:t xml:space="preserve"> 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pPr>
        <w:pStyle w:val="Normal"/>
        <w:shd w:fill="FFFFFF" w:val="clear"/>
        <w:ind w:firstLine="283"/>
        <w:jc w:val="both"/>
        <w:rPr/>
      </w:pPr>
      <w:r>
        <w:rPr>
          <w:b/>
          <w:bCs/>
        </w:rPr>
        <w:t>1.7.174.</w:t>
      </w:r>
      <w:r>
        <w:rPr/>
        <w:t xml:space="preserve">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pPr>
        <w:pStyle w:val="Normal"/>
        <w:shd w:fill="FFFFFF" w:val="clear"/>
        <w:ind w:firstLine="283"/>
        <w:jc w:val="both"/>
        <w:rPr/>
      </w:pPr>
      <w:r>
        <w:rPr>
          <w:b/>
          <w:bCs/>
        </w:rPr>
        <w:t>1.7.175.</w:t>
      </w:r>
      <w:r>
        <w:rPr/>
        <w:t xml:space="preserve">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1.7.11 для электроустановок в помещениях с повышенной опасностью, особо опасных и в наружных установках - не более 12 В.</w:t>
      </w:r>
    </w:p>
    <w:p>
      <w:pPr>
        <w:pStyle w:val="Normal"/>
        <w:shd w:fill="FFFFFF" w:val="clear"/>
        <w:ind w:firstLine="283"/>
        <w:jc w:val="both"/>
        <w:rPr/>
      </w:pPr>
      <w:r>
        <w:rPr>
          <w:b/>
          <w:bCs/>
        </w:rPr>
        <w:t>1.7.176.</w:t>
      </w:r>
      <w:r>
        <w:rPr/>
        <w:t xml:space="preserve"> Для всех групповых цепей, питающих штепсельные розетки, должна быть дополнительная защита от прямого прикосновения при помощи УЗО с номинальным отключающим дифференциальным током не более 30 мА.</w:t>
      </w:r>
    </w:p>
    <w:p>
      <w:pPr>
        <w:pStyle w:val="Normal"/>
        <w:shd w:fill="FFFFFF" w:val="clear"/>
        <w:ind w:firstLine="283"/>
        <w:jc w:val="both"/>
        <w:rPr/>
      </w:pPr>
      <w:r>
        <w:rPr>
          <w:b/>
          <w:bCs/>
        </w:rPr>
        <w:t>1.7.177.</w:t>
      </w:r>
      <w:r>
        <w:rPr/>
        <w:t xml:space="preserve">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устанавливаемых на вводном щитке.</w:t>
      </w:r>
    </w:p>
    <w:p>
      <w:pPr>
        <w:pStyle w:val="Heading2"/>
        <w:rPr/>
      </w:pPr>
      <w:bookmarkStart w:id="7" w:name="_%D0%93%D0%BB%D0%B0%D0%B2%D0%B0_1.8._%D0"/>
      <w:bookmarkEnd w:id="7"/>
      <w:r>
        <w:rPr/>
        <w:t>Глава 1.8. НОРМЫ ПРИЕМО-СДАТОЧНЫХ ИСПЫТАНИЙ</w:t>
      </w:r>
    </w:p>
    <w:p>
      <w:pPr>
        <w:pStyle w:val="Normal"/>
        <w:jc w:val="right"/>
        <w:rPr/>
      </w:pPr>
      <w:r>
        <w:rPr/>
        <w:t>УТВЕРЖДЕНЫ</w:t>
      </w:r>
    </w:p>
    <w:p>
      <w:pPr>
        <w:pStyle w:val="Normal"/>
        <w:jc w:val="right"/>
        <w:rPr/>
      </w:pPr>
      <w:r>
        <w:rPr/>
        <w:t>Приказом Минэнерго России</w:t>
      </w:r>
    </w:p>
    <w:p>
      <w:pPr>
        <w:pStyle w:val="Normal"/>
        <w:jc w:val="right"/>
        <w:rPr/>
      </w:pPr>
      <w:r>
        <w:rPr/>
        <w:t>От 09.04.2003 № 150</w:t>
      </w:r>
    </w:p>
    <w:p>
      <w:pPr>
        <w:pStyle w:val="Heading3"/>
        <w:rPr/>
      </w:pPr>
      <w:r>
        <w:rPr/>
        <w:t>Общие положения</w:t>
      </w:r>
    </w:p>
    <w:p>
      <w:pPr>
        <w:pStyle w:val="Normal"/>
        <w:ind w:firstLine="283"/>
        <w:jc w:val="both"/>
        <w:rPr/>
      </w:pPr>
      <w:r>
        <w:rPr>
          <w:b/>
          <w:bCs/>
        </w:rPr>
        <w:t xml:space="preserve">1.8.1. </w:t>
      </w:r>
      <w:r>
        <w:rPr/>
        <w:t>Электрооборудование до 500 кВ, вновь вводимое в эксплуатацию, 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pPr>
        <w:pStyle w:val="Normal"/>
        <w:ind w:firstLine="283"/>
        <w:jc w:val="both"/>
        <w:rPr/>
      </w:pPr>
      <w:r>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pPr>
        <w:pStyle w:val="Normal"/>
        <w:ind w:firstLine="283"/>
        <w:jc w:val="both"/>
        <w:rPr/>
      </w:pPr>
      <w:r>
        <w:rPr>
          <w:b/>
          <w:bCs/>
        </w:rPr>
        <w:t>1.8.2.</w:t>
      </w:r>
      <w:r>
        <w:rPr/>
        <w:t xml:space="preserve">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pPr>
        <w:pStyle w:val="Normal"/>
        <w:ind w:firstLine="283"/>
        <w:jc w:val="both"/>
        <w:rPr/>
      </w:pPr>
      <w:r>
        <w:rPr>
          <w:b/>
          <w:bCs/>
        </w:rPr>
        <w:t xml:space="preserve">1.8.3. </w:t>
      </w:r>
      <w:r>
        <w:rPr/>
        <w:t>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pPr>
        <w:pStyle w:val="Normal"/>
        <w:ind w:firstLine="283"/>
        <w:jc w:val="both"/>
        <w:rPr/>
      </w:pPr>
      <w:r>
        <w:rPr>
          <w:b/>
          <w:bCs/>
        </w:rPr>
        <w:t>1.8.4.</w:t>
      </w:r>
      <w:r>
        <w:rPr/>
        <w:t xml:space="preserve"> Заключение о пригодности оборудования к эксплуатации дается на основании результатов всех испытаний и измерений, относящихся к данной единице оборудования.</w:t>
      </w:r>
    </w:p>
    <w:p>
      <w:pPr>
        <w:pStyle w:val="Normal"/>
        <w:ind w:firstLine="283"/>
        <w:jc w:val="both"/>
        <w:rPr/>
      </w:pPr>
      <w:r>
        <w:rPr>
          <w:b/>
          <w:bCs/>
        </w:rPr>
        <w:t>1.8.5.</w:t>
      </w:r>
      <w:r>
        <w:rPr/>
        <w:t xml:space="preserve"> 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и/или протоколами.</w:t>
      </w:r>
    </w:p>
    <w:p>
      <w:pPr>
        <w:pStyle w:val="Normal"/>
        <w:ind w:firstLine="283"/>
        <w:jc w:val="both"/>
        <w:rPr/>
      </w:pPr>
      <w:r>
        <w:rPr>
          <w:b/>
          <w:bCs/>
        </w:rPr>
        <w:t>1.8.6.</w:t>
      </w:r>
      <w:r>
        <w:rPr/>
        <w:t xml:space="preserve"> Испытание повышенным напряжением промышленной частоты обязательно для электрооборудования на напряжение до 35 кВ.</w:t>
      </w:r>
    </w:p>
    <w:p>
      <w:pPr>
        <w:pStyle w:val="Normal"/>
        <w:ind w:firstLine="283"/>
        <w:jc w:val="both"/>
        <w:rPr/>
      </w:pPr>
      <w:r>
        <w:rPr/>
        <w:t>При отсутствии необходимой испытательной аппаратуры переменного тока допускается испытывать электрооборудование распределительных устройств напряжением до 20 кВ повышенным выпрямленным напряжением, которое должно быть равно полуторакратному значению испытательного напряжения промышленной частоты.</w:t>
      </w:r>
    </w:p>
    <w:p>
      <w:pPr>
        <w:pStyle w:val="Normal"/>
        <w:ind w:firstLine="283"/>
        <w:jc w:val="both"/>
        <w:rPr/>
      </w:pPr>
      <w:r>
        <w:rPr>
          <w:b/>
          <w:bCs/>
        </w:rPr>
        <w:t>1.8.7.</w:t>
      </w:r>
      <w:r>
        <w:rPr/>
        <w:t xml:space="preserve"> Электрооборудование и изоляторы на номинальное напряжение, превышающее номинальное напряжение электроустановки, в которой они эксплуатируются, могут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pPr>
        <w:pStyle w:val="Normal"/>
        <w:ind w:firstLine="283"/>
        <w:jc w:val="both"/>
        <w:rPr/>
      </w:pPr>
      <w:r>
        <w:rPr/>
        <w:t>- аппаратов и цепей напряжением до 500 В - мегаомметром на напряжение 500 В;</w:t>
      </w:r>
    </w:p>
    <w:p>
      <w:pPr>
        <w:pStyle w:val="Normal"/>
        <w:ind w:firstLine="283"/>
        <w:jc w:val="both"/>
        <w:rPr/>
      </w:pPr>
      <w:r>
        <w:rPr/>
        <w:t>- аппаратов и цепей напряжением от 500 В до 1000 В - мегаомметром на напряжение 1000 В;</w:t>
      </w:r>
    </w:p>
    <w:p>
      <w:pPr>
        <w:pStyle w:val="Normal"/>
        <w:ind w:firstLine="283"/>
        <w:jc w:val="both"/>
        <w:rPr/>
      </w:pPr>
      <w:r>
        <w:rPr/>
        <w:t>- аппаратов напряжением выше 1000 В - мегаомметром на напряжение 2500 В;</w:t>
      </w:r>
    </w:p>
    <w:p>
      <w:pPr>
        <w:pStyle w:val="Normal"/>
        <w:ind w:firstLine="283"/>
        <w:jc w:val="both"/>
        <w:rPr/>
      </w:pPr>
      <w:r>
        <w:rPr/>
        <w:t>Испытание повышенным напряжением изоляторов и трансформаторов тока, соединенных с силовыми кабелями 6 - 10 кВ, может производиться вместе с кабелями. Оценка состояния производится по нормам, принятым для силовых кабелей.</w:t>
      </w:r>
    </w:p>
    <w:p>
      <w:pPr>
        <w:pStyle w:val="Normal"/>
        <w:ind w:firstLine="283"/>
        <w:jc w:val="both"/>
        <w:rPr/>
      </w:pPr>
      <w:r>
        <w:rPr>
          <w:b/>
          <w:bCs/>
        </w:rPr>
        <w:t>1.8.8.</w:t>
      </w:r>
      <w:r>
        <w:rPr/>
        <w:t xml:space="preserve"> Испытания электрооборудования производства иностранных фирм производятся в соответствии с указаниями завода (фирмы)-изготовителя. При этом значения проверяемых величин должны соответствовать указанным в данной главе.</w:t>
      </w:r>
    </w:p>
    <w:p>
      <w:pPr>
        <w:pStyle w:val="Normal"/>
        <w:ind w:firstLine="283"/>
        <w:jc w:val="both"/>
        <w:rPr/>
      </w:pPr>
      <w:r>
        <w:rPr>
          <w:b/>
          <w:bCs/>
        </w:rPr>
        <w:t>1.8.9.</w:t>
      </w:r>
      <w:r>
        <w:rPr/>
        <w:t xml:space="preserve">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pPr>
        <w:pStyle w:val="Normal"/>
        <w:ind w:firstLine="283"/>
        <w:jc w:val="both"/>
        <w:rPr/>
      </w:pPr>
      <w:r>
        <w:rPr>
          <w:b/>
          <w:bCs/>
        </w:rPr>
        <w:t>1.8.10.</w:t>
      </w:r>
      <w:r>
        <w:rPr/>
        <w:t xml:space="preserve">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pPr>
        <w:pStyle w:val="Normal"/>
        <w:ind w:firstLine="283"/>
        <w:jc w:val="both"/>
        <w:rPr/>
      </w:pPr>
      <w:r>
        <w:rPr>
          <w:b/>
          <w:bCs/>
        </w:rPr>
        <w:t>1.8.11.</w:t>
      </w:r>
      <w:r>
        <w:rPr/>
        <w:t xml:space="preserve"> 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2500 В. Если при этом полученное значение сопротивления меньше приведенного в нормах, испытание напряжением 1 кВ промышленной частоты является обязательным.</w:t>
      </w:r>
    </w:p>
    <w:p>
      <w:pPr>
        <w:pStyle w:val="Normal"/>
        <w:ind w:firstLine="283"/>
        <w:jc w:val="both"/>
        <w:rPr/>
      </w:pPr>
      <w:r>
        <w:rPr>
          <w:b/>
          <w:bCs/>
        </w:rPr>
        <w:t>1.8.12.</w:t>
      </w:r>
      <w:r>
        <w:rPr/>
        <w:t xml:space="preserve"> В настоящей главе применяются следующие термины:</w:t>
      </w:r>
    </w:p>
    <w:p>
      <w:pPr>
        <w:pStyle w:val="Normal"/>
        <w:ind w:firstLine="283"/>
        <w:jc w:val="both"/>
        <w:rPr/>
      </w:pPr>
      <w:r>
        <w:rPr/>
        <w:t xml:space="preserve">1. </w:t>
      </w:r>
      <w:r>
        <w:rPr>
          <w:spacing w:val="40"/>
        </w:rPr>
        <w:t>Испытательное напряжение промышленной частоты</w:t>
      </w:r>
      <w:r>
        <w:rPr/>
        <w:t xml:space="preserve"> - действующее значение напряжения частотой 50 Гц, практически синусоидального, которое должна выдерживать изоляция электрооборудования при определенных условиях испытания.</w:t>
      </w:r>
    </w:p>
    <w:p>
      <w:pPr>
        <w:pStyle w:val="Normal"/>
        <w:ind w:firstLine="283"/>
        <w:jc w:val="both"/>
        <w:rPr/>
      </w:pPr>
      <w:r>
        <w:rPr/>
        <w:t xml:space="preserve">2. </w:t>
      </w:r>
      <w:r>
        <w:rPr>
          <w:spacing w:val="40"/>
        </w:rPr>
        <w:t>Электрооборудование с нормальной изоляцией</w:t>
      </w:r>
      <w:r>
        <w:rPr/>
        <w:t xml:space="preserve"> - электрооборудование, предназначенное для применения в электроустановках, подверженных действию грозовых перенапряжений при обычных мерах по грозозащите.</w:t>
      </w:r>
    </w:p>
    <w:p>
      <w:pPr>
        <w:pStyle w:val="Normal"/>
        <w:ind w:firstLine="283"/>
        <w:jc w:val="both"/>
        <w:rPr/>
      </w:pPr>
      <w:r>
        <w:rPr/>
        <w:t xml:space="preserve">3. </w:t>
      </w:r>
      <w:r>
        <w:rPr>
          <w:spacing w:val="40"/>
        </w:rPr>
        <w:t>Электрооборудование с облегченной изоляцией</w:t>
      </w:r>
      <w:r>
        <w:rPr/>
        <w:t xml:space="preserve"> - электрооборудование, предназначенное для применения в электроустановках, не подверженных действию грозовых перенапряжений или оборудованных специальными устройствами грозозащиты, ограничивающими амплитудное значение грозовых перенапряжений до значения, не превышающего амплитудного значения испытательного напряжения промышленной частоты.</w:t>
      </w:r>
    </w:p>
    <w:p>
      <w:pPr>
        <w:pStyle w:val="Normal"/>
        <w:ind w:firstLine="283"/>
        <w:jc w:val="both"/>
        <w:rPr/>
      </w:pPr>
      <w:r>
        <w:rPr/>
        <w:t xml:space="preserve">4. </w:t>
      </w:r>
      <w:r>
        <w:rPr>
          <w:spacing w:val="40"/>
        </w:rPr>
        <w:t xml:space="preserve">Аппараты </w:t>
      </w:r>
      <w:r>
        <w:rPr/>
        <w:t>-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pPr>
        <w:pStyle w:val="Normal"/>
        <w:ind w:firstLine="283"/>
        <w:jc w:val="both"/>
        <w:rPr/>
      </w:pPr>
      <w:r>
        <w:rPr/>
        <w:t xml:space="preserve">5. </w:t>
      </w:r>
      <w:r>
        <w:rPr>
          <w:spacing w:val="40"/>
        </w:rPr>
        <w:t>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pPr>
        <w:pStyle w:val="Normal"/>
        <w:ind w:firstLine="283"/>
        <w:jc w:val="both"/>
        <w:rPr/>
      </w:pPr>
      <w:r>
        <w:rPr/>
        <w:t xml:space="preserve">6. </w:t>
      </w:r>
      <w:r>
        <w:rPr>
          <w:spacing w:val="40"/>
        </w:rPr>
        <w:t>Класс напряжения электрооборудования - номинальное напряжение электроустановки, для работы в которой предназначено данное электрооборудование.</w:t>
      </w:r>
    </w:p>
    <w:p>
      <w:pPr>
        <w:pStyle w:val="Heading3"/>
        <w:rPr/>
      </w:pPr>
      <w:r>
        <w:rPr/>
        <w:t>1.8.13. Синхронные генераторы и компенсаторы</w:t>
      </w:r>
    </w:p>
    <w:p>
      <w:pPr>
        <w:pStyle w:val="Normal"/>
        <w:ind w:firstLine="283"/>
        <w:jc w:val="both"/>
        <w:rPr/>
      </w:pPr>
      <w:r>
        <w:rPr/>
        <w:t>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pPr>
        <w:pStyle w:val="Normal"/>
        <w:ind w:firstLine="283"/>
        <w:jc w:val="both"/>
        <w:rPr/>
      </w:pPr>
      <w:r>
        <w:rPr/>
        <w:t>Генераторы мощностью до 1 МВт напряжением выше 1 кВ должны испытываться по пп</w:t>
      </w:r>
      <w:r>
        <w:rPr>
          <w:color w:val="000000"/>
        </w:rPr>
        <w:t>. 1</w:t>
      </w:r>
      <w:r>
        <w:rPr/>
        <w:t xml:space="preserve"> - 5, 7 - 15 настоящего параграфа.</w:t>
      </w:r>
    </w:p>
    <w:p>
      <w:pPr>
        <w:pStyle w:val="Normal"/>
        <w:ind w:firstLine="283"/>
        <w:jc w:val="both"/>
        <w:rPr/>
      </w:pPr>
      <w:r>
        <w:rPr/>
        <w:t>Генераторы напряжением до 1 кВ независимо от их мощности должны испытываться по пп. 2, 4, 5, 8, 10 - 14 настоящего параграфа.</w:t>
      </w:r>
    </w:p>
    <w:p>
      <w:pPr>
        <w:pStyle w:val="Normal"/>
        <w:ind w:firstLine="283"/>
        <w:jc w:val="both"/>
        <w:rPr/>
      </w:pPr>
      <w:r>
        <w:rPr/>
        <w:t>1. Определение возможности включения без сушки генераторов выше 1 кВ.</w:t>
      </w:r>
    </w:p>
    <w:p>
      <w:pPr>
        <w:pStyle w:val="Normal"/>
        <w:ind w:firstLine="283"/>
        <w:jc w:val="both"/>
        <w:rPr/>
      </w:pPr>
      <w:r>
        <w:rPr/>
        <w:t>Следует производить в соответствии с указанием завода-изготовителя.</w:t>
      </w:r>
    </w:p>
    <w:p>
      <w:pPr>
        <w:pStyle w:val="Normal"/>
        <w:ind w:firstLine="283"/>
        <w:jc w:val="both"/>
        <w:rPr/>
      </w:pPr>
      <w:r>
        <w:rPr/>
        <w:t>2. Измерение сопротивления изоляции.</w:t>
      </w:r>
    </w:p>
    <w:p>
      <w:pPr>
        <w:pStyle w:val="Normal"/>
        <w:ind w:firstLine="283"/>
        <w:jc w:val="both"/>
        <w:rPr/>
      </w:pPr>
      <w:r>
        <w:rPr/>
        <w:t>Сопротивление изоляции должно быть не менее значений, приведенных в табл. 1.8.1.</w:t>
      </w:r>
    </w:p>
    <w:p>
      <w:pPr>
        <w:pStyle w:val="Normal"/>
        <w:ind w:firstLine="283"/>
        <w:jc w:val="both"/>
        <w:rPr/>
      </w:pPr>
      <w:r>
        <w:rPr/>
        <w:t>3. Испытание изоляции обмотки статора повышенным выпрямленным напряжением с измерением тока утечки по фазам.</w:t>
      </w:r>
    </w:p>
    <w:p>
      <w:pPr>
        <w:pStyle w:val="Normal"/>
        <w:ind w:firstLine="283"/>
        <w:jc w:val="both"/>
        <w:rPr/>
      </w:pPr>
      <w:r>
        <w:rPr/>
        <w:t>Испытанию подвергается каждая фаза или ветвь в отдельности при других фазах или ветвях, соединённых с корпусом.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pPr>
        <w:pStyle w:val="Normal"/>
        <w:ind w:firstLine="283"/>
        <w:jc w:val="both"/>
        <w:rPr/>
      </w:pPr>
      <w:r>
        <w:rPr/>
        <w:t>Значения испытательного напряжения приведены в табл. 1.8.2.</w:t>
      </w:r>
    </w:p>
    <w:p>
      <w:pPr>
        <w:pStyle w:val="Normal"/>
        <w:ind w:firstLine="283"/>
        <w:jc w:val="both"/>
        <w:rPr/>
      </w:pPr>
      <w:r>
        <w:rPr/>
        <w:t>Для турбогенераторов типа ТГВ-300 испытание следует производить по ветвям.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w:t>
      </w:r>
    </w:p>
    <w:p>
      <w:pPr>
        <w:pStyle w:val="Normal"/>
        <w:spacing w:before="0" w:after="120"/>
        <w:jc w:val="center"/>
        <w:rP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адсорбции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108"/>
        <w:gridCol w:w="1431"/>
        <w:gridCol w:w="2281"/>
        <w:gridCol w:w="3535"/>
      </w:tblGrid>
      <w:tr>
        <w:trPr>
          <w:tblHeader w:val="true"/>
        </w:trPr>
        <w:tc>
          <w:tcPr>
            <w:tcW w:w="2108"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элемент</w:t>
            </w:r>
          </w:p>
        </w:tc>
        <w:tc>
          <w:tcPr>
            <w:tcW w:w="1431"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Напряжение мегаомметра, В</w:t>
            </w:r>
          </w:p>
        </w:tc>
        <w:tc>
          <w:tcPr>
            <w:tcW w:w="2281"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Допустимое значение сопротивления изоляции, МОм</w:t>
            </w:r>
          </w:p>
        </w:tc>
        <w:tc>
          <w:tcPr>
            <w:tcW w:w="353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Примечание</w:t>
            </w:r>
          </w:p>
        </w:tc>
      </w:tr>
      <w:tr>
        <w:trPr/>
        <w:tc>
          <w:tcPr>
            <w:tcW w:w="2108" w:type="dxa"/>
            <w:vMerge w:val="restart"/>
            <w:tcBorders>
              <w:left w:val="single" w:sz="8" w:space="0" w:color="000000"/>
              <w:bottom w:val="single" w:sz="8" w:space="0" w:color="000000"/>
              <w:insideH w:val="single" w:sz="8" w:space="0" w:color="000000"/>
            </w:tcBorders>
            <w:shd w:fill="auto" w:val="clear"/>
            <w:vAlign w:val="center"/>
          </w:tcPr>
          <w:p>
            <w:pPr>
              <w:pStyle w:val="Normal"/>
              <w:jc w:val="both"/>
              <w:rPr/>
            </w:pPr>
            <w:r>
              <w:rPr/>
              <w:t>1. Обмотка статора</w:t>
            </w:r>
          </w:p>
        </w:tc>
        <w:tc>
          <w:tcPr>
            <w:tcW w:w="1431" w:type="dxa"/>
            <w:tcBorders>
              <w:left w:val="single" w:sz="8" w:space="0" w:color="000000"/>
            </w:tcBorders>
            <w:shd w:fill="auto" w:val="clear"/>
            <w:tcMar>
              <w:left w:w="0" w:type="dxa"/>
              <w:right w:w="0" w:type="dxa"/>
            </w:tcMar>
            <w:vAlign w:val="center"/>
          </w:tcPr>
          <w:p>
            <w:pPr>
              <w:pStyle w:val="Normal"/>
              <w:jc w:val="center"/>
              <w:rPr/>
            </w:pPr>
            <w:r>
              <w:rPr/>
              <w:t>500, 1000, 2500</w:t>
            </w:r>
          </w:p>
        </w:tc>
        <w:tc>
          <w:tcPr>
            <w:tcW w:w="2281" w:type="dxa"/>
            <w:tcBorders>
              <w:left w:val="single" w:sz="8" w:space="0" w:color="000000"/>
            </w:tcBorders>
            <w:shd w:fill="auto" w:val="clear"/>
            <w:tcMar>
              <w:left w:w="0" w:type="dxa"/>
              <w:right w:w="0" w:type="dxa"/>
            </w:tcMar>
          </w:tcPr>
          <w:p>
            <w:pPr>
              <w:pStyle w:val="Normal"/>
              <w:jc w:val="both"/>
              <w:rPr/>
            </w:pPr>
            <w:r>
              <w:rPr/>
              <w:t>Не менее 10 МОм на 1 кВ номинального линейного напряжения</w:t>
            </w:r>
          </w:p>
        </w:tc>
        <w:tc>
          <w:tcPr>
            <w:tcW w:w="353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 xml:space="preserve">Для каждой фазы или ветви в отдельности относительно корпуса и других заземленных фаз или ветвей. Значение </w:t>
            </w:r>
            <w:r>
              <w:rPr>
                <w:i/>
                <w:iCs/>
              </w:rPr>
              <w:t>R</w:t>
            </w:r>
            <w:r>
              <w:rPr>
                <w:vertAlign w:val="subscript"/>
              </w:rPr>
              <w:t>60</w:t>
            </w:r>
            <w:r>
              <w:rPr/>
              <w:t>/</w:t>
            </w:r>
            <w:r>
              <w:rPr>
                <w:i/>
                <w:iCs/>
              </w:rPr>
              <w:t>R</w:t>
            </w:r>
            <w:r>
              <w:rPr>
                <w:vertAlign w:val="subscript"/>
              </w:rPr>
              <w:t>15</w:t>
            </w:r>
            <w:r>
              <w:rPr/>
              <w:t xml:space="preserve"> не ниже 1,3</w:t>
            </w:r>
          </w:p>
        </w:tc>
      </w:tr>
      <w:tr>
        <w:trPr/>
        <w:tc>
          <w:tcPr>
            <w:tcW w:w="2108"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31" w:type="dxa"/>
            <w:tcBorders>
              <w:left w:val="single" w:sz="8" w:space="0" w:color="000000"/>
              <w:bottom w:val="single" w:sz="8" w:space="0" w:color="000000"/>
              <w:insideH w:val="single" w:sz="8" w:space="0" w:color="000000"/>
            </w:tcBorders>
            <w:shd w:fill="auto" w:val="clear"/>
            <w:vAlign w:val="center"/>
          </w:tcPr>
          <w:p>
            <w:pPr>
              <w:pStyle w:val="Normal"/>
              <w:jc w:val="center"/>
              <w:rPr/>
            </w:pPr>
            <w:r>
              <w:rPr/>
              <w:t>2500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По инструкции завода -изготовителя</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При протекании дистиллята через обмотку</w:t>
            </w:r>
          </w:p>
        </w:tc>
      </w:tr>
      <w:tr>
        <w:trPr/>
        <w:tc>
          <w:tcPr>
            <w:tcW w:w="2108" w:type="dxa"/>
            <w:vMerge w:val="restart"/>
            <w:tcBorders>
              <w:left w:val="single" w:sz="8" w:space="0" w:color="000000"/>
              <w:bottom w:val="single" w:sz="8" w:space="0" w:color="000000"/>
              <w:insideH w:val="single" w:sz="8" w:space="0" w:color="000000"/>
            </w:tcBorders>
            <w:shd w:fill="auto" w:val="clear"/>
            <w:vAlign w:val="center"/>
          </w:tcPr>
          <w:p>
            <w:pPr>
              <w:pStyle w:val="Normal"/>
              <w:jc w:val="both"/>
              <w:rPr/>
            </w:pPr>
            <w:r>
              <w:rPr/>
              <w:t>2. Обмотка ротора</w:t>
            </w:r>
          </w:p>
        </w:tc>
        <w:tc>
          <w:tcPr>
            <w:tcW w:w="1431" w:type="dxa"/>
            <w:tcBorders>
              <w:left w:val="single" w:sz="8" w:space="0" w:color="000000"/>
            </w:tcBorders>
            <w:shd w:fill="auto" w:val="clear"/>
            <w:tcMar>
              <w:left w:w="0" w:type="dxa"/>
              <w:right w:w="0" w:type="dxa"/>
            </w:tcMar>
            <w:vAlign w:val="center"/>
          </w:tcPr>
          <w:p>
            <w:pPr>
              <w:pStyle w:val="Normal"/>
              <w:jc w:val="center"/>
              <w:rPr/>
            </w:pPr>
            <w:r>
              <w:rPr/>
              <w:t>500,1000</w:t>
            </w:r>
          </w:p>
        </w:tc>
        <w:tc>
          <w:tcPr>
            <w:tcW w:w="2281" w:type="dxa"/>
            <w:tcBorders>
              <w:left w:val="single" w:sz="8" w:space="0" w:color="000000"/>
            </w:tcBorders>
            <w:shd w:fill="auto" w:val="clear"/>
            <w:tcMar>
              <w:left w:w="0" w:type="dxa"/>
              <w:right w:w="0" w:type="dxa"/>
            </w:tcMar>
          </w:tcPr>
          <w:p>
            <w:pPr>
              <w:pStyle w:val="Normal"/>
              <w:jc w:val="both"/>
              <w:rPr/>
            </w:pPr>
            <w:r>
              <w:rPr/>
              <w:t>Не менее 0,5 (при водяном охлаждении - с осушенной обмоткой)</w:t>
            </w:r>
          </w:p>
        </w:tc>
        <w:tc>
          <w:tcPr>
            <w:tcW w:w="353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Допускается ввод в эксплуатацию генераторов мощностью не выше 300 МВт с неявнополюсными роторами, при косвенном или непосредственном воздушном и водородном охлаждении обмотки, имеющей сопротивление изоляции не ниже 2 кОм при температуре 75 °С или 20 кОм при температуре 20 °С. При большей мощности ввод генератора в эксплуатацию с сопротивлением изоляции обмотки ротора ниже 0</w:t>
            </w:r>
            <w:r>
              <w:rPr>
                <w:color w:val="000000"/>
              </w:rPr>
              <w:t>,</w:t>
            </w:r>
            <w:r>
              <w:rPr/>
              <w:t>5 МОм (при 10 - 30 °С) допускается только по согласованию с заводом-изготовителем</w:t>
            </w:r>
          </w:p>
        </w:tc>
      </w:tr>
      <w:tr>
        <w:trPr/>
        <w:tc>
          <w:tcPr>
            <w:tcW w:w="2108"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31" w:type="dxa"/>
            <w:tcBorders>
              <w:left w:val="single" w:sz="8" w:space="0" w:color="000000"/>
              <w:bottom w:val="single" w:sz="8" w:space="0" w:color="000000"/>
              <w:insideH w:val="single" w:sz="8" w:space="0" w:color="000000"/>
            </w:tcBorders>
            <w:shd w:fill="auto" w:val="clear"/>
            <w:vAlign w:val="center"/>
          </w:tcPr>
          <w:p>
            <w:pPr>
              <w:pStyle w:val="Normal"/>
              <w:jc w:val="center"/>
              <w:rPr/>
            </w:pPr>
            <w:r>
              <w:rPr/>
              <w:t>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По инструкции завода-изготовителя</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При протекании дистиллята через охлаждающие каналы обмотки</w:t>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3. Цепи возбуждения генератора и коллекторного возбудителя со всей присоединенной аппаратурой (без обмотки ротора и возбудителя)</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500 - 1000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менее 1,0</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4. Обмотки коллекторных возбудителя и подвозбудителя</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менее 0,5</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5. Бандажи якоря и коллектора коллекторных возбудителя и подвозбудителя</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менее 0,5</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 заземлённой обмотке якоря</w:t>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6. Изолированные стяжные болты стали статора (доступные для измерения)</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менее 0,5</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7. Подшипники и уплотнения вала</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Не менее 0,3 для гидрогенераторов и 1,0 для турбогенераторов и компенсаторов</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Для гидрогенераторов измерение производится, если позволяет конструкция генератора и в заводской инструкции не указаны более жёсткие нормы</w:t>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8. Диффузоры, щиты вентиляторов и другие узлы статора генераторов</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500, 1000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В соответствии с заводскими требованиями</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8" w:type="dxa"/>
            <w:tcBorders>
              <w:left w:val="single" w:sz="8" w:space="0" w:color="000000"/>
            </w:tcBorders>
            <w:shd w:fill="auto" w:val="clear"/>
            <w:vAlign w:val="center"/>
          </w:tcPr>
          <w:p>
            <w:pPr>
              <w:pStyle w:val="Normal"/>
              <w:jc w:val="both"/>
              <w:rPr/>
            </w:pPr>
            <w:r>
              <w:rPr/>
              <w:t>9. Термодатчики с соединительными проводами, включая соединительные провода, уложенные внутри генератора</w:t>
            </w:r>
          </w:p>
        </w:tc>
        <w:tc>
          <w:tcPr>
            <w:tcW w:w="1431" w:type="dxa"/>
            <w:tcBorders>
              <w:left w:val="single" w:sz="8" w:space="0" w:color="000000"/>
            </w:tcBorders>
            <w:shd w:fill="auto" w:val="clear"/>
            <w:tcMar>
              <w:left w:w="0" w:type="dxa"/>
              <w:right w:w="0" w:type="dxa"/>
            </w:tcMar>
            <w:vAlign w:val="center"/>
          </w:tcPr>
          <w:p>
            <w:pPr>
              <w:pStyle w:val="Normal"/>
              <w:snapToGrid w:val="false"/>
              <w:rPr/>
            </w:pPr>
            <w:r>
              <w:rPr/>
            </w:r>
          </w:p>
        </w:tc>
        <w:tc>
          <w:tcPr>
            <w:tcW w:w="2281" w:type="dxa"/>
            <w:tcBorders>
              <w:left w:val="single" w:sz="8" w:space="0" w:color="000000"/>
            </w:tcBorders>
            <w:shd w:fill="auto" w:val="clear"/>
            <w:tcMar>
              <w:left w:w="0" w:type="dxa"/>
              <w:right w:w="0" w:type="dxa"/>
            </w:tcMar>
          </w:tcPr>
          <w:p>
            <w:pPr>
              <w:pStyle w:val="Normal"/>
              <w:snapToGrid w:val="false"/>
              <w:rPr/>
            </w:pPr>
            <w:r>
              <w:rPr/>
            </w:r>
          </w:p>
        </w:tc>
        <w:tc>
          <w:tcPr>
            <w:tcW w:w="3535" w:type="dxa"/>
            <w:vMerge w:val="restart"/>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both"/>
              <w:rPr/>
            </w:pPr>
            <w:r>
              <w:rPr/>
              <w:t>Напряжение мегаомметра - по заводской инструкции</w:t>
            </w:r>
          </w:p>
        </w:tc>
      </w:tr>
      <w:tr>
        <w:trPr/>
        <w:tc>
          <w:tcPr>
            <w:tcW w:w="2108" w:type="dxa"/>
            <w:tcBorders>
              <w:left w:val="single" w:sz="8" w:space="0" w:color="000000"/>
            </w:tcBorders>
            <w:shd w:fill="auto" w:val="clear"/>
            <w:vAlign w:val="center"/>
          </w:tcPr>
          <w:p>
            <w:pPr>
              <w:pStyle w:val="Normal"/>
              <w:jc w:val="both"/>
              <w:rPr/>
            </w:pPr>
            <w:r>
              <w:rPr/>
              <w:t>- с косвенным охлаждением обмоток статора</w:t>
            </w:r>
          </w:p>
        </w:tc>
        <w:tc>
          <w:tcPr>
            <w:tcW w:w="1431" w:type="dxa"/>
            <w:tcBorders>
              <w:left w:val="single" w:sz="8" w:space="0" w:color="000000"/>
            </w:tcBorders>
            <w:shd w:fill="auto" w:val="clear"/>
            <w:tcMar>
              <w:left w:w="0" w:type="dxa"/>
              <w:right w:w="0" w:type="dxa"/>
            </w:tcMar>
            <w:vAlign w:val="center"/>
          </w:tcPr>
          <w:p>
            <w:pPr>
              <w:pStyle w:val="Normal"/>
              <w:jc w:val="center"/>
              <w:rPr/>
            </w:pPr>
            <w:r>
              <w:rPr/>
              <w:t>250 или 500</w:t>
            </w:r>
          </w:p>
        </w:tc>
        <w:tc>
          <w:tcPr>
            <w:tcW w:w="2281" w:type="dxa"/>
            <w:tcBorders>
              <w:left w:val="single" w:sz="8" w:space="0" w:color="000000"/>
            </w:tcBorders>
            <w:shd w:fill="auto" w:val="clear"/>
            <w:tcMar>
              <w:left w:w="0" w:type="dxa"/>
              <w:right w:w="0" w:type="dxa"/>
            </w:tcMar>
            <w:vAlign w:val="center"/>
          </w:tcPr>
          <w:p>
            <w:pPr>
              <w:pStyle w:val="Normal"/>
              <w:jc w:val="center"/>
              <w:rPr/>
            </w:pPr>
            <w:r>
              <w:rPr/>
              <w:t>Не менее 1,0</w:t>
            </w:r>
          </w:p>
        </w:tc>
        <w:tc>
          <w:tcPr>
            <w:tcW w:w="3535" w:type="dxa"/>
            <w:vMerge w:val="continue"/>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 с непосредственным охлаждением обмоток статора</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менее 0,5</w:t>
            </w:r>
          </w:p>
        </w:tc>
        <w:tc>
          <w:tcPr>
            <w:tcW w:w="3535" w:type="dxa"/>
            <w:vMerge w:val="continue"/>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2108" w:type="dxa"/>
            <w:tcBorders>
              <w:left w:val="single" w:sz="8" w:space="0" w:color="000000"/>
              <w:bottom w:val="single" w:sz="8" w:space="0" w:color="000000"/>
              <w:insideH w:val="single" w:sz="8" w:space="0" w:color="000000"/>
            </w:tcBorders>
            <w:shd w:fill="auto" w:val="clear"/>
            <w:vAlign w:val="center"/>
          </w:tcPr>
          <w:p>
            <w:pPr>
              <w:pStyle w:val="Normal"/>
              <w:jc w:val="both"/>
              <w:rPr/>
            </w:pPr>
            <w:r>
              <w:rPr/>
              <w:t>10. Концевой вывод обмотки статора турбогенераторов серии ТГВ</w:t>
            </w:r>
          </w:p>
        </w:tc>
        <w:tc>
          <w:tcPr>
            <w:tcW w:w="14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2500</w:t>
            </w:r>
          </w:p>
        </w:tc>
        <w:tc>
          <w:tcPr>
            <w:tcW w:w="22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353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both"/>
              <w:rPr/>
            </w:pPr>
            <w:r>
              <w:rPr/>
              <w:t>Измерение производится до соединения вывода с обмоткой статора</w:t>
            </w:r>
          </w:p>
        </w:tc>
      </w:tr>
    </w:tbl>
    <w:p>
      <w:pPr>
        <w:pStyle w:val="Normal"/>
        <w:spacing w:before="120" w:after="120"/>
        <w:jc w:val="right"/>
        <w:rPr/>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2</w:t>
      </w:r>
    </w:p>
    <w:p>
      <w:pPr>
        <w:pStyle w:val="Normal"/>
        <w:spacing w:before="0" w:after="120"/>
        <w:jc w:val="center"/>
        <w:rPr/>
      </w:pPr>
      <w:r>
        <w:rPr>
          <w:b/>
          <w:bCs/>
          <w:i/>
          <w:iCs/>
        </w:rPr>
        <w:t>Испытательное</w:t>
      </w:r>
      <w:r>
        <w:rPr>
          <w:b/>
          <w:bCs/>
        </w:rPr>
        <w:t xml:space="preserve"> </w:t>
      </w:r>
      <w:r>
        <w:rPr>
          <w:b/>
          <w:bCs/>
          <w:i/>
          <w:iCs/>
        </w:rPr>
        <w:t>выпрямленное</w:t>
      </w:r>
      <w:r>
        <w:rPr>
          <w:b/>
          <w:bCs/>
        </w:rPr>
        <w:t xml:space="preserve"> </w:t>
      </w:r>
      <w:r>
        <w:rPr>
          <w:b/>
          <w:bCs/>
          <w:i/>
          <w:iCs/>
        </w:rPr>
        <w:t>напряжение для</w:t>
      </w:r>
      <w:r>
        <w:rPr>
          <w:b/>
          <w:bCs/>
        </w:rPr>
        <w:t xml:space="preserve"> </w:t>
      </w:r>
      <w:r>
        <w:rPr>
          <w:b/>
          <w:bCs/>
          <w:i/>
          <w:iCs/>
        </w:rPr>
        <w:t>обмоток</w:t>
      </w:r>
      <w:r>
        <w:rPr>
          <w:b/>
          <w:bCs/>
        </w:rPr>
        <w:t xml:space="preserve"> </w:t>
      </w:r>
      <w:r>
        <w:rPr>
          <w:b/>
          <w:bCs/>
          <w:i/>
          <w:iCs/>
        </w:rPr>
        <w:t>статоров</w:t>
      </w:r>
      <w:r>
        <w:rPr>
          <w:b/>
          <w:bCs/>
        </w:rPr>
        <w:t xml:space="preserve"> </w:t>
      </w:r>
      <w:r>
        <w:rPr>
          <w:b/>
          <w:bCs/>
          <w:i/>
          <w:iCs/>
        </w:rPr>
        <w:t>синхронных</w:t>
      </w:r>
      <w:r>
        <w:rPr>
          <w:b/>
          <w:bCs/>
        </w:rPr>
        <w:t xml:space="preserve"> </w:t>
      </w:r>
      <w:r>
        <w:rPr>
          <w:b/>
          <w:bCs/>
          <w:i/>
          <w:iCs/>
        </w:rPr>
        <w:t>генераторов и</w:t>
      </w:r>
      <w:r>
        <w:rPr>
          <w:b/>
          <w:bCs/>
        </w:rPr>
        <w:t xml:space="preserve"> </w:t>
      </w:r>
      <w:r>
        <w:rPr>
          <w:b/>
          <w:bCs/>
          <w:i/>
          <w:iCs/>
        </w:rPr>
        <w:t>компенсаторов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020"/>
        <w:gridCol w:w="3136"/>
        <w:gridCol w:w="3199"/>
      </w:tblGrid>
      <w:tr>
        <w:trPr>
          <w:tblHeader w:val="true"/>
        </w:trPr>
        <w:tc>
          <w:tcPr>
            <w:tcW w:w="3020"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Мощность генератора, МВт, компенсатора, МВ·А</w:t>
            </w:r>
          </w:p>
        </w:tc>
        <w:tc>
          <w:tcPr>
            <w:tcW w:w="3136"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Номинальное напряжение, кВ</w:t>
            </w:r>
          </w:p>
        </w:tc>
        <w:tc>
          <w:tcPr>
            <w:tcW w:w="319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Амплитудное испытательное напряжение, кВ</w:t>
            </w:r>
          </w:p>
        </w:tc>
      </w:tr>
      <w:tr>
        <w:trPr/>
        <w:tc>
          <w:tcPr>
            <w:tcW w:w="3020" w:type="dxa"/>
            <w:tcBorders>
              <w:left w:val="single" w:sz="8" w:space="0" w:color="000000"/>
            </w:tcBorders>
            <w:shd w:fill="auto" w:val="clear"/>
          </w:tcPr>
          <w:p>
            <w:pPr>
              <w:pStyle w:val="Normal"/>
              <w:jc w:val="center"/>
              <w:rPr/>
            </w:pPr>
            <w:r>
              <w:rPr/>
              <w:t>Менее 1</w:t>
            </w:r>
          </w:p>
        </w:tc>
        <w:tc>
          <w:tcPr>
            <w:tcW w:w="3136" w:type="dxa"/>
            <w:tcBorders>
              <w:left w:val="single" w:sz="8" w:space="0" w:color="000000"/>
            </w:tcBorders>
            <w:shd w:fill="auto" w:val="clear"/>
            <w:tcMar>
              <w:left w:w="0" w:type="dxa"/>
              <w:right w:w="0" w:type="dxa"/>
            </w:tcMar>
          </w:tcPr>
          <w:p>
            <w:pPr>
              <w:pStyle w:val="Normal"/>
              <w:jc w:val="center"/>
              <w:rPr/>
            </w:pPr>
            <w:r>
              <w:rPr/>
              <w:t>Все напряжения</w:t>
            </w:r>
          </w:p>
        </w:tc>
        <w:tc>
          <w:tcPr>
            <w:tcW w:w="319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2,4</w:t>
            </w:r>
            <w:r>
              <w:rPr>
                <w:i/>
                <w:iCs/>
              </w:rPr>
              <w:t>U</w:t>
            </w:r>
            <w:r>
              <w:rPr>
                <w:vertAlign w:val="subscript"/>
              </w:rPr>
              <w:t>ном.</w:t>
            </w:r>
            <w:r>
              <w:rPr/>
              <w:t xml:space="preserve"> + 1,2</w:t>
            </w:r>
          </w:p>
        </w:tc>
      </w:tr>
      <w:tr>
        <w:trPr/>
        <w:tc>
          <w:tcPr>
            <w:tcW w:w="3020" w:type="dxa"/>
            <w:tcBorders>
              <w:left w:val="single" w:sz="8" w:space="0" w:color="000000"/>
            </w:tcBorders>
            <w:shd w:fill="auto" w:val="clear"/>
          </w:tcPr>
          <w:p>
            <w:pPr>
              <w:pStyle w:val="Normal"/>
              <w:jc w:val="center"/>
              <w:rPr/>
            </w:pPr>
            <w:r>
              <w:rPr/>
              <w:t>1 и более</w:t>
            </w:r>
          </w:p>
        </w:tc>
        <w:tc>
          <w:tcPr>
            <w:tcW w:w="3136" w:type="dxa"/>
            <w:tcBorders>
              <w:left w:val="single" w:sz="8" w:space="0" w:color="000000"/>
            </w:tcBorders>
            <w:shd w:fill="auto" w:val="clear"/>
            <w:tcMar>
              <w:left w:w="0" w:type="dxa"/>
              <w:right w:w="0" w:type="dxa"/>
            </w:tcMar>
          </w:tcPr>
          <w:p>
            <w:pPr>
              <w:pStyle w:val="Normal"/>
              <w:jc w:val="center"/>
              <w:rPr/>
            </w:pPr>
            <w:r>
              <w:rPr/>
              <w:t>До 3,3</w:t>
            </w:r>
          </w:p>
        </w:tc>
        <w:tc>
          <w:tcPr>
            <w:tcW w:w="319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2,4 + 1,2</w:t>
            </w:r>
            <w:r>
              <w:rPr>
                <w:i/>
                <w:iCs/>
              </w:rPr>
              <w:t>U</w:t>
            </w:r>
            <w:r>
              <w:rPr>
                <w:vertAlign w:val="subscript"/>
              </w:rPr>
              <w:t>ном.</w:t>
            </w:r>
          </w:p>
        </w:tc>
      </w:tr>
      <w:tr>
        <w:trPr/>
        <w:tc>
          <w:tcPr>
            <w:tcW w:w="3020" w:type="dxa"/>
            <w:tcBorders>
              <w:left w:val="single" w:sz="8" w:space="0" w:color="000000"/>
            </w:tcBorders>
            <w:shd w:fill="auto" w:val="clear"/>
          </w:tcPr>
          <w:p>
            <w:pPr>
              <w:pStyle w:val="Normal"/>
              <w:snapToGrid w:val="false"/>
              <w:rPr/>
            </w:pPr>
            <w:r>
              <w:rPr/>
            </w:r>
          </w:p>
        </w:tc>
        <w:tc>
          <w:tcPr>
            <w:tcW w:w="3136" w:type="dxa"/>
            <w:tcBorders>
              <w:left w:val="single" w:sz="8" w:space="0" w:color="000000"/>
            </w:tcBorders>
            <w:shd w:fill="auto" w:val="clear"/>
            <w:tcMar>
              <w:left w:w="0" w:type="dxa"/>
              <w:right w:w="0" w:type="dxa"/>
            </w:tcMar>
          </w:tcPr>
          <w:p>
            <w:pPr>
              <w:pStyle w:val="Normal"/>
              <w:jc w:val="center"/>
              <w:rPr/>
            </w:pPr>
            <w:r>
              <w:rPr/>
              <w:t>Св. 3,3 до 6,6 включит.</w:t>
            </w:r>
          </w:p>
        </w:tc>
        <w:tc>
          <w:tcPr>
            <w:tcW w:w="319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1,28 × 2,5</w:t>
            </w:r>
            <w:r>
              <w:rPr>
                <w:i/>
                <w:iCs/>
              </w:rPr>
              <w:t>U</w:t>
            </w:r>
            <w:r>
              <w:rPr>
                <w:vertAlign w:val="subscript"/>
              </w:rPr>
              <w:t>ном.</w:t>
            </w:r>
          </w:p>
        </w:tc>
      </w:tr>
      <w:tr>
        <w:trPr/>
        <w:tc>
          <w:tcPr>
            <w:tcW w:w="3020" w:type="dxa"/>
            <w:tcBorders>
              <w:left w:val="single" w:sz="8" w:space="0" w:color="000000"/>
            </w:tcBorders>
            <w:shd w:fill="auto" w:val="clear"/>
          </w:tcPr>
          <w:p>
            <w:pPr>
              <w:pStyle w:val="Normal"/>
              <w:snapToGrid w:val="false"/>
              <w:rPr/>
            </w:pPr>
            <w:r>
              <w:rPr/>
            </w:r>
          </w:p>
        </w:tc>
        <w:tc>
          <w:tcPr>
            <w:tcW w:w="3136" w:type="dxa"/>
            <w:tcBorders>
              <w:left w:val="single" w:sz="8" w:space="0" w:color="000000"/>
            </w:tcBorders>
            <w:shd w:fill="auto" w:val="clear"/>
            <w:tcMar>
              <w:left w:w="0" w:type="dxa"/>
              <w:right w:w="0" w:type="dxa"/>
            </w:tcMar>
          </w:tcPr>
          <w:p>
            <w:pPr>
              <w:pStyle w:val="Normal"/>
              <w:jc w:val="center"/>
              <w:rPr/>
            </w:pPr>
            <w:r>
              <w:rPr/>
              <w:t>Св. 6,6 до 20 включит.</w:t>
            </w:r>
          </w:p>
        </w:tc>
        <w:tc>
          <w:tcPr>
            <w:tcW w:w="319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1,28(2</w:t>
            </w:r>
            <w:r>
              <w:rPr>
                <w:i/>
                <w:iCs/>
              </w:rPr>
              <w:t>U</w:t>
            </w:r>
            <w:r>
              <w:rPr>
                <w:vertAlign w:val="subscript"/>
              </w:rPr>
              <w:t>ном.</w:t>
            </w:r>
            <w:r>
              <w:rPr/>
              <w:t xml:space="preserve"> + 3)</w:t>
            </w:r>
          </w:p>
        </w:tc>
      </w:tr>
      <w:tr>
        <w:trPr/>
        <w:tc>
          <w:tcPr>
            <w:tcW w:w="3020"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31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Св. 20 до 24 включит.</w:t>
            </w:r>
          </w:p>
        </w:tc>
        <w:tc>
          <w:tcPr>
            <w:tcW w:w="319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1,28(2</w:t>
            </w:r>
            <w:r>
              <w:rPr>
                <w:i/>
                <w:iCs/>
              </w:rPr>
              <w:t>U</w:t>
            </w:r>
            <w:r>
              <w:rPr>
                <w:vertAlign w:val="subscript"/>
              </w:rPr>
              <w:t>ном.</w:t>
            </w:r>
            <w:r>
              <w:rPr/>
              <w:t xml:space="preserve"> + 1)</w:t>
            </w:r>
          </w:p>
        </w:tc>
      </w:tr>
    </w:tbl>
    <w:p>
      <w:pPr>
        <w:pStyle w:val="Normal"/>
        <w:spacing w:before="120" w:after="0"/>
        <w:ind w:firstLine="283"/>
        <w:jc w:val="both"/>
        <w:rPr/>
      </w:pPr>
      <w:r>
        <w:rPr/>
        <w:t>Испытательное выпрямленное напряжение для генераторов типа ТГВ-200 и ТГВ-300 соответственно принимаются 40 и 50 кВ.</w:t>
      </w:r>
    </w:p>
    <w:p>
      <w:pPr>
        <w:pStyle w:val="Normal"/>
        <w:jc w:val="both"/>
        <w:rPr/>
      </w:pPr>
      <w:r>
        <w:rPr/>
        <w:t>Для турбогенераторов ТВМ-500 (</w:t>
      </w:r>
      <w:r>
        <w:rPr>
          <w:i/>
          <w:iCs/>
        </w:rPr>
        <w:t>U</w:t>
      </w:r>
      <w:r>
        <w:rPr>
          <w:vertAlign w:val="subscript"/>
        </w:rPr>
        <w:t>ном.</w:t>
      </w:r>
      <w:r>
        <w:rPr/>
        <w:t xml:space="preserve"> = 36</w:t>
      </w:r>
      <w:r>
        <w:rPr>
          <w:color w:val="000000"/>
        </w:rPr>
        <w:t>,</w:t>
      </w:r>
      <w:r>
        <w:rPr/>
        <w:t>75 кВ) испытательное напряжение - 75 кВ.</w:t>
      </w:r>
    </w:p>
    <w:p>
      <w:pPr>
        <w:pStyle w:val="Normal"/>
        <w:ind w:firstLine="283"/>
        <w:jc w:val="both"/>
        <w:rPr/>
      </w:pPr>
      <w:r>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w:t>
      </w:r>
      <w:r>
        <w:rPr>
          <w:i/>
          <w:iCs/>
        </w:rPr>
        <w:t>U</w:t>
      </w:r>
      <w:r>
        <w:rPr>
          <w:vertAlign w:val="subscript"/>
        </w:rPr>
        <w:t>max</w:t>
      </w:r>
      <w:r>
        <w:rPr/>
        <w:t xml:space="preserve"> до </w:t>
      </w:r>
      <w:r>
        <w:rPr>
          <w:i/>
          <w:iCs/>
        </w:rPr>
        <w:t>U</w:t>
      </w:r>
      <w:r>
        <w:rPr>
          <w:vertAlign w:val="subscript"/>
        </w:rPr>
        <w:t>max</w:t>
      </w:r>
      <w:r>
        <w:rPr/>
        <w:t xml:space="preserve"> равными ступенями. На каждой ступени напряжение выдерживается в течение 1 минуты. При этом фиксируются токи утечки через 15 и 60 с.</w:t>
      </w:r>
    </w:p>
    <w:p>
      <w:pPr>
        <w:pStyle w:val="Normal"/>
        <w:ind w:firstLine="283"/>
        <w:jc w:val="both"/>
        <w:rPr/>
      </w:pPr>
      <w:r>
        <w:rPr/>
        <w:t>Оценка полученной характеристики производится в соответствии с указаниями завода-изготовителя.</w:t>
      </w:r>
    </w:p>
    <w:p>
      <w:pPr>
        <w:pStyle w:val="Normal"/>
        <w:ind w:firstLine="283"/>
        <w:jc w:val="both"/>
        <w:rPr>
          <w:b/>
          <w:b/>
          <w:bCs/>
        </w:rPr>
      </w:pPr>
      <w:r>
        <w:rPr>
          <w:b/>
          <w:bCs/>
        </w:rPr>
        <w:t>4. Испытание изоляции повышенным напряжением промышленной частоты.</w:t>
      </w:r>
    </w:p>
    <w:p>
      <w:pPr>
        <w:pStyle w:val="Normal"/>
        <w:ind w:firstLine="283"/>
        <w:jc w:val="both"/>
        <w:rPr/>
      </w:pPr>
      <w:r>
        <w:rPr/>
        <w:t>Испытание проводится по нормам, приведённым в табл. 1.8.3.</w:t>
      </w:r>
    </w:p>
    <w:p>
      <w:pPr>
        <w:pStyle w:val="Normal"/>
        <w:ind w:firstLine="283"/>
        <w:jc w:val="both"/>
        <w:rPr/>
      </w:pPr>
      <w:r>
        <w:rPr/>
        <w:t>Испытанию подвергается каждая фаза или ветвь в отдельности при других фазах или ветвях, соединенных с корпусом.</w:t>
      </w:r>
    </w:p>
    <w:p>
      <w:pPr>
        <w:pStyle w:val="Normal"/>
        <w:ind w:firstLine="283"/>
        <w:jc w:val="both"/>
        <w:rPr/>
      </w:pPr>
      <w:r>
        <w:rPr/>
        <w:t>Продолжительность приложения нормированного испытательного напряжения 1 мин.</w:t>
      </w:r>
    </w:p>
    <w:p>
      <w:pPr>
        <w:pStyle w:val="Normal"/>
        <w:ind w:firstLine="283"/>
        <w:jc w:val="both"/>
        <w:rPr/>
      </w:pPr>
      <w:r>
        <w:rPr/>
        <w:t>При проведении испытаний изоляции повышенным напряжением промышленной частоты следует руководствоваться следующим:</w:t>
      </w:r>
    </w:p>
    <w:p>
      <w:pPr>
        <w:pStyle w:val="Normal"/>
        <w:ind w:firstLine="283"/>
        <w:jc w:val="both"/>
        <w:rPr/>
      </w:pPr>
      <w:r>
        <w:rP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pPr>
        <w:pStyle w:val="Normal"/>
        <w:ind w:firstLine="283"/>
        <w:jc w:val="both"/>
        <w:rPr/>
      </w:pPr>
      <w:r>
        <w:rP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p>
    <w:p>
      <w:pPr>
        <w:pStyle w:val="Normal"/>
        <w:ind w:firstLine="283"/>
        <w:jc w:val="both"/>
        <w:rPr/>
      </w:pPr>
      <w:r>
        <w:rP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номинальном расходе;</w:t>
      </w:r>
    </w:p>
    <w:p>
      <w:pPr>
        <w:pStyle w:val="Normal"/>
        <w:ind w:firstLine="283"/>
        <w:jc w:val="both"/>
        <w:rPr/>
      </w:pPr>
      <w:r>
        <w:rP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pPr>
        <w:pStyle w:val="Normal"/>
        <w:ind w:firstLine="283"/>
        <w:jc w:val="both"/>
        <w:rPr/>
      </w:pPr>
      <w:r>
        <w:rPr/>
        <w:t>г) испытание изоляции обмотки ротора турбогенераторов производится при номинальной частоте вращения ротора;</w:t>
      </w:r>
    </w:p>
    <w:p>
      <w:pPr>
        <w:pStyle w:val="Normal"/>
        <w:ind w:firstLine="284"/>
        <w:jc w:val="both"/>
        <w:rPr/>
      </w:pPr>
      <w:r>
        <w:rPr/>
        <w:t>д) 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номинальным напряжением промышленной частоты или выпрямленным напряжением, равным 1,5</w:t>
      </w:r>
      <w:r>
        <w:rPr>
          <w:i/>
          <w:iCs/>
        </w:rPr>
        <w:t>U</w:t>
      </w:r>
      <w:r>
        <w:rPr>
          <w:vertAlign w:val="subscript"/>
        </w:rPr>
        <w:t>ном.</w:t>
      </w:r>
      <w:r>
        <w:rPr/>
        <w:t xml:space="preserve"> Продолжительность испытаний 1 мин.</w:t>
      </w:r>
    </w:p>
    <w:p>
      <w:pPr>
        <w:pStyle w:val="Normal"/>
        <w:spacing w:before="120" w:after="120"/>
        <w:jc w:val="right"/>
        <w:rPr/>
      </w:pPr>
      <w:r>
        <w:rPr>
          <w:b/>
          <w:bCs/>
          <w:i/>
          <w:iCs/>
          <w:spacing w:val="40"/>
        </w:rPr>
        <w:t>Таблица</w:t>
      </w:r>
      <w:r>
        <w:rPr>
          <w:b/>
          <w:bCs/>
          <w:spacing w:val="40"/>
        </w:rPr>
        <w:t xml:space="preserve"> </w:t>
      </w:r>
      <w:r>
        <w:rPr>
          <w:b/>
          <w:bCs/>
          <w:i/>
          <w:iCs/>
        </w:rPr>
        <w:t>1</w:t>
      </w:r>
      <w:r>
        <w:rPr>
          <w:b/>
          <w:bCs/>
        </w:rPr>
        <w:t>.</w:t>
      </w:r>
      <w:r>
        <w:rPr>
          <w:b/>
          <w:bCs/>
          <w:i/>
          <w:iCs/>
        </w:rPr>
        <w:t>8</w:t>
      </w:r>
      <w:r>
        <w:rPr>
          <w:b/>
          <w:bCs/>
        </w:rPr>
        <w:t>.</w:t>
      </w:r>
      <w:r>
        <w:rPr>
          <w:b/>
          <w:bCs/>
          <w:i/>
          <w:iCs/>
        </w:rPr>
        <w:t>3</w:t>
      </w:r>
    </w:p>
    <w:p>
      <w:pPr>
        <w:pStyle w:val="Normal"/>
        <w:ind w:firstLine="283"/>
        <w:jc w:val="center"/>
        <w:rPr>
          <w:b/>
          <w:b/>
          <w:bCs/>
          <w:i/>
          <w:i/>
          <w:iCs/>
        </w:rPr>
      </w:pPr>
      <w:r>
        <w:rPr>
          <w:b/>
          <w:bCs/>
          <w:i/>
          <w:iCs/>
        </w:rPr>
        <w:t>Испытательное напряжение промышленной частоты для обмоток синхронных генераторов и компенсаторов</w:t>
      </w:r>
    </w:p>
    <w:p>
      <w:pPr>
        <w:pStyle w:val="Normal"/>
        <w:ind w:firstLine="283"/>
        <w:jc w:val="center"/>
        <w:rPr>
          <w:b/>
          <w:b/>
          <w:bCs/>
          <w:i/>
          <w:i/>
          <w:iCs/>
        </w:rPr>
      </w:pPr>
      <w:r>
        <w:rPr>
          <w:b/>
          <w:bCs/>
          <w:i/>
          <w:iCs/>
        </w:rPr>
        <w:t> </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103"/>
        <w:gridCol w:w="2709"/>
        <w:gridCol w:w="2075"/>
        <w:gridCol w:w="2468"/>
      </w:tblGrid>
      <w:tr>
        <w:trPr>
          <w:tblHeader w:val="true"/>
        </w:trPr>
        <w:tc>
          <w:tcPr>
            <w:tcW w:w="210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элемент</w:t>
            </w:r>
          </w:p>
        </w:tc>
        <w:tc>
          <w:tcPr>
            <w:tcW w:w="2709"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Характеристика или тип генератора</w:t>
            </w:r>
          </w:p>
        </w:tc>
        <w:tc>
          <w:tcPr>
            <w:tcW w:w="2075"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Испытательное напряжение, кВ</w:t>
            </w:r>
          </w:p>
        </w:tc>
        <w:tc>
          <w:tcPr>
            <w:tcW w:w="246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Примечание</w:t>
            </w:r>
          </w:p>
        </w:tc>
      </w:tr>
      <w:tr>
        <w:trPr/>
        <w:tc>
          <w:tcPr>
            <w:tcW w:w="2103" w:type="dxa"/>
            <w:vMerge w:val="restart"/>
            <w:tcBorders>
              <w:left w:val="single" w:sz="8" w:space="0" w:color="000000"/>
              <w:bottom w:val="single" w:sz="8" w:space="0" w:color="000000"/>
              <w:insideH w:val="single" w:sz="8" w:space="0" w:color="000000"/>
            </w:tcBorders>
            <w:shd w:fill="auto" w:val="clear"/>
          </w:tcPr>
          <w:p>
            <w:pPr>
              <w:pStyle w:val="Normal"/>
              <w:jc w:val="both"/>
              <w:rPr/>
            </w:pPr>
            <w:r>
              <w:rPr/>
              <w:t>1. Обмотка статора генератора</w:t>
            </w:r>
          </w:p>
        </w:tc>
        <w:tc>
          <w:tcPr>
            <w:tcW w:w="2709" w:type="dxa"/>
            <w:tcBorders>
              <w:left w:val="single" w:sz="8" w:space="0" w:color="000000"/>
            </w:tcBorders>
            <w:shd w:fill="auto" w:val="clear"/>
            <w:tcMar>
              <w:left w:w="0" w:type="dxa"/>
              <w:right w:w="0" w:type="dxa"/>
            </w:tcMar>
          </w:tcPr>
          <w:p>
            <w:pPr>
              <w:pStyle w:val="Normal"/>
              <w:jc w:val="both"/>
              <w:rPr/>
            </w:pPr>
            <w:r>
              <w:rPr/>
              <w:t>Мощность до 1 МВт, номинальное напряжение выше 0, 1 кВ</w:t>
            </w:r>
          </w:p>
        </w:tc>
        <w:tc>
          <w:tcPr>
            <w:tcW w:w="2075" w:type="dxa"/>
            <w:tcBorders>
              <w:left w:val="single" w:sz="8" w:space="0" w:color="000000"/>
            </w:tcBorders>
            <w:shd w:fill="auto" w:val="clear"/>
            <w:tcMar>
              <w:left w:w="0" w:type="dxa"/>
              <w:right w:w="0" w:type="dxa"/>
            </w:tcMar>
          </w:tcPr>
          <w:p>
            <w:pPr>
              <w:pStyle w:val="Normal"/>
              <w:jc w:val="both"/>
              <w:rPr/>
            </w:pPr>
            <w:r>
              <w:rPr/>
              <w:t>0,8(2</w:t>
            </w:r>
            <w:r>
              <w:rPr>
                <w:i/>
                <w:iCs/>
              </w:rPr>
              <w:t>U</w:t>
            </w:r>
            <w:r>
              <w:rPr>
                <w:vertAlign w:val="subscript"/>
              </w:rPr>
              <w:t>ном.</w:t>
            </w:r>
            <w:r>
              <w:rPr/>
              <w:t xml:space="preserve"> + 1), но не менее 1,2</w:t>
            </w:r>
          </w:p>
        </w:tc>
        <w:tc>
          <w:tcPr>
            <w:tcW w:w="2468"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tcBorders>
            <w:shd w:fill="auto" w:val="clear"/>
          </w:tcPr>
          <w:p>
            <w:pPr>
              <w:pStyle w:val="Normal"/>
              <w:jc w:val="both"/>
              <w:rPr/>
            </w:pPr>
            <w:r>
              <w:rPr/>
              <w:t>Мощность от 1 МВт и выше, номинальное напряжение до 3,3 кВ включительно</w:t>
            </w:r>
          </w:p>
        </w:tc>
        <w:tc>
          <w:tcPr>
            <w:tcW w:w="2075" w:type="dxa"/>
            <w:tcBorders>
              <w:left w:val="single" w:sz="8" w:space="0" w:color="000000"/>
            </w:tcBorders>
            <w:shd w:fill="auto" w:val="clear"/>
            <w:tcMar>
              <w:left w:w="0" w:type="dxa"/>
              <w:right w:w="0" w:type="dxa"/>
            </w:tcMar>
          </w:tcPr>
          <w:p>
            <w:pPr>
              <w:pStyle w:val="Normal"/>
              <w:jc w:val="both"/>
              <w:rPr/>
            </w:pPr>
            <w:r>
              <w:rPr/>
              <w:t>0,8(2</w:t>
            </w:r>
            <w:r>
              <w:rPr>
                <w:i/>
                <w:iCs/>
              </w:rPr>
              <w:t>U</w:t>
            </w:r>
            <w:r>
              <w:rPr>
                <w:vertAlign w:val="subscript"/>
              </w:rPr>
              <w:t>ном.</w:t>
            </w:r>
            <w:r>
              <w:rPr/>
              <w:t xml:space="preserve"> + 1)</w:t>
            </w:r>
          </w:p>
        </w:tc>
        <w:tc>
          <w:tcPr>
            <w:tcW w:w="2468"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tcBorders>
            <w:shd w:fill="auto" w:val="clear"/>
          </w:tcPr>
          <w:p>
            <w:pPr>
              <w:pStyle w:val="Normal"/>
              <w:jc w:val="both"/>
              <w:rPr/>
            </w:pPr>
            <w:r>
              <w:rPr/>
              <w:t>Мощность от 1 МВт и выше, номинальное напряжение свыше 3,3 до 6,6 кВ включительно</w:t>
            </w:r>
          </w:p>
        </w:tc>
        <w:tc>
          <w:tcPr>
            <w:tcW w:w="2075" w:type="dxa"/>
            <w:tcBorders>
              <w:left w:val="single" w:sz="8" w:space="0" w:color="000000"/>
            </w:tcBorders>
            <w:shd w:fill="auto" w:val="clear"/>
            <w:tcMar>
              <w:left w:w="0" w:type="dxa"/>
              <w:right w:w="0" w:type="dxa"/>
            </w:tcMar>
          </w:tcPr>
          <w:p>
            <w:pPr>
              <w:pStyle w:val="Normal"/>
              <w:jc w:val="both"/>
              <w:rPr/>
            </w:pPr>
            <w:r>
              <w:rPr/>
              <w:t>0,8·2,5</w:t>
            </w:r>
            <w:r>
              <w:rPr>
                <w:i/>
                <w:iCs/>
              </w:rPr>
              <w:t>U</w:t>
            </w:r>
            <w:r>
              <w:rPr>
                <w:vertAlign w:val="subscript"/>
              </w:rPr>
              <w:t>ном.</w:t>
            </w:r>
          </w:p>
        </w:tc>
        <w:tc>
          <w:tcPr>
            <w:tcW w:w="2468"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tcBorders>
            <w:shd w:fill="auto" w:val="clear"/>
          </w:tcPr>
          <w:p>
            <w:pPr>
              <w:pStyle w:val="Normal"/>
              <w:jc w:val="both"/>
              <w:rPr/>
            </w:pPr>
            <w:r>
              <w:rPr/>
              <w:t>Мощность от 1 МВт и выше, номинальное напряжение свыше 6,6 до 20 кВ включительно</w:t>
            </w:r>
          </w:p>
        </w:tc>
        <w:tc>
          <w:tcPr>
            <w:tcW w:w="2075" w:type="dxa"/>
            <w:tcBorders>
              <w:left w:val="single" w:sz="8" w:space="0" w:color="000000"/>
            </w:tcBorders>
            <w:shd w:fill="auto" w:val="clear"/>
            <w:tcMar>
              <w:left w:w="0" w:type="dxa"/>
              <w:right w:w="0" w:type="dxa"/>
            </w:tcMar>
          </w:tcPr>
          <w:p>
            <w:pPr>
              <w:pStyle w:val="Normal"/>
              <w:jc w:val="both"/>
              <w:rPr/>
            </w:pPr>
            <w:r>
              <w:rPr/>
              <w:t>0,8(2</w:t>
            </w:r>
            <w:r>
              <w:rPr>
                <w:i/>
                <w:iCs/>
              </w:rPr>
              <w:t>U</w:t>
            </w:r>
            <w:r>
              <w:rPr>
                <w:vertAlign w:val="subscript"/>
              </w:rPr>
              <w:t>ном.</w:t>
            </w:r>
            <w:r>
              <w:rPr/>
              <w:t xml:space="preserve"> + 3)</w:t>
            </w:r>
          </w:p>
        </w:tc>
        <w:tc>
          <w:tcPr>
            <w:tcW w:w="2468"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bottom w:val="single" w:sz="8" w:space="0" w:color="000000"/>
              <w:insideH w:val="single" w:sz="8" w:space="0" w:color="000000"/>
            </w:tcBorders>
            <w:shd w:fill="auto" w:val="clear"/>
          </w:tcPr>
          <w:p>
            <w:pPr>
              <w:pStyle w:val="Normal"/>
              <w:jc w:val="both"/>
              <w:rPr/>
            </w:pPr>
            <w:r>
              <w:rPr/>
              <w:t>Мощность от 1 МВт и выше, номинальное напряжение свыше 20 кВ</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0,8(2</w:t>
            </w:r>
            <w:r>
              <w:rPr>
                <w:i/>
                <w:iCs/>
              </w:rPr>
              <w:t>U</w:t>
            </w:r>
            <w:r>
              <w:rPr>
                <w:vertAlign w:val="subscript"/>
              </w:rPr>
              <w:t>ном.</w:t>
            </w:r>
            <w:r>
              <w:rPr/>
              <w:t xml:space="preserve"> + 1)</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restart"/>
            <w:tcBorders>
              <w:left w:val="single" w:sz="8" w:space="0" w:color="000000"/>
              <w:bottom w:val="single" w:sz="8" w:space="0" w:color="000000"/>
              <w:insideH w:val="single" w:sz="8" w:space="0" w:color="000000"/>
            </w:tcBorders>
            <w:shd w:fill="auto" w:val="clear"/>
          </w:tcPr>
          <w:p>
            <w:pPr>
              <w:pStyle w:val="Normal"/>
              <w:jc w:val="both"/>
              <w:rPr/>
            </w:pPr>
            <w:r>
              <w:rPr/>
              <w:t>2.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2709" w:type="dxa"/>
            <w:tcBorders>
              <w:left w:val="single" w:sz="8" w:space="0" w:color="000000"/>
            </w:tcBorders>
            <w:shd w:fill="auto" w:val="clear"/>
            <w:tcMar>
              <w:left w:w="0" w:type="dxa"/>
              <w:right w:w="0" w:type="dxa"/>
            </w:tcMar>
          </w:tcPr>
          <w:p>
            <w:pPr>
              <w:pStyle w:val="Normal"/>
              <w:jc w:val="both"/>
              <w:rPr/>
            </w:pPr>
            <w:r>
              <w:rPr/>
              <w:t>Мощность от 1 МВт и выше, номинальное напряжение до 3,3 кВ включительно</w:t>
            </w:r>
          </w:p>
        </w:tc>
        <w:tc>
          <w:tcPr>
            <w:tcW w:w="2075" w:type="dxa"/>
            <w:tcBorders>
              <w:left w:val="single" w:sz="8" w:space="0" w:color="000000"/>
            </w:tcBorders>
            <w:shd w:fill="auto" w:val="clear"/>
            <w:tcMar>
              <w:left w:w="0" w:type="dxa"/>
              <w:right w:w="0" w:type="dxa"/>
            </w:tcMar>
          </w:tcPr>
          <w:p>
            <w:pPr>
              <w:pStyle w:val="Normal"/>
              <w:jc w:val="both"/>
              <w:rPr/>
            </w:pPr>
            <w:r>
              <w:rPr/>
              <w:t>2</w:t>
            </w:r>
            <w:r>
              <w:rPr>
                <w:i/>
                <w:iCs/>
              </w:rPr>
              <w:t>U</w:t>
            </w:r>
            <w:r>
              <w:rPr>
                <w:vertAlign w:val="subscript"/>
              </w:rPr>
              <w:t>ном.</w:t>
            </w:r>
            <w:r>
              <w:rPr/>
              <w:t xml:space="preserve"> + 1</w:t>
            </w:r>
          </w:p>
        </w:tc>
        <w:tc>
          <w:tcPr>
            <w:tcW w:w="2468" w:type="dxa"/>
            <w:vMerge w:val="restart"/>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Если сборка статора производится на месте монтажа, но не на фундаменте, то до установки статора на фундамент его испытания производятся по п. 2, а после установки - по п. 1 таблицы</w:t>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bottom w:val="single" w:sz="8" w:space="0" w:color="000000"/>
              <w:insideH w:val="single" w:sz="8" w:space="0" w:color="000000"/>
            </w:tcBorders>
            <w:shd w:fill="auto" w:val="clear"/>
          </w:tcPr>
          <w:p>
            <w:pPr>
              <w:pStyle w:val="Normal"/>
              <w:jc w:val="both"/>
              <w:rPr/>
            </w:pPr>
            <w:r>
              <w:rPr/>
              <w:t>Мощность от 1 МВт и выше, номинальное напряжение свыше 3,3 до 6,6 кВ включительно</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2,5</w:t>
            </w:r>
            <w:r>
              <w:rPr>
                <w:i/>
                <w:iCs/>
              </w:rPr>
              <w:t>U</w:t>
            </w:r>
            <w:r>
              <w:rPr>
                <w:vertAlign w:val="subscript"/>
              </w:rPr>
              <w:t>ном.</w:t>
            </w:r>
          </w:p>
        </w:tc>
        <w:tc>
          <w:tcPr>
            <w:tcW w:w="2468" w:type="dxa"/>
            <w:vMerge w:val="continue"/>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709" w:type="dxa"/>
            <w:tcBorders>
              <w:left w:val="single" w:sz="8" w:space="0" w:color="000000"/>
              <w:bottom w:val="single" w:sz="8" w:space="0" w:color="000000"/>
              <w:insideH w:val="single" w:sz="8" w:space="0" w:color="000000"/>
            </w:tcBorders>
            <w:shd w:fill="auto" w:val="clear"/>
          </w:tcPr>
          <w:p>
            <w:pPr>
              <w:pStyle w:val="Normal"/>
              <w:jc w:val="both"/>
              <w:rPr/>
            </w:pPr>
            <w:r>
              <w:rPr/>
              <w:t>Мощность от 1 МВт и выше, номинальное напряжение свыше 3,3 до 6,6 кВ включительно</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2</w:t>
            </w:r>
            <w:r>
              <w:rPr>
                <w:i/>
                <w:iCs/>
              </w:rPr>
              <w:t>U</w:t>
            </w:r>
            <w:r>
              <w:rPr>
                <w:vertAlign w:val="subscript"/>
              </w:rPr>
              <w:t>ном.</w:t>
            </w:r>
            <w:r>
              <w:rPr/>
              <w:t xml:space="preserve"> + 3</w:t>
            </w:r>
          </w:p>
        </w:tc>
        <w:tc>
          <w:tcPr>
            <w:tcW w:w="2468" w:type="dxa"/>
            <w:vMerge w:val="continue"/>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3. Обмотка явнополюсного ротора</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8·</w:t>
            </w:r>
            <w:r>
              <w:rPr>
                <w:i/>
                <w:iCs/>
              </w:rPr>
              <w:t>U</w:t>
            </w:r>
            <w:r>
              <w:rPr>
                <w:vertAlign w:val="subscript"/>
              </w:rPr>
              <w:t>ном.</w:t>
            </w:r>
            <w:r>
              <w:rPr/>
              <w:t xml:space="preserve"> возбуждения генератора, но не ниже 1,2 и не выше 2,8 кВ</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4. Обмотка неявнополюсного ротора</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1,0</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5. Обмотка коллекторных возбудителя и подвозбудителя</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8·</w:t>
            </w:r>
            <w:r>
              <w:rPr>
                <w:i/>
                <w:iCs/>
              </w:rPr>
              <w:t>U</w:t>
            </w:r>
            <w:r>
              <w:rPr>
                <w:vertAlign w:val="subscript"/>
              </w:rPr>
              <w:t>ном.</w:t>
            </w:r>
            <w:r>
              <w:rPr/>
              <w:t xml:space="preserve"> возбуждения генератора, но не ниже 1,2 и не выше 2,8 кВ</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Относительно корпуса и бандажей</w:t>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6. Цепи возбуждения</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7. Реостат возбуждения</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8. Резистор цепи гашения ноля и АГП</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Генераторы всех мощностей</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2,0</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103" w:type="dxa"/>
            <w:tcBorders>
              <w:left w:val="single" w:sz="8" w:space="0" w:color="000000"/>
              <w:bottom w:val="single" w:sz="8" w:space="0" w:color="000000"/>
              <w:insideH w:val="single" w:sz="8" w:space="0" w:color="000000"/>
            </w:tcBorders>
            <w:shd w:fill="auto" w:val="clear"/>
          </w:tcPr>
          <w:p>
            <w:pPr>
              <w:pStyle w:val="Normal"/>
              <w:jc w:val="both"/>
              <w:rPr/>
            </w:pPr>
            <w:r>
              <w:rPr/>
              <w:t>9. Концевой вывод обмотки статора</w:t>
            </w:r>
          </w:p>
        </w:tc>
        <w:tc>
          <w:tcPr>
            <w:tcW w:w="270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ТГВ -200, ТГВ - 200М, ТГВ - 300, ТГВ - 500</w:t>
            </w:r>
          </w:p>
        </w:tc>
        <w:tc>
          <w:tcPr>
            <w:tcW w:w="207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31,0*, 34,5**</w:t>
            </w:r>
          </w:p>
          <w:p>
            <w:pPr>
              <w:pStyle w:val="Normal"/>
              <w:jc w:val="center"/>
              <w:rPr/>
            </w:pPr>
            <w:r>
              <w:rPr/>
              <w:t>39,0*, 43,0**</w:t>
            </w:r>
          </w:p>
        </w:tc>
        <w:tc>
          <w:tcPr>
            <w:tcW w:w="2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Испытания проводятся до установки концевых выводов на турбогенератор</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300"/>
              <w:jc w:val="both"/>
              <w:rPr/>
            </w:pPr>
            <w:r>
              <w:rPr/>
              <w:t>* Для концевых выводов, испытанных на заводе вместе с изоляцией обмотки статора.</w:t>
            </w:r>
          </w:p>
          <w:p>
            <w:pPr>
              <w:pStyle w:val="Normal"/>
              <w:ind w:firstLine="233"/>
              <w:jc w:val="both"/>
              <w:rPr/>
            </w:pPr>
            <w:r>
              <w:rPr/>
              <w:t>** Для резервных концевых выводов перед установкой на турбогенератор.</w:t>
            </w:r>
          </w:p>
        </w:tc>
      </w:tr>
    </w:tbl>
    <w:p>
      <w:pPr>
        <w:pStyle w:val="Normal"/>
        <w:spacing w:before="120" w:after="0"/>
        <w:ind w:firstLine="284"/>
        <w:jc w:val="both"/>
        <w:rPr>
          <w:b/>
          <w:b/>
          <w:bCs/>
        </w:rPr>
      </w:pPr>
      <w:r>
        <w:rPr>
          <w:b/>
          <w:bCs/>
        </w:rPr>
        <w:t>5. Измерение сопротивления постоянному току.</w:t>
      </w:r>
    </w:p>
    <w:p>
      <w:pPr>
        <w:pStyle w:val="Normal"/>
        <w:ind w:firstLine="283"/>
        <w:jc w:val="both"/>
        <w:rPr/>
      </w:pPr>
      <w:r>
        <w:rPr/>
        <w:t>Нормы допустимых отклонений сопротивления постоянному току приведены в табл. 1.8.4.</w:t>
      </w:r>
    </w:p>
    <w:p>
      <w:pPr>
        <w:pStyle w:val="Normal"/>
        <w:ind w:firstLine="283"/>
        <w:jc w:val="both"/>
        <w:rPr/>
      </w:pPr>
      <w:r>
        <w:rPr/>
        <w:t>При сравнении значений сопротивлений они должны быть приведены к одинаковой температуре.</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4</w:t>
      </w:r>
    </w:p>
    <w:p>
      <w:pPr>
        <w:pStyle w:val="Normal"/>
        <w:spacing w:before="0" w:after="120"/>
        <w:jc w:val="center"/>
        <w:rPr>
          <w:b/>
          <w:b/>
          <w:bCs/>
          <w:i/>
          <w:i/>
          <w:iCs/>
        </w:rPr>
      </w:pPr>
      <w:r>
        <w:rPr>
          <w:b/>
          <w:bCs/>
          <w:i/>
          <w:iCs/>
        </w:rPr>
        <w:t>Допустимое отклонение сопротивления постоянному току</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218"/>
        <w:gridCol w:w="6137"/>
      </w:tblGrid>
      <w:tr>
        <w:trPr>
          <w:tblHeader w:val="true"/>
        </w:trPr>
        <w:tc>
          <w:tcPr>
            <w:tcW w:w="3218"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6137"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Норма</w:t>
            </w:r>
          </w:p>
        </w:tc>
      </w:tr>
      <w:tr>
        <w:trPr/>
        <w:tc>
          <w:tcPr>
            <w:tcW w:w="3218" w:type="dxa"/>
            <w:tcBorders>
              <w:left w:val="single" w:sz="8" w:space="0" w:color="000000"/>
              <w:bottom w:val="single" w:sz="8" w:space="0" w:color="000000"/>
              <w:insideH w:val="single" w:sz="8" w:space="0" w:color="000000"/>
            </w:tcBorders>
            <w:shd w:fill="auto" w:val="clear"/>
          </w:tcPr>
          <w:p>
            <w:pPr>
              <w:pStyle w:val="Normal"/>
              <w:jc w:val="both"/>
              <w:rPr/>
            </w:pPr>
            <w:r>
              <w:rPr/>
              <w:t>Обмотка статора (измерение производить для каждой фазы или ветви в отдельности)</w:t>
            </w:r>
          </w:p>
        </w:tc>
        <w:tc>
          <w:tcPr>
            <w:tcW w:w="613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Измеренные сопротивления в практически холодном состоянии обмоток различных фаз не должны отличаться одно от другого более чем на 2 %.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trPr/>
        <w:tc>
          <w:tcPr>
            <w:tcW w:w="3218" w:type="dxa"/>
            <w:tcBorders>
              <w:left w:val="single" w:sz="8" w:space="0" w:color="000000"/>
              <w:bottom w:val="single" w:sz="8" w:space="0" w:color="000000"/>
              <w:insideH w:val="single" w:sz="8" w:space="0" w:color="000000"/>
            </w:tcBorders>
            <w:shd w:fill="auto" w:val="clear"/>
          </w:tcPr>
          <w:p>
            <w:pPr>
              <w:pStyle w:val="Normal"/>
              <w:jc w:val="both"/>
              <w:rPr/>
            </w:pPr>
            <w:r>
              <w:rPr/>
              <w:t>Обмотка ротора</w:t>
            </w:r>
          </w:p>
        </w:tc>
        <w:tc>
          <w:tcPr>
            <w:tcW w:w="613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Измеренное 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trPr/>
        <w:tc>
          <w:tcPr>
            <w:tcW w:w="3218" w:type="dxa"/>
            <w:tcBorders>
              <w:left w:val="single" w:sz="8" w:space="0" w:color="000000"/>
              <w:bottom w:val="single" w:sz="8" w:space="0" w:color="000000"/>
              <w:insideH w:val="single" w:sz="8" w:space="0" w:color="000000"/>
            </w:tcBorders>
            <w:shd w:fill="auto" w:val="clear"/>
          </w:tcPr>
          <w:p>
            <w:pPr>
              <w:pStyle w:val="Normal"/>
              <w:jc w:val="both"/>
              <w:rPr/>
            </w:pPr>
            <w:r>
              <w:rPr/>
              <w:t>Резистор гашения поля, реостаты возбуждения</w:t>
            </w:r>
          </w:p>
        </w:tc>
        <w:tc>
          <w:tcPr>
            <w:tcW w:w="613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Сопротивление не должно отличаться от данных завода-изготовителя более чем на 10 %.</w:t>
            </w:r>
          </w:p>
        </w:tc>
      </w:tr>
      <w:tr>
        <w:trPr/>
        <w:tc>
          <w:tcPr>
            <w:tcW w:w="3218" w:type="dxa"/>
            <w:tcBorders>
              <w:left w:val="single" w:sz="8" w:space="0" w:color="000000"/>
              <w:bottom w:val="single" w:sz="8" w:space="0" w:color="000000"/>
              <w:insideH w:val="single" w:sz="8" w:space="0" w:color="000000"/>
            </w:tcBorders>
            <w:shd w:fill="auto" w:val="clear"/>
          </w:tcPr>
          <w:p>
            <w:pPr>
              <w:pStyle w:val="Normal"/>
              <w:jc w:val="both"/>
              <w:rPr/>
            </w:pPr>
            <w:r>
              <w:rPr/>
              <w:t>Обмотки возбуждения коллекторного возбудителя</w:t>
            </w:r>
          </w:p>
        </w:tc>
        <w:tc>
          <w:tcPr>
            <w:tcW w:w="613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Значение измеренного сопротивления не должно отличаться от исходных данных более чем на 2 %.</w:t>
            </w:r>
          </w:p>
        </w:tc>
      </w:tr>
      <w:tr>
        <w:trPr/>
        <w:tc>
          <w:tcPr>
            <w:tcW w:w="3218" w:type="dxa"/>
            <w:tcBorders>
              <w:left w:val="single" w:sz="8" w:space="0" w:color="000000"/>
              <w:bottom w:val="single" w:sz="8" w:space="0" w:color="000000"/>
              <w:insideH w:val="single" w:sz="8" w:space="0" w:color="000000"/>
            </w:tcBorders>
            <w:shd w:fill="auto" w:val="clear"/>
          </w:tcPr>
          <w:p>
            <w:pPr>
              <w:pStyle w:val="Normal"/>
              <w:jc w:val="both"/>
              <w:rPr/>
            </w:pPr>
            <w:r>
              <w:rPr/>
              <w:t>Обмотка якоря возбудителя (между коллекторными пластинами)</w:t>
            </w:r>
          </w:p>
        </w:tc>
        <w:tc>
          <w:tcPr>
            <w:tcW w:w="613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pPr>
        <w:pStyle w:val="Normal"/>
        <w:spacing w:before="120" w:after="0"/>
        <w:ind w:firstLine="283"/>
        <w:jc w:val="both"/>
        <w:rPr>
          <w:b/>
          <w:b/>
          <w:bCs/>
        </w:rPr>
      </w:pPr>
      <w:r>
        <w:rPr>
          <w:b/>
          <w:bCs/>
        </w:rPr>
        <w:t>6. Измерение сопротивления обмотки ротора переменному току.</w:t>
      </w:r>
    </w:p>
    <w:p>
      <w:pPr>
        <w:pStyle w:val="Normal"/>
        <w:ind w:firstLine="283"/>
        <w:jc w:val="both"/>
        <w:rPr/>
      </w:pPr>
      <w:r>
        <w:rPr/>
        <w:t>Измерение производится в целях 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 или двух полюсов вместе. Измерение следует 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результатов от данных завода-изготовителя или от среднего значения измеренных сопротивлений полюсов более чем на 3-5 % свидетельствуют о наличии дефектов в обмотке ротора. На возникновение витковых замыканий указывает скачкообразный характер снижения сопротивления 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результатов снятия характеристики КЗ и сравнения ее с данными завода-изготовителя.</w:t>
      </w:r>
    </w:p>
    <w:p>
      <w:pPr>
        <w:pStyle w:val="Normal"/>
        <w:ind w:firstLine="283"/>
        <w:jc w:val="both"/>
        <w:rPr>
          <w:b/>
          <w:b/>
          <w:bCs/>
        </w:rPr>
      </w:pPr>
      <w:r>
        <w:rPr>
          <w:b/>
          <w:bCs/>
        </w:rPr>
        <w:t>7. Проверка и испытание электрооборудования систем возбуждения.</w:t>
      </w:r>
    </w:p>
    <w:p>
      <w:pPr>
        <w:pStyle w:val="Normal"/>
        <w:ind w:firstLine="283"/>
        <w:jc w:val="both"/>
        <w:rPr/>
      </w:pPr>
      <w:r>
        <w:rPr/>
        <w:t>Приводятся нормы испытаний силового оборудования систем тиристорного самовозбуждения (далее СТС), систем 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соответствии с указаниями завода-изготовителя.</w:t>
      </w:r>
    </w:p>
    <w:p>
      <w:pPr>
        <w:pStyle w:val="Normal"/>
        <w:ind w:firstLine="283"/>
        <w:jc w:val="both"/>
        <w:rPr/>
      </w:pPr>
      <w:r>
        <w:rPr/>
        <w:t>Проверку и испытание электромашинных возбудителей следует производить в соответствии с 1.8.14.</w:t>
      </w:r>
    </w:p>
    <w:p>
      <w:pPr>
        <w:pStyle w:val="Normal"/>
        <w:ind w:firstLine="283"/>
        <w:jc w:val="both"/>
        <w:rPr>
          <w:b/>
          <w:b/>
          <w:bCs/>
        </w:rPr>
      </w:pPr>
      <w:r>
        <w:rPr>
          <w:b/>
          <w:bCs/>
        </w:rPr>
        <w:t>7.1. Измерение сопротивления изоляции.</w:t>
      </w:r>
    </w:p>
    <w:p>
      <w:pPr>
        <w:pStyle w:val="Normal"/>
        <w:ind w:firstLine="283"/>
        <w:jc w:val="both"/>
        <w:rPr/>
      </w:pPr>
      <w:r>
        <w:rPr/>
        <w:t>Значения сопротивлений изоляции при температуре 10 - 30 °С должны соответствовать приведенным в табл. 1.8.5.</w:t>
      </w:r>
    </w:p>
    <w:p>
      <w:pPr>
        <w:pStyle w:val="Normal"/>
        <w:ind w:firstLine="283"/>
        <w:jc w:val="both"/>
        <w:rPr>
          <w:b/>
          <w:b/>
          <w:bCs/>
        </w:rPr>
      </w:pPr>
      <w:r>
        <w:rPr>
          <w:b/>
          <w:bCs/>
        </w:rPr>
        <w:t>7.2. Испытание повышенным напряжением промышленной частоты.</w:t>
      </w:r>
    </w:p>
    <w:p>
      <w:pPr>
        <w:pStyle w:val="Normal"/>
        <w:ind w:firstLine="283"/>
        <w:jc w:val="both"/>
        <w:rPr/>
      </w:pPr>
      <w:r>
        <w:rPr/>
        <w:t>Значение испытательного напряжения принимается согласно табл. 1.8.5, длительность приложения испытательного напряжения 1 мин.</w:t>
      </w:r>
      <w:r>
        <w:br w:type="page"/>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5</w:t>
      </w:r>
    </w:p>
    <w:p>
      <w:pPr>
        <w:pStyle w:val="Normal"/>
        <w:spacing w:before="0" w:after="120"/>
        <w:jc w:val="center"/>
        <w:rPr/>
      </w:pPr>
      <w:r>
        <w:rPr>
          <w:b/>
          <w:bCs/>
          <w:i/>
          <w:iCs/>
        </w:rPr>
        <w:t>Сопротивление</w:t>
      </w:r>
      <w:r>
        <w:rPr>
          <w:b/>
          <w:bCs/>
        </w:rPr>
        <w:t xml:space="preserve"> </w:t>
      </w:r>
      <w:r>
        <w:rPr>
          <w:b/>
          <w:bCs/>
          <w:i/>
          <w:iCs/>
        </w:rPr>
        <w:t>изоляции</w:t>
      </w:r>
      <w:r>
        <w:rPr>
          <w:b/>
          <w:bCs/>
        </w:rPr>
        <w:t xml:space="preserve"> </w:t>
      </w:r>
      <w:r>
        <w:rPr>
          <w:b/>
          <w:bCs/>
          <w:i/>
          <w:iCs/>
        </w:rPr>
        <w:t>и</w:t>
      </w:r>
      <w:r>
        <w:rPr>
          <w:b/>
          <w:bCs/>
        </w:rPr>
        <w:t xml:space="preserve"> </w:t>
      </w:r>
      <w:r>
        <w:rPr>
          <w:b/>
          <w:bCs/>
          <w:i/>
          <w:iCs/>
        </w:rPr>
        <w:t>испытательные</w:t>
      </w:r>
      <w:r>
        <w:rPr>
          <w:b/>
          <w:bCs/>
        </w:rPr>
        <w:t xml:space="preserve"> </w:t>
      </w:r>
      <w:r>
        <w:rPr>
          <w:b/>
          <w:bCs/>
          <w:i/>
          <w:iCs/>
        </w:rPr>
        <w:t>напряжения</w:t>
      </w:r>
      <w:r>
        <w:rPr>
          <w:b/>
          <w:bCs/>
        </w:rPr>
        <w:t xml:space="preserve"> </w:t>
      </w:r>
      <w:r>
        <w:rPr>
          <w:b/>
          <w:bCs/>
          <w:i/>
          <w:iCs/>
        </w:rPr>
        <w:t>элементов</w:t>
      </w:r>
      <w:r>
        <w:rPr>
          <w:b/>
          <w:bCs/>
        </w:rPr>
        <w:t xml:space="preserve"> </w:t>
      </w:r>
      <w:r>
        <w:rPr>
          <w:b/>
          <w:bCs/>
          <w:i/>
          <w:iCs/>
        </w:rPr>
        <w:t>систем</w:t>
      </w:r>
      <w:r>
        <w:rPr>
          <w:b/>
          <w:bCs/>
        </w:rPr>
        <w:t xml:space="preserve"> </w:t>
      </w:r>
      <w:r>
        <w:rPr>
          <w:b/>
          <w:bCs/>
          <w:i/>
          <w:iCs/>
        </w:rPr>
        <w:t>возбуждения</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0" w:type="dxa"/>
          <w:bottom w:w="0" w:type="dxa"/>
          <w:right w:w="0" w:type="dxa"/>
        </w:tblCellMar>
      </w:tblPr>
      <w:tblGrid>
        <w:gridCol w:w="2208"/>
        <w:gridCol w:w="1406"/>
        <w:gridCol w:w="1582"/>
        <w:gridCol w:w="1843"/>
        <w:gridCol w:w="2316"/>
      </w:tblGrid>
      <w:tr>
        <w:trPr>
          <w:tblHeader w:val="true"/>
        </w:trPr>
        <w:tc>
          <w:tcPr>
            <w:tcW w:w="2208"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2988"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Измерение сопротивления изоляции</w:t>
            </w:r>
          </w:p>
        </w:tc>
        <w:tc>
          <w:tcPr>
            <w:tcW w:w="1843" w:type="dxa"/>
            <w:vMerge w:val="restart"/>
            <w:tcBorders>
              <w:top w:val="single" w:sz="8" w:space="0" w:color="000000"/>
              <w:left w:val="single" w:sz="8" w:space="0" w:color="000000"/>
              <w:bottom w:val="single" w:sz="8" w:space="0" w:color="000000"/>
              <w:insideH w:val="single" w:sz="8" w:space="0" w:color="000000"/>
            </w:tcBorders>
            <w:shd w:fill="auto" w:val="clear"/>
            <w:tcMar>
              <w:left w:w="28" w:type="dxa"/>
              <w:right w:w="28" w:type="dxa"/>
            </w:tcMar>
            <w:vAlign w:val="center"/>
          </w:tcPr>
          <w:p>
            <w:pPr>
              <w:pStyle w:val="Normal"/>
              <w:jc w:val="center"/>
              <w:rPr/>
            </w:pPr>
            <w:r>
              <w:rPr/>
              <w:t>Значение испытательного напряжения промышленной частоты</w:t>
            </w:r>
          </w:p>
        </w:tc>
        <w:tc>
          <w:tcPr>
            <w:tcW w:w="2316" w:type="dxa"/>
            <w:vMerge w:val="restart"/>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jc w:val="center"/>
              <w:rPr/>
            </w:pPr>
            <w:r>
              <w:rPr/>
              <w:t>Примечание</w:t>
            </w:r>
          </w:p>
        </w:tc>
      </w:tr>
      <w:tr>
        <w:trPr>
          <w:tblHeader w:val="true"/>
        </w:trPr>
        <w:tc>
          <w:tcPr>
            <w:tcW w:w="2208"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06" w:type="dxa"/>
            <w:tcBorders>
              <w:left w:val="single" w:sz="8" w:space="0" w:color="000000"/>
              <w:bottom w:val="single" w:sz="8" w:space="0" w:color="000000"/>
              <w:insideH w:val="single" w:sz="8" w:space="0" w:color="000000"/>
            </w:tcBorders>
            <w:shd w:fill="auto" w:val="clear"/>
            <w:tcMar>
              <w:left w:w="28" w:type="dxa"/>
              <w:right w:w="28" w:type="dxa"/>
            </w:tcMar>
            <w:vAlign w:val="center"/>
          </w:tcPr>
          <w:p>
            <w:pPr>
              <w:pStyle w:val="Normal"/>
              <w:ind w:right="-27" w:hanging="0"/>
              <w:jc w:val="center"/>
              <w:rPr/>
            </w:pPr>
            <w:r>
              <w:rPr/>
              <w:t>Напряжение мегаомметра, В</w:t>
            </w:r>
          </w:p>
        </w:tc>
        <w:tc>
          <w:tcPr>
            <w:tcW w:w="1582" w:type="dxa"/>
            <w:tcBorders>
              <w:left w:val="single" w:sz="8" w:space="0" w:color="000000"/>
              <w:bottom w:val="single" w:sz="8" w:space="0" w:color="000000"/>
              <w:insideH w:val="single" w:sz="8" w:space="0" w:color="000000"/>
            </w:tcBorders>
            <w:shd w:fill="auto" w:val="clear"/>
            <w:vAlign w:val="center"/>
          </w:tcPr>
          <w:p>
            <w:pPr>
              <w:pStyle w:val="Normal"/>
              <w:jc w:val="center"/>
              <w:rPr/>
            </w:pPr>
            <w:r>
              <w:rPr/>
              <w:t>Минимальное значение сопротивления изоляции, МОм</w:t>
            </w:r>
          </w:p>
        </w:tc>
        <w:tc>
          <w:tcPr>
            <w:tcW w:w="1843" w:type="dxa"/>
            <w:vMerge w:val="continue"/>
            <w:tcBorders>
              <w:top w:val="single" w:sz="8" w:space="0" w:color="000000"/>
              <w:left w:val="single" w:sz="8" w:space="0" w:color="000000"/>
              <w:bottom w:val="single" w:sz="8" w:space="0" w:color="000000"/>
              <w:insideH w:val="single" w:sz="8" w:space="0" w:color="000000"/>
            </w:tcBorders>
            <w:shd w:fill="auto" w:val="clear"/>
            <w:tcMar>
              <w:left w:w="28" w:type="dxa"/>
              <w:right w:w="28" w:type="dxa"/>
            </w:tcMar>
            <w:vAlign w:val="center"/>
          </w:tcPr>
          <w:p>
            <w:pPr>
              <w:pStyle w:val="Normal"/>
              <w:snapToGrid w:val="false"/>
              <w:rPr/>
            </w:pPr>
            <w:r>
              <w:rPr/>
            </w:r>
          </w:p>
        </w:tc>
        <w:tc>
          <w:tcPr>
            <w:tcW w:w="2316" w:type="dxa"/>
            <w:vMerge w:val="continue"/>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snapToGrid w:val="false"/>
              <w:rPr/>
            </w:pPr>
            <w:r>
              <w:rPr/>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1.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трансформаторов системы управления и т.д.; примыкающие к преобразователям отключенные разъединители</w:t>
            </w:r>
          </w:p>
          <w:p>
            <w:pPr>
              <w:pStyle w:val="Normal"/>
              <w:jc w:val="both"/>
              <w:rPr/>
            </w:pPr>
            <w:r>
              <w:rPr/>
              <w:t>(СТС), первичные обмотки трансформаторов собственных нужд (СТС). В системах с водяным охлаждением ТП вода при испытаниях отсутствует</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2500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ТП, но не менее 0,8 заводского испытательного напряжения обмотки ротора</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и соединенных с ним вторичных цепей ТП (первичных обмоток импульсных трансформаторов СУТ, блок-контактов силовых предохранителей, 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w:t>
            </w:r>
          </w:p>
          <w:p>
            <w:pPr>
              <w:pStyle w:val="Normal"/>
              <w:jc w:val="both"/>
              <w:rPr/>
            </w:pPr>
            <w:r>
              <w:rPr/>
              <w:t>Тиристоры (аноды, катоды, управляющие электроды) при испытаниях должны быть закорочены, а блоки системы управления тиристорами СУТ выдвинуты из разъемов</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2. Тиристорный преобразователь в цепи возбуждения возбудителя системы БСВ: токоведущие части, тиристоры и связанные с ними цепи (см. п. 1). Тиристорный преобразователь в цепи возбуждения ВГ системы СТН</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ТП, но не менее 0,8 испытательного напряжения обмотки возбуждения обращенного генератора или ВГ</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и соединенных с ним вторичных цепей ТП, не связанных с силовыми цепями (см. п. 1). При испытаниях ТП отключен по входу и выходу от силовой схемы; тиристоры (аноды, катоды, управляющие электроды) должны быть закорочены, а блоки СУТ выдвинуты из разъемов</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3. Выпрямительная установка в системе ВЧ возбуждения.</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выпрямительной установки, но не менее 0,8 испытательного напряжения обмотки ротора</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При испытаниях выпрямительная установка отключена от источника питания и обмотки ротора, шины питания и шины выхода (А, В, С, +, -) объединены</w:t>
            </w:r>
          </w:p>
        </w:tc>
      </w:tr>
      <w:tr>
        <w:trPr/>
        <w:tc>
          <w:tcPr>
            <w:tcW w:w="2208" w:type="dxa"/>
            <w:tcBorders>
              <w:left w:val="single" w:sz="8" w:space="0" w:color="000000"/>
            </w:tcBorders>
            <w:shd w:fill="auto" w:val="clear"/>
            <w:tcMar>
              <w:left w:w="28" w:type="dxa"/>
              <w:right w:w="28" w:type="dxa"/>
            </w:tcMar>
          </w:tcPr>
          <w:p>
            <w:pPr>
              <w:pStyle w:val="Normal"/>
              <w:jc w:val="both"/>
              <w:rPr/>
            </w:pPr>
            <w:r>
              <w:rPr/>
              <w:t>4. Вспомогательный синхронный генератор ВГ в системах СТН:</w:t>
            </w:r>
          </w:p>
        </w:tc>
        <w:tc>
          <w:tcPr>
            <w:tcW w:w="1406" w:type="dxa"/>
            <w:tcBorders>
              <w:left w:val="single" w:sz="8" w:space="0" w:color="000000"/>
            </w:tcBorders>
            <w:shd w:fill="auto" w:val="clear"/>
          </w:tcPr>
          <w:p>
            <w:pPr>
              <w:pStyle w:val="Normal"/>
              <w:snapToGrid w:val="false"/>
              <w:rPr/>
            </w:pPr>
            <w:r>
              <w:rPr/>
            </w:r>
          </w:p>
        </w:tc>
        <w:tc>
          <w:tcPr>
            <w:tcW w:w="1582" w:type="dxa"/>
            <w:tcBorders>
              <w:left w:val="single" w:sz="8" w:space="0" w:color="000000"/>
            </w:tcBorders>
            <w:shd w:fill="auto" w:val="clear"/>
          </w:tcPr>
          <w:p>
            <w:pPr>
              <w:pStyle w:val="Normal"/>
              <w:snapToGrid w:val="false"/>
              <w:rPr/>
            </w:pPr>
            <w:r>
              <w:rPr/>
            </w:r>
          </w:p>
        </w:tc>
        <w:tc>
          <w:tcPr>
            <w:tcW w:w="1843" w:type="dxa"/>
            <w:tcBorders>
              <w:left w:val="single" w:sz="8" w:space="0" w:color="000000"/>
            </w:tcBorders>
            <w:shd w:fill="auto" w:val="clear"/>
          </w:tcPr>
          <w:p>
            <w:pPr>
              <w:pStyle w:val="Normal"/>
              <w:snapToGrid w:val="false"/>
              <w:rPr/>
            </w:pPr>
            <w:r>
              <w:rPr/>
            </w:r>
          </w:p>
        </w:tc>
        <w:tc>
          <w:tcPr>
            <w:tcW w:w="2316" w:type="dxa"/>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Mar>
              <w:left w:w="28" w:type="dxa"/>
              <w:right w:w="28" w:type="dxa"/>
            </w:tcMar>
          </w:tcPr>
          <w:p>
            <w:pPr>
              <w:pStyle w:val="Normal"/>
              <w:jc w:val="both"/>
              <w:rPr/>
            </w:pPr>
            <w:r>
              <w:rPr/>
              <w:t>- обмотки статора</w:t>
            </w:r>
          </w:p>
        </w:tc>
        <w:tc>
          <w:tcPr>
            <w:tcW w:w="1406" w:type="dxa"/>
            <w:tcBorders>
              <w:left w:val="single" w:sz="8" w:space="0" w:color="000000"/>
            </w:tcBorders>
            <w:shd w:fill="auto" w:val="clear"/>
          </w:tcPr>
          <w:p>
            <w:pPr>
              <w:pStyle w:val="Normal"/>
              <w:jc w:val="center"/>
              <w:rPr/>
            </w:pPr>
            <w:r>
              <w:rPr/>
              <w:t>2500</w:t>
            </w:r>
          </w:p>
        </w:tc>
        <w:tc>
          <w:tcPr>
            <w:tcW w:w="1582" w:type="dxa"/>
            <w:tcBorders>
              <w:left w:val="single" w:sz="8" w:space="0" w:color="000000"/>
            </w:tcBorders>
            <w:shd w:fill="auto" w:val="clear"/>
          </w:tcPr>
          <w:p>
            <w:pPr>
              <w:pStyle w:val="Normal"/>
              <w:jc w:val="center"/>
              <w:rPr/>
            </w:pPr>
            <w:r>
              <w:rPr/>
              <w:t>5,0</w:t>
            </w:r>
          </w:p>
        </w:tc>
        <w:tc>
          <w:tcPr>
            <w:tcW w:w="1843" w:type="dxa"/>
            <w:tcBorders>
              <w:left w:val="single" w:sz="8" w:space="0" w:color="000000"/>
            </w:tcBorders>
            <w:shd w:fill="auto" w:val="clear"/>
          </w:tcPr>
          <w:p>
            <w:pPr>
              <w:pStyle w:val="Normal"/>
              <w:jc w:val="both"/>
              <w:rPr/>
            </w:pPr>
            <w:r>
              <w:rPr/>
              <w:t>0,8 заводского испытательного напряжения обмотки статора ВГ, но не менее 0,8 испытательного напряжения обмотки ротора главного генератора</w:t>
            </w:r>
          </w:p>
        </w:tc>
        <w:tc>
          <w:tcPr>
            <w:tcW w:w="2316" w:type="dxa"/>
            <w:tcBorders>
              <w:left w:val="single" w:sz="8" w:space="0" w:color="000000"/>
              <w:right w:val="single" w:sz="8" w:space="0" w:color="000000"/>
              <w:insideV w:val="single" w:sz="8" w:space="0" w:color="000000"/>
            </w:tcBorders>
            <w:shd w:fill="auto" w:val="clear"/>
          </w:tcPr>
          <w:p>
            <w:pPr>
              <w:pStyle w:val="Normal"/>
              <w:jc w:val="both"/>
              <w:rPr/>
            </w:pPr>
            <w:r>
              <w:rPr/>
              <w:t>Относительно корпуса и между обмотками</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 обмотки возбуждения</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обмотки возбуждения обращенного генератора или ВГ</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w:t>
            </w:r>
          </w:p>
        </w:tc>
      </w:tr>
      <w:tr>
        <w:trPr/>
        <w:tc>
          <w:tcPr>
            <w:tcW w:w="2208" w:type="dxa"/>
            <w:tcBorders>
              <w:left w:val="single" w:sz="8" w:space="0" w:color="000000"/>
            </w:tcBorders>
            <w:shd w:fill="auto" w:val="clear"/>
            <w:tcMar>
              <w:left w:w="28" w:type="dxa"/>
              <w:right w:w="28" w:type="dxa"/>
            </w:tcMar>
          </w:tcPr>
          <w:p>
            <w:pPr>
              <w:pStyle w:val="Normal"/>
              <w:jc w:val="both"/>
              <w:rPr/>
            </w:pPr>
            <w:r>
              <w:rPr/>
              <w:t>5. Индукторный генератор в системе ВЧ возбуждения:</w:t>
            </w:r>
          </w:p>
        </w:tc>
        <w:tc>
          <w:tcPr>
            <w:tcW w:w="1406" w:type="dxa"/>
            <w:vMerge w:val="restart"/>
            <w:tcBorders>
              <w:left w:val="single" w:sz="8" w:space="0" w:color="000000"/>
              <w:bottom w:val="single" w:sz="8" w:space="0" w:color="000000"/>
              <w:insideH w:val="single" w:sz="8" w:space="0" w:color="000000"/>
            </w:tcBorders>
            <w:shd w:fill="auto" w:val="clear"/>
            <w:vAlign w:val="center"/>
          </w:tcPr>
          <w:p>
            <w:pPr>
              <w:pStyle w:val="Normal"/>
              <w:jc w:val="center"/>
              <w:rPr/>
            </w:pPr>
            <w:r>
              <w:rPr/>
              <w:t>1000</w:t>
            </w:r>
          </w:p>
        </w:tc>
        <w:tc>
          <w:tcPr>
            <w:tcW w:w="1582" w:type="dxa"/>
            <w:vMerge w:val="restart"/>
            <w:tcBorders>
              <w:left w:val="single" w:sz="8" w:space="0" w:color="000000"/>
              <w:bottom w:val="single" w:sz="8" w:space="0" w:color="000000"/>
              <w:insideH w:val="single" w:sz="8" w:space="0" w:color="000000"/>
            </w:tcBorders>
            <w:shd w:fill="auto" w:val="clear"/>
            <w:vAlign w:val="center"/>
          </w:tcPr>
          <w:p>
            <w:pPr>
              <w:pStyle w:val="Normal"/>
              <w:jc w:val="center"/>
              <w:rPr/>
            </w:pPr>
            <w:r>
              <w:rPr/>
              <w:t>5,0</w:t>
            </w:r>
          </w:p>
        </w:tc>
        <w:tc>
          <w:tcPr>
            <w:tcW w:w="1843" w:type="dxa"/>
            <w:tcBorders>
              <w:left w:val="single" w:sz="8" w:space="0" w:color="000000"/>
            </w:tcBorders>
            <w:shd w:fill="auto" w:val="clear"/>
          </w:tcPr>
          <w:p>
            <w:pPr>
              <w:pStyle w:val="Normal"/>
              <w:snapToGrid w:val="false"/>
              <w:rPr/>
            </w:pPr>
            <w:r>
              <w:rPr/>
            </w:r>
          </w:p>
        </w:tc>
        <w:tc>
          <w:tcPr>
            <w:tcW w:w="2316" w:type="dxa"/>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Pr>
          <w:p>
            <w:pPr>
              <w:pStyle w:val="Normal"/>
              <w:jc w:val="both"/>
              <w:rPr/>
            </w:pPr>
            <w:r>
              <w:rPr/>
              <w:t>- рабочие обмотки (три фазы) и обмотка последовательного возбуждения</w:t>
            </w:r>
          </w:p>
        </w:tc>
        <w:tc>
          <w:tcPr>
            <w:tcW w:w="1406"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582"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843" w:type="dxa"/>
            <w:tcBorders>
              <w:left w:val="single" w:sz="8" w:space="0" w:color="000000"/>
            </w:tcBorders>
            <w:shd w:fill="auto" w:val="clear"/>
            <w:tcMar>
              <w:left w:w="28" w:type="dxa"/>
              <w:right w:w="28" w:type="dxa"/>
            </w:tcMar>
          </w:tcPr>
          <w:p>
            <w:pPr>
              <w:pStyle w:val="Normal"/>
              <w:jc w:val="both"/>
              <w:rPr/>
            </w:pPr>
            <w:r>
              <w:rPr/>
              <w:t>0,8 заводского испытательного напряжения обмоток, но не менее 0,8 испытательного напряжения обмотки ротора генератора</w:t>
            </w:r>
          </w:p>
        </w:tc>
        <w:tc>
          <w:tcPr>
            <w:tcW w:w="2316" w:type="dxa"/>
            <w:tcBorders>
              <w:left w:val="single" w:sz="8" w:space="0" w:color="000000"/>
              <w:right w:val="single" w:sz="8" w:space="0" w:color="000000"/>
              <w:insideV w:val="single" w:sz="8" w:space="0" w:color="000000"/>
            </w:tcBorders>
            <w:shd w:fill="auto" w:val="clear"/>
          </w:tcPr>
          <w:p>
            <w:pPr>
              <w:pStyle w:val="Normal"/>
              <w:jc w:val="both"/>
              <w:rPr/>
            </w:pPr>
            <w:r>
              <w:rPr/>
              <w:t>Относительно корпуса и соединенных с ним обмоток независимого возбуждения, между обмотками</w:t>
            </w:r>
          </w:p>
        </w:tc>
      </w:tr>
      <w:tr>
        <w:trPr/>
        <w:tc>
          <w:tcPr>
            <w:tcW w:w="2208" w:type="dxa"/>
            <w:tcBorders>
              <w:left w:val="single" w:sz="8" w:space="0" w:color="000000"/>
              <w:bottom w:val="single" w:sz="8" w:space="0" w:color="000000"/>
              <w:insideH w:val="single" w:sz="8" w:space="0" w:color="000000"/>
            </w:tcBorders>
            <w:shd w:fill="auto" w:val="clear"/>
          </w:tcPr>
          <w:p>
            <w:pPr>
              <w:pStyle w:val="Normal"/>
              <w:jc w:val="both"/>
              <w:rPr/>
            </w:pPr>
            <w:r>
              <w:rPr/>
              <w:t>- обмотки независимого возбуждения</w:t>
            </w:r>
          </w:p>
        </w:tc>
        <w:tc>
          <w:tcPr>
            <w:tcW w:w="1406"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582"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843"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0,8 заводского испытательного напряжения обмоток</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и между обмотками независимого возбуждения</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6. Подвозбудитель в системе ВЧ возбуждения</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Каждая фаза относительно других, соединенных с корпусом</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7. Обращенный генератор совместно с вращающимся преобразователем в системе БСВ:</w:t>
            </w:r>
          </w:p>
        </w:tc>
        <w:tc>
          <w:tcPr>
            <w:tcW w:w="1406"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582"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843"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Mar>
              <w:left w:w="28" w:type="dxa"/>
              <w:right w:w="28" w:type="dxa"/>
            </w:tcMar>
          </w:tcPr>
          <w:p>
            <w:pPr>
              <w:pStyle w:val="Normal"/>
              <w:jc w:val="both"/>
              <w:rPr/>
            </w:pPr>
            <w:r>
              <w:rPr/>
              <w:t>- обмотки якоря совместно с вращающимся преобразователем;</w:t>
            </w:r>
          </w:p>
        </w:tc>
        <w:tc>
          <w:tcPr>
            <w:tcW w:w="1406" w:type="dxa"/>
            <w:tcBorders>
              <w:left w:val="single" w:sz="8" w:space="0" w:color="000000"/>
            </w:tcBorders>
            <w:shd w:fill="auto" w:val="clear"/>
          </w:tcPr>
          <w:p>
            <w:pPr>
              <w:pStyle w:val="Normal"/>
              <w:jc w:val="center"/>
              <w:rPr/>
            </w:pPr>
            <w:r>
              <w:rPr/>
              <w:t>1000</w:t>
            </w:r>
          </w:p>
        </w:tc>
        <w:tc>
          <w:tcPr>
            <w:tcW w:w="1582" w:type="dxa"/>
            <w:tcBorders>
              <w:left w:val="single" w:sz="8" w:space="0" w:color="000000"/>
            </w:tcBorders>
            <w:shd w:fill="auto" w:val="clear"/>
          </w:tcPr>
          <w:p>
            <w:pPr>
              <w:pStyle w:val="Normal"/>
              <w:jc w:val="center"/>
              <w:rPr/>
            </w:pPr>
            <w:r>
              <w:rPr/>
              <w:t>5,0</w:t>
            </w:r>
          </w:p>
        </w:tc>
        <w:tc>
          <w:tcPr>
            <w:tcW w:w="1843" w:type="dxa"/>
            <w:tcBorders>
              <w:left w:val="single" w:sz="8" w:space="0" w:color="000000"/>
            </w:tcBorders>
            <w:shd w:fill="auto" w:val="clear"/>
          </w:tcPr>
          <w:p>
            <w:pPr>
              <w:pStyle w:val="Normal"/>
              <w:jc w:val="both"/>
              <w:rPr/>
            </w:pPr>
            <w:r>
              <w:rPr/>
              <w:t>0,8 заводского испытательного напряжения обмотки якоря</w:t>
            </w:r>
          </w:p>
        </w:tc>
        <w:tc>
          <w:tcPr>
            <w:tcW w:w="2316" w:type="dxa"/>
            <w:tcBorders>
              <w:left w:val="single" w:sz="8" w:space="0" w:color="000000"/>
              <w:right w:val="single" w:sz="8" w:space="0" w:color="000000"/>
              <w:insideV w:val="single" w:sz="8" w:space="0" w:color="000000"/>
            </w:tcBorders>
            <w:shd w:fill="auto" w:val="clear"/>
          </w:tcPr>
          <w:p>
            <w:pPr>
              <w:pStyle w:val="Normal"/>
              <w:jc w:val="both"/>
              <w:rPr/>
            </w:pPr>
            <w:r>
              <w:rPr/>
              <w:t xml:space="preserve">Относительно корпуса. Возбудитель отсоединен от ротора генератора; вентили, </w:t>
            </w:r>
            <w:r>
              <w:rPr>
                <w:i/>
                <w:iCs/>
              </w:rPr>
              <w:t>RC</w:t>
            </w:r>
            <w:r>
              <w:rPr/>
              <w:t>-цепи или варисторы зашунтированы (соединены +, -, шпильки переменного тока); подняты щетки на измерительных контактных кольцах</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 обмотки возбуждения обращенного генератора</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500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обмотки возбуждения, но не менее 1,2 кВ</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Обмотки возбуждения отсоединены от схемы</w:t>
            </w:r>
          </w:p>
        </w:tc>
      </w:tr>
      <w:tr>
        <w:trPr/>
        <w:tc>
          <w:tcPr>
            <w:tcW w:w="2208" w:type="dxa"/>
            <w:tcBorders>
              <w:left w:val="single" w:sz="8" w:space="0" w:color="000000"/>
            </w:tcBorders>
            <w:shd w:fill="auto" w:val="clear"/>
            <w:tcMar>
              <w:left w:w="28" w:type="dxa"/>
              <w:right w:w="28" w:type="dxa"/>
            </w:tcMar>
          </w:tcPr>
          <w:p>
            <w:pPr>
              <w:pStyle w:val="Normal"/>
              <w:jc w:val="both"/>
              <w:rPr/>
            </w:pPr>
            <w:r>
              <w:rPr/>
              <w:t>8. Выпрямительный трансформатор ВТ в системах СТС.</w:t>
            </w:r>
          </w:p>
        </w:tc>
        <w:tc>
          <w:tcPr>
            <w:tcW w:w="1406" w:type="dxa"/>
            <w:tcBorders>
              <w:left w:val="single" w:sz="8" w:space="0" w:color="000000"/>
            </w:tcBorders>
            <w:shd w:fill="auto" w:val="clear"/>
          </w:tcPr>
          <w:p>
            <w:pPr>
              <w:pStyle w:val="Normal"/>
              <w:jc w:val="center"/>
              <w:rPr/>
            </w:pPr>
            <w:r>
              <w:rPr/>
              <w:t>2500</w:t>
            </w:r>
          </w:p>
        </w:tc>
        <w:tc>
          <w:tcPr>
            <w:tcW w:w="1582" w:type="dxa"/>
            <w:tcBorders>
              <w:left w:val="single" w:sz="8" w:space="0" w:color="000000"/>
            </w:tcBorders>
            <w:shd w:fill="auto" w:val="clear"/>
          </w:tcPr>
          <w:p>
            <w:pPr>
              <w:pStyle w:val="Normal"/>
              <w:jc w:val="center"/>
              <w:rPr/>
            </w:pPr>
            <w:r>
              <w:rPr/>
              <w:t>5,0</w:t>
            </w:r>
          </w:p>
        </w:tc>
        <w:tc>
          <w:tcPr>
            <w:tcW w:w="1843" w:type="dxa"/>
            <w:vMerge w:val="restart"/>
            <w:tcBorders>
              <w:left w:val="single" w:sz="8" w:space="0" w:color="000000"/>
            </w:tcBorders>
            <w:shd w:fill="auto" w:val="clear"/>
          </w:tcPr>
          <w:p>
            <w:pPr>
              <w:pStyle w:val="Normal"/>
              <w:jc w:val="both"/>
              <w:rPr/>
            </w:pPr>
            <w:r>
              <w:rPr/>
              <w:t>0,8 заводского испытательного напряжения обмоток трансформатора; вторичные обмотки для ВГ и БСВ - не менее 1,2 кВ</w:t>
            </w:r>
          </w:p>
        </w:tc>
        <w:tc>
          <w:tcPr>
            <w:tcW w:w="2316" w:type="dxa"/>
            <w:vMerge w:val="restart"/>
            <w:tcBorders>
              <w:left w:val="single" w:sz="8" w:space="0" w:color="000000"/>
              <w:right w:val="single" w:sz="8" w:space="0" w:color="000000"/>
              <w:insideV w:val="single" w:sz="8" w:space="0" w:color="000000"/>
            </w:tcBorders>
            <w:shd w:fill="auto" w:val="clear"/>
          </w:tcPr>
          <w:p>
            <w:pPr>
              <w:pStyle w:val="Normal"/>
              <w:jc w:val="both"/>
              <w:rPr/>
            </w:pPr>
            <w:r>
              <w:rPr/>
              <w:t>Относительно корпуса и между обмотками</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Выпрямительные трансформаторы в системах возбуждения ВГ (СТН) и БСВ:</w:t>
            </w:r>
          </w:p>
        </w:tc>
        <w:tc>
          <w:tcPr>
            <w:tcW w:w="1406"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582"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843" w:type="dxa"/>
            <w:vMerge w:val="continue"/>
            <w:tcBorders>
              <w:left w:val="single" w:sz="8" w:space="0" w:color="000000"/>
            </w:tcBorders>
            <w:shd w:fill="auto" w:val="clear"/>
          </w:tcPr>
          <w:p>
            <w:pPr>
              <w:pStyle w:val="Normal"/>
              <w:snapToGrid w:val="false"/>
              <w:rPr/>
            </w:pPr>
            <w:r>
              <w:rPr/>
            </w:r>
          </w:p>
        </w:tc>
        <w:tc>
          <w:tcPr>
            <w:tcW w:w="2316" w:type="dxa"/>
            <w:vMerge w:val="continue"/>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Mar>
              <w:left w:w="28" w:type="dxa"/>
              <w:right w:w="28" w:type="dxa"/>
            </w:tcMar>
          </w:tcPr>
          <w:p>
            <w:pPr>
              <w:pStyle w:val="Normal"/>
              <w:jc w:val="both"/>
              <w:rPr/>
            </w:pPr>
            <w:r>
              <w:rPr/>
              <w:t>первичная обмотка</w:t>
            </w:r>
          </w:p>
        </w:tc>
        <w:tc>
          <w:tcPr>
            <w:tcW w:w="1406" w:type="dxa"/>
            <w:tcBorders>
              <w:left w:val="single" w:sz="8" w:space="0" w:color="000000"/>
            </w:tcBorders>
            <w:shd w:fill="auto" w:val="clear"/>
          </w:tcPr>
          <w:p>
            <w:pPr>
              <w:pStyle w:val="Normal"/>
              <w:jc w:val="center"/>
              <w:rPr/>
            </w:pPr>
            <w:r>
              <w:rPr/>
              <w:t>2500</w:t>
            </w:r>
          </w:p>
        </w:tc>
        <w:tc>
          <w:tcPr>
            <w:tcW w:w="1582" w:type="dxa"/>
            <w:tcBorders>
              <w:left w:val="single" w:sz="8" w:space="0" w:color="000000"/>
            </w:tcBorders>
            <w:shd w:fill="auto" w:val="clear"/>
          </w:tcPr>
          <w:p>
            <w:pPr>
              <w:pStyle w:val="Normal"/>
              <w:jc w:val="center"/>
              <w:rPr/>
            </w:pPr>
            <w:r>
              <w:rPr/>
              <w:t>5,0</w:t>
            </w:r>
          </w:p>
        </w:tc>
        <w:tc>
          <w:tcPr>
            <w:tcW w:w="1843" w:type="dxa"/>
            <w:vMerge w:val="continue"/>
            <w:tcBorders>
              <w:left w:val="single" w:sz="8" w:space="0" w:color="000000"/>
            </w:tcBorders>
            <w:shd w:fill="auto" w:val="clear"/>
          </w:tcPr>
          <w:p>
            <w:pPr>
              <w:pStyle w:val="Normal"/>
              <w:snapToGrid w:val="false"/>
              <w:rPr/>
            </w:pPr>
            <w:r>
              <w:rPr/>
            </w:r>
          </w:p>
        </w:tc>
        <w:tc>
          <w:tcPr>
            <w:tcW w:w="2316" w:type="dxa"/>
            <w:vMerge w:val="continue"/>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вторичная обмотка</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843"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9. Последовательные трансформаторы в системах СТС</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2500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обмоток</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корпуса и между обмотками</w:t>
            </w:r>
          </w:p>
        </w:tc>
      </w:tr>
      <w:tr>
        <w:trPr/>
        <w:tc>
          <w:tcPr>
            <w:tcW w:w="2208" w:type="dxa"/>
            <w:tcBorders>
              <w:left w:val="single" w:sz="8" w:space="0" w:color="000000"/>
            </w:tcBorders>
            <w:shd w:fill="auto" w:val="clear"/>
            <w:tcMar>
              <w:left w:w="28" w:type="dxa"/>
              <w:right w:w="28" w:type="dxa"/>
            </w:tcMar>
          </w:tcPr>
          <w:p>
            <w:pPr>
              <w:pStyle w:val="Normal"/>
              <w:jc w:val="both"/>
              <w:rPr/>
            </w:pPr>
            <w:r>
              <w:rPr/>
              <w:t>10. Токопроводы, связывающие источники питания (ВГ в системе СТН, ВТ и ПТ в системе СТС), индукторный генератор в ВЧ системе с тиристорными или диодными преобразователями, токопроводы постоянного тока:</w:t>
            </w:r>
          </w:p>
        </w:tc>
        <w:tc>
          <w:tcPr>
            <w:tcW w:w="1406" w:type="dxa"/>
            <w:tcBorders>
              <w:left w:val="single" w:sz="8" w:space="0" w:color="000000"/>
            </w:tcBorders>
            <w:shd w:fill="auto" w:val="clear"/>
          </w:tcPr>
          <w:p>
            <w:pPr>
              <w:pStyle w:val="Normal"/>
              <w:snapToGrid w:val="false"/>
              <w:rPr/>
            </w:pPr>
            <w:r>
              <w:rPr/>
            </w:r>
          </w:p>
        </w:tc>
        <w:tc>
          <w:tcPr>
            <w:tcW w:w="1582" w:type="dxa"/>
            <w:tcBorders>
              <w:left w:val="single" w:sz="8" w:space="0" w:color="000000"/>
            </w:tcBorders>
            <w:shd w:fill="auto" w:val="clear"/>
          </w:tcPr>
          <w:p>
            <w:pPr>
              <w:pStyle w:val="Normal"/>
              <w:snapToGrid w:val="false"/>
              <w:rPr/>
            </w:pPr>
            <w:r>
              <w:rPr/>
            </w:r>
          </w:p>
        </w:tc>
        <w:tc>
          <w:tcPr>
            <w:tcW w:w="1843" w:type="dxa"/>
            <w:tcBorders>
              <w:left w:val="single" w:sz="8" w:space="0" w:color="000000"/>
            </w:tcBorders>
            <w:shd w:fill="auto" w:val="clear"/>
          </w:tcPr>
          <w:p>
            <w:pPr>
              <w:pStyle w:val="Normal"/>
              <w:snapToGrid w:val="false"/>
              <w:rPr/>
            </w:pPr>
            <w:r>
              <w:rPr/>
            </w:r>
          </w:p>
        </w:tc>
        <w:tc>
          <w:tcPr>
            <w:tcW w:w="2316" w:type="dxa"/>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Mar>
              <w:left w:w="28" w:type="dxa"/>
              <w:right w:w="28" w:type="dxa"/>
            </w:tcMar>
          </w:tcPr>
          <w:p>
            <w:pPr>
              <w:pStyle w:val="Normal"/>
              <w:jc w:val="both"/>
              <w:rPr/>
            </w:pPr>
            <w:r>
              <w:rPr/>
              <w:t>- без присоединенной аппаратуры;</w:t>
            </w:r>
          </w:p>
        </w:tc>
        <w:tc>
          <w:tcPr>
            <w:tcW w:w="1406" w:type="dxa"/>
            <w:tcBorders>
              <w:left w:val="single" w:sz="8" w:space="0" w:color="000000"/>
            </w:tcBorders>
            <w:shd w:fill="auto" w:val="clear"/>
          </w:tcPr>
          <w:p>
            <w:pPr>
              <w:pStyle w:val="Normal"/>
              <w:jc w:val="center"/>
              <w:rPr/>
            </w:pPr>
            <w:r>
              <w:rPr/>
              <w:t>2500</w:t>
            </w:r>
          </w:p>
        </w:tc>
        <w:tc>
          <w:tcPr>
            <w:tcW w:w="1582" w:type="dxa"/>
            <w:tcBorders>
              <w:left w:val="single" w:sz="8" w:space="0" w:color="000000"/>
            </w:tcBorders>
            <w:shd w:fill="auto" w:val="clear"/>
          </w:tcPr>
          <w:p>
            <w:pPr>
              <w:pStyle w:val="Normal"/>
              <w:jc w:val="center"/>
              <w:rPr/>
            </w:pPr>
            <w:r>
              <w:rPr/>
              <w:t>10</w:t>
            </w:r>
          </w:p>
        </w:tc>
        <w:tc>
          <w:tcPr>
            <w:tcW w:w="1843" w:type="dxa"/>
            <w:tcBorders>
              <w:left w:val="single" w:sz="8" w:space="0" w:color="000000"/>
            </w:tcBorders>
            <w:shd w:fill="auto" w:val="clear"/>
          </w:tcPr>
          <w:p>
            <w:pPr>
              <w:pStyle w:val="Normal"/>
              <w:jc w:val="both"/>
              <w:rPr/>
            </w:pPr>
            <w:r>
              <w:rPr/>
              <w:t>0,8 заводского испытательного напряжения токопроводов</w:t>
            </w:r>
          </w:p>
        </w:tc>
        <w:tc>
          <w:tcPr>
            <w:tcW w:w="2316" w:type="dxa"/>
            <w:tcBorders>
              <w:left w:val="single" w:sz="8" w:space="0" w:color="000000"/>
              <w:right w:val="single" w:sz="8" w:space="0" w:color="000000"/>
              <w:insideV w:val="single" w:sz="8" w:space="0" w:color="000000"/>
            </w:tcBorders>
            <w:shd w:fill="auto" w:val="clear"/>
          </w:tcPr>
          <w:p>
            <w:pPr>
              <w:pStyle w:val="Normal"/>
              <w:jc w:val="both"/>
              <w:rPr/>
            </w:pPr>
            <w:r>
              <w:rPr/>
              <w:t>Относительно «земли» между фазами</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 с присоединенной аппаратурой</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2500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обмотки ротора</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«земли» между фазами</w:t>
            </w:r>
          </w:p>
        </w:tc>
      </w:tr>
      <w:tr>
        <w:trPr/>
        <w:tc>
          <w:tcPr>
            <w:tcW w:w="2208" w:type="dxa"/>
            <w:tcBorders>
              <w:left w:val="single" w:sz="8" w:space="0" w:color="000000"/>
            </w:tcBorders>
            <w:shd w:fill="auto" w:val="clear"/>
            <w:tcMar>
              <w:left w:w="28" w:type="dxa"/>
              <w:right w:w="28" w:type="dxa"/>
            </w:tcMar>
          </w:tcPr>
          <w:p>
            <w:pPr>
              <w:pStyle w:val="Normal"/>
              <w:jc w:val="both"/>
              <w:rPr/>
            </w:pPr>
            <w:r>
              <w:rPr/>
              <w:t>11. Силовые элементы систем СТС, СТН, ВЧ (источники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w:t>
            </w:r>
          </w:p>
        </w:tc>
        <w:tc>
          <w:tcPr>
            <w:tcW w:w="1406" w:type="dxa"/>
            <w:tcBorders>
              <w:left w:val="single" w:sz="8" w:space="0" w:color="000000"/>
            </w:tcBorders>
            <w:shd w:fill="auto" w:val="clear"/>
          </w:tcPr>
          <w:p>
            <w:pPr>
              <w:pStyle w:val="Normal"/>
              <w:snapToGrid w:val="false"/>
              <w:rPr/>
            </w:pPr>
            <w:r>
              <w:rPr/>
            </w:r>
          </w:p>
        </w:tc>
        <w:tc>
          <w:tcPr>
            <w:tcW w:w="1582" w:type="dxa"/>
            <w:tcBorders>
              <w:left w:val="single" w:sz="8" w:space="0" w:color="000000"/>
            </w:tcBorders>
            <w:shd w:fill="auto" w:val="clear"/>
          </w:tcPr>
          <w:p>
            <w:pPr>
              <w:pStyle w:val="Normal"/>
              <w:snapToGrid w:val="false"/>
              <w:rPr/>
            </w:pPr>
            <w:r>
              <w:rPr/>
            </w:r>
          </w:p>
        </w:tc>
        <w:tc>
          <w:tcPr>
            <w:tcW w:w="1843" w:type="dxa"/>
            <w:tcBorders>
              <w:left w:val="single" w:sz="8" w:space="0" w:color="000000"/>
            </w:tcBorders>
            <w:shd w:fill="auto" w:val="clear"/>
          </w:tcPr>
          <w:p>
            <w:pPr>
              <w:pStyle w:val="Normal"/>
              <w:snapToGrid w:val="false"/>
              <w:rPr/>
            </w:pPr>
            <w:r>
              <w:rPr/>
            </w:r>
          </w:p>
        </w:tc>
        <w:tc>
          <w:tcPr>
            <w:tcW w:w="2316" w:type="dxa"/>
            <w:tcBorders>
              <w:left w:val="single" w:sz="8" w:space="0" w:color="000000"/>
              <w:right w:val="single" w:sz="8" w:space="0" w:color="000000"/>
              <w:insideV w:val="single" w:sz="8" w:space="0" w:color="000000"/>
            </w:tcBorders>
            <w:shd w:fill="auto" w:val="clear"/>
          </w:tcPr>
          <w:p>
            <w:pPr>
              <w:pStyle w:val="Normal"/>
              <w:snapToGrid w:val="false"/>
              <w:rPr/>
            </w:pPr>
            <w:r>
              <w:rPr/>
            </w:r>
          </w:p>
        </w:tc>
      </w:tr>
      <w:tr>
        <w:trPr/>
        <w:tc>
          <w:tcPr>
            <w:tcW w:w="2208" w:type="dxa"/>
            <w:tcBorders>
              <w:left w:val="single" w:sz="8" w:space="0" w:color="000000"/>
            </w:tcBorders>
            <w:shd w:fill="auto" w:val="clear"/>
            <w:tcMar>
              <w:left w:w="28" w:type="dxa"/>
              <w:right w:w="28" w:type="dxa"/>
            </w:tcMar>
          </w:tcPr>
          <w:p>
            <w:pPr>
              <w:pStyle w:val="Normal"/>
              <w:jc w:val="both"/>
              <w:rPr/>
            </w:pPr>
            <w:r>
              <w:rPr/>
              <w:t>системы без водяного охлаждения преобразователей и с водяным охлаждением при незаполненной водой системе охлаждения;</w:t>
            </w:r>
          </w:p>
        </w:tc>
        <w:tc>
          <w:tcPr>
            <w:tcW w:w="1406" w:type="dxa"/>
            <w:tcBorders>
              <w:left w:val="single" w:sz="8" w:space="0" w:color="000000"/>
            </w:tcBorders>
            <w:shd w:fill="auto" w:val="clear"/>
          </w:tcPr>
          <w:p>
            <w:pPr>
              <w:pStyle w:val="Normal"/>
              <w:jc w:val="center"/>
              <w:rPr/>
            </w:pPr>
            <w:r>
              <w:rPr/>
              <w:t>1000</w:t>
            </w:r>
          </w:p>
        </w:tc>
        <w:tc>
          <w:tcPr>
            <w:tcW w:w="1582" w:type="dxa"/>
            <w:tcBorders>
              <w:left w:val="single" w:sz="8" w:space="0" w:color="000000"/>
            </w:tcBorders>
            <w:shd w:fill="auto" w:val="clear"/>
          </w:tcPr>
          <w:p>
            <w:pPr>
              <w:pStyle w:val="Normal"/>
              <w:jc w:val="center"/>
              <w:rPr/>
            </w:pPr>
            <w:r>
              <w:rPr/>
              <w:t>1,0</w:t>
            </w:r>
          </w:p>
        </w:tc>
        <w:tc>
          <w:tcPr>
            <w:tcW w:w="1843" w:type="dxa"/>
            <w:tcBorders>
              <w:left w:val="single" w:sz="8" w:space="0" w:color="000000"/>
            </w:tcBorders>
            <w:shd w:fill="auto" w:val="clear"/>
            <w:vAlign w:val="center"/>
          </w:tcPr>
          <w:p>
            <w:pPr>
              <w:pStyle w:val="Normal"/>
              <w:jc w:val="center"/>
              <w:rPr/>
            </w:pPr>
            <w:r>
              <w:rPr/>
              <w:t>1,0 кВ</w:t>
            </w:r>
          </w:p>
        </w:tc>
        <w:tc>
          <w:tcPr>
            <w:tcW w:w="2316" w:type="dxa"/>
            <w:tcBorders>
              <w:left w:val="single" w:sz="8" w:space="0" w:color="000000"/>
              <w:right w:val="single" w:sz="8" w:space="0" w:color="000000"/>
              <w:insideV w:val="single" w:sz="8" w:space="0" w:color="000000"/>
            </w:tcBorders>
            <w:shd w:fill="auto" w:val="clear"/>
            <w:vAlign w:val="center"/>
          </w:tcPr>
          <w:p>
            <w:pPr>
              <w:pStyle w:val="Normal"/>
              <w:jc w:val="both"/>
              <w:rPr/>
            </w:pPr>
            <w:r>
              <w:rPr/>
              <w:t>Относительно корпуса</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 при заполненной водой (с удельным сопротивлением не менее 75 кОм·см) системе охлаждения ТП</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0,15</w:t>
            </w:r>
          </w:p>
        </w:tc>
        <w:tc>
          <w:tcPr>
            <w:tcW w:w="1843" w:type="dxa"/>
            <w:tcBorders>
              <w:left w:val="single" w:sz="8" w:space="0" w:color="000000"/>
              <w:bottom w:val="single" w:sz="8" w:space="0" w:color="000000"/>
              <w:insideH w:val="single" w:sz="8" w:space="0" w:color="000000"/>
            </w:tcBorders>
            <w:shd w:fill="auto" w:val="clear"/>
            <w:vAlign w:val="center"/>
          </w:tcPr>
          <w:p>
            <w:pPr>
              <w:pStyle w:val="Normal"/>
              <w:jc w:val="center"/>
              <w:rPr/>
            </w:pPr>
            <w:r>
              <w:rPr/>
              <w:t>1,0 кВ</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jc w:val="both"/>
              <w:rPr/>
            </w:pPr>
            <w:r>
              <w:rPr/>
              <w:t>Блоки системы управления выдвинуты</w:t>
            </w:r>
          </w:p>
        </w:tc>
      </w:tr>
      <w:tr>
        <w:trPr/>
        <w:tc>
          <w:tcPr>
            <w:tcW w:w="2208"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both"/>
              <w:rPr/>
            </w:pPr>
            <w:r>
              <w:rPr/>
              <w:t>12. Силовые цепи возбуждения генератора без обмотки ротора (после выключателя ввода возбуждения или разъединителей постоянного тока (см. п. 11); устройство АГП, разрядник, силовой резистор, шинопроводы и т.д. Цепи, подключенные к измерительным кольцам в системе БСВ (обмотка ротора отключена)</w:t>
            </w:r>
          </w:p>
        </w:tc>
        <w:tc>
          <w:tcPr>
            <w:tcW w:w="1406"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1582" w:type="dxa"/>
            <w:tcBorders>
              <w:left w:val="single" w:sz="8" w:space="0" w:color="000000"/>
              <w:bottom w:val="single" w:sz="8" w:space="0" w:color="000000"/>
              <w:insideH w:val="single" w:sz="8" w:space="0" w:color="000000"/>
            </w:tcBorders>
            <w:shd w:fill="auto" w:val="clear"/>
          </w:tcPr>
          <w:p>
            <w:pPr>
              <w:pStyle w:val="Normal"/>
              <w:jc w:val="center"/>
              <w:rPr/>
            </w:pPr>
            <w:r>
              <w:rPr/>
              <w:t>0,1</w:t>
            </w:r>
          </w:p>
        </w:tc>
        <w:tc>
          <w:tcPr>
            <w:tcW w:w="1843" w:type="dxa"/>
            <w:tcBorders>
              <w:left w:val="single" w:sz="8" w:space="0" w:color="000000"/>
              <w:bottom w:val="single" w:sz="8" w:space="0" w:color="000000"/>
              <w:insideH w:val="single" w:sz="8" w:space="0" w:color="000000"/>
            </w:tcBorders>
            <w:shd w:fill="auto" w:val="clear"/>
          </w:tcPr>
          <w:p>
            <w:pPr>
              <w:pStyle w:val="Normal"/>
              <w:jc w:val="both"/>
              <w:rPr/>
            </w:pPr>
            <w:r>
              <w:rPr/>
              <w:t>0,8 заводского испытательного напряжения ротора</w:t>
            </w:r>
          </w:p>
        </w:tc>
        <w:tc>
          <w:tcPr>
            <w:tcW w:w="231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both"/>
              <w:rPr/>
            </w:pPr>
            <w:r>
              <w:rPr/>
              <w:t>Относительно «земли»</w:t>
            </w:r>
          </w:p>
        </w:tc>
      </w:tr>
    </w:tbl>
    <w:p>
      <w:pPr>
        <w:pStyle w:val="Normal"/>
        <w:spacing w:before="120" w:after="0"/>
        <w:ind w:firstLine="284"/>
        <w:jc w:val="both"/>
        <w:rPr>
          <w:b/>
          <w:b/>
          <w:bCs/>
        </w:rPr>
      </w:pPr>
      <w:r>
        <w:br w:type="page"/>
      </w:r>
      <w:r>
        <w:rPr>
          <w:b/>
          <w:bCs/>
        </w:rPr>
        <w:t>7.3. Измерение сопротивления постоянному току обмоток трансформаторов и электрических машин в системах возбуждения.</w:t>
      </w:r>
    </w:p>
    <w:p>
      <w:pPr>
        <w:pStyle w:val="Normal"/>
        <w:ind w:firstLine="312"/>
        <w:jc w:val="both"/>
        <w:rPr/>
      </w:pPr>
      <w:r>
        <w:rP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 друг от друга более чем на 15 %, сопротивления фаз вращающихся подвозбудителей - не более чем на 10 %.</w:t>
      </w:r>
    </w:p>
    <w:p>
      <w:pPr>
        <w:pStyle w:val="Normal"/>
        <w:ind w:firstLine="283"/>
        <w:jc w:val="both"/>
        <w:rPr>
          <w:b/>
          <w:b/>
          <w:bCs/>
        </w:rPr>
      </w:pPr>
      <w:r>
        <w:rPr>
          <w:b/>
          <w:bCs/>
        </w:rPr>
        <w:t>7.4. 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pPr>
        <w:pStyle w:val="Normal"/>
        <w:ind w:firstLine="284"/>
        <w:jc w:val="both"/>
        <w:rPr/>
      </w:pPr>
      <w:r>
        <w:rPr/>
        <w:t xml:space="preserve">Проверка производится в соответствии с нормами, приведенными в 1.8.16, 1.8.17, 1.8.18.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w:t>
      </w:r>
      <w:r>
        <w:rPr>
          <w:i/>
          <w:iCs/>
        </w:rPr>
        <w:t>U</w:t>
      </w:r>
      <w:r>
        <w:rPr>
          <w:vertAlign w:val="subscript"/>
        </w:rPr>
        <w:t>2п.т.</w:t>
      </w:r>
      <w:r>
        <w:rPr/>
        <w:t xml:space="preserve"> = </w:t>
      </w:r>
      <w:r>
        <w:rPr>
          <w:i/>
          <w:iCs/>
        </w:rPr>
        <w:t>f</w:t>
      </w:r>
      <w:r>
        <w:rPr/>
        <w:t>(</w:t>
      </w:r>
      <w:r>
        <w:rPr>
          <w:i/>
          <w:iCs/>
        </w:rPr>
        <w:t>I</w:t>
      </w:r>
      <w:r>
        <w:rPr>
          <w:vertAlign w:val="subscript"/>
        </w:rPr>
        <w:t>ст</w:t>
      </w:r>
      <w:r>
        <w:rPr/>
        <w:t>).</w:t>
      </w:r>
    </w:p>
    <w:p>
      <w:pPr>
        <w:pStyle w:val="Normal"/>
        <w:ind w:firstLine="284"/>
        <w:jc w:val="both"/>
        <w:rPr/>
      </w:pPr>
      <w:r>
        <w:rPr/>
        <w:t xml:space="preserve">Характеристика </w:t>
      </w:r>
      <w:r>
        <w:rPr>
          <w:i/>
          <w:iCs/>
        </w:rPr>
        <w:t>U</w:t>
      </w:r>
      <w:r>
        <w:rPr>
          <w:vertAlign w:val="subscript"/>
        </w:rPr>
        <w:t>2п.т.</w:t>
      </w:r>
      <w:r>
        <w:rPr/>
        <w:t xml:space="preserve"> = </w:t>
      </w:r>
      <w:r>
        <w:rPr>
          <w:i/>
          <w:iCs/>
        </w:rPr>
        <w:t>f</w:t>
      </w:r>
      <w:r>
        <w:rPr/>
        <w:t>(</w:t>
      </w:r>
      <w:r>
        <w:rPr>
          <w:i/>
          <w:iCs/>
        </w:rPr>
        <w:t>I</w:t>
      </w:r>
      <w:r>
        <w:rPr>
          <w:vertAlign w:val="subscript"/>
        </w:rPr>
        <w:t>ст</w:t>
      </w:r>
      <w:r>
        <w:rPr/>
        <w:t xml:space="preserve">) определяется при снятии характеристик трехфазного короткого замыкания генератора (блока) до </w:t>
      </w:r>
      <w:r>
        <w:rPr>
          <w:i/>
          <w:iCs/>
        </w:rPr>
        <w:t>I</w:t>
      </w:r>
      <w:r>
        <w:rPr>
          <w:vertAlign w:val="subscript"/>
        </w:rPr>
        <w:t>ст.ном</w:t>
      </w:r>
      <w:r>
        <w:rPr/>
        <w:t>. Характеристики отдельных фаз (при однофазных последовательных трансформаторах) не должны различаться между собой более чем на 5 %.</w:t>
      </w:r>
    </w:p>
    <w:p>
      <w:pPr>
        <w:pStyle w:val="Normal"/>
        <w:ind w:firstLine="283"/>
        <w:jc w:val="both"/>
        <w:rPr>
          <w:b/>
          <w:b/>
          <w:bCs/>
        </w:rPr>
      </w:pPr>
      <w:r>
        <w:rPr>
          <w:b/>
          <w:bCs/>
        </w:rPr>
        <w:t>7.5. Определение характеристики вспомогательного синхронного генератора промышленной частоты в системах СТН.</w:t>
      </w:r>
    </w:p>
    <w:p>
      <w:pPr>
        <w:pStyle w:val="Normal"/>
        <w:ind w:firstLine="284"/>
        <w:jc w:val="both"/>
        <w:rPr/>
      </w:pPr>
      <w:r>
        <w:rPr/>
        <w:t xml:space="preserve">Вспомогательный генератор (ВГ) проверяется в соответствии с п. 8 данного параграфа. Характеристика короткого замыкания ВГ определяется до </w:t>
      </w:r>
      <w:r>
        <w:rPr>
          <w:i/>
          <w:iCs/>
        </w:rPr>
        <w:t>I</w:t>
      </w:r>
      <w:r>
        <w:rPr>
          <w:vertAlign w:val="subscript"/>
        </w:rPr>
        <w:t>ст.ном</w:t>
      </w:r>
      <w:r>
        <w:rPr/>
        <w:t>, а характеристика холостого хода до 1,3</w:t>
      </w:r>
      <w:r>
        <w:rPr>
          <w:i/>
          <w:iCs/>
        </w:rPr>
        <w:t>U</w:t>
      </w:r>
      <w:r>
        <w:rPr>
          <w:vertAlign w:val="subscript"/>
        </w:rPr>
        <w:t>ст.ном</w:t>
      </w:r>
      <w:r>
        <w:rPr/>
        <w:t xml:space="preserve"> с проверкой витковой изоляции в течение 5 мин.</w:t>
      </w:r>
    </w:p>
    <w:p>
      <w:pPr>
        <w:pStyle w:val="Normal"/>
        <w:ind w:firstLine="283"/>
        <w:jc w:val="both"/>
        <w:rPr>
          <w:b/>
          <w:b/>
          <w:bCs/>
        </w:rPr>
      </w:pPr>
      <w:r>
        <w:rPr>
          <w:b/>
          <w:bCs/>
        </w:rPr>
        <w:t>7.6. Определение характеристики индукторного генератора совместно с выпрямительной установкой в системе ВЧ возбуждения.</w:t>
      </w:r>
    </w:p>
    <w:p>
      <w:pPr>
        <w:pStyle w:val="Normal"/>
        <w:ind w:firstLine="283"/>
        <w:jc w:val="both"/>
        <w:rPr/>
      </w:pPr>
      <w:r>
        <w:rPr/>
        <w:t>Производится при отключенной обмотке последовательного возбуждения.</w:t>
      </w:r>
    </w:p>
    <w:p>
      <w:pPr>
        <w:pStyle w:val="Normal"/>
        <w:jc w:val="both"/>
        <w:rPr/>
      </w:pPr>
      <w:r>
        <w:rPr/>
        <w:t>Характеристика холостого хода индукторного генератора совместно с выпрямительной установкой (ВУ) [</w:t>
      </w:r>
      <w:r>
        <w:rPr>
          <w:i/>
          <w:iCs/>
        </w:rPr>
        <w:t>U</w:t>
      </w:r>
      <w:r>
        <w:rPr>
          <w:vertAlign w:val="subscript"/>
        </w:rPr>
        <w:t>ст</w:t>
      </w:r>
      <w:r>
        <w:rPr/>
        <w:t xml:space="preserve">, </w:t>
      </w:r>
      <w:r>
        <w:rPr>
          <w:i/>
          <w:iCs/>
        </w:rPr>
        <w:t>U</w:t>
      </w:r>
      <w:r>
        <w:rPr>
          <w:vertAlign w:val="subscript"/>
        </w:rPr>
        <w:t>ву</w:t>
      </w:r>
      <w:r>
        <w:rPr/>
        <w:t xml:space="preserve"> = </w:t>
      </w:r>
      <w:r>
        <w:rPr>
          <w:i/>
          <w:iCs/>
        </w:rPr>
        <w:t>f</w:t>
      </w:r>
      <w:r>
        <w:rPr/>
        <w:t>(</w:t>
      </w:r>
      <w:r>
        <w:rPr>
          <w:i/>
          <w:iCs/>
        </w:rPr>
        <w:t>I</w:t>
      </w:r>
      <w:r>
        <w:rPr>
          <w:vertAlign w:val="subscript"/>
        </w:rPr>
        <w:t>н.в.</w:t>
      </w:r>
      <w:r>
        <w:rPr/>
        <w:t xml:space="preserve">), где </w:t>
      </w:r>
      <w:r>
        <w:rPr>
          <w:i/>
          <w:iCs/>
        </w:rPr>
        <w:t>I</w:t>
      </w:r>
      <w:r>
        <w:rPr>
          <w:vertAlign w:val="subscript"/>
        </w:rPr>
        <w:t>н.в.</w:t>
      </w:r>
      <w:r>
        <w:rPr/>
        <w:t xml:space="preserve"> - ток в обмотке независимого возбуждения], определяемая до значения </w:t>
      </w:r>
      <w:r>
        <w:rPr>
          <w:i/>
          <w:iCs/>
        </w:rPr>
        <w:t>U</w:t>
      </w:r>
      <w:r>
        <w:rPr>
          <w:vertAlign w:val="subscript"/>
        </w:rPr>
        <w:t>ву</w:t>
      </w:r>
      <w:r>
        <w:rPr/>
        <w:t>, соответствующего удвоенному номинальному значению 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pPr>
        <w:pStyle w:val="Normal"/>
        <w:ind w:firstLine="312"/>
        <w:jc w:val="both"/>
        <w:rPr/>
      </w:pPr>
      <w:r>
        <w:rPr/>
        <w:t xml:space="preserve">Характеристика короткого замыкания индукторного генератора совместно с ВУ также не должна отличаться от заводской более чем на 5 %. При выпрямленном токе, соответствующем номинальному току ротора, разброс токов по параллельным ветвям в плечах ВУ не должен превышать ±20 % среднего значения. Определяется также нагрузочная характеристика при работе на ротор до </w:t>
      </w:r>
      <w:r>
        <w:rPr>
          <w:i/>
          <w:iCs/>
        </w:rPr>
        <w:t>I</w:t>
      </w:r>
      <w:r>
        <w:rPr>
          <w:vertAlign w:val="subscript"/>
        </w:rPr>
        <w:t>рхх</w:t>
      </w:r>
      <w:r>
        <w:rPr/>
        <w:t xml:space="preserve"> [</w:t>
      </w:r>
      <w:r>
        <w:rPr>
          <w:i/>
          <w:iCs/>
        </w:rPr>
        <w:t>I</w:t>
      </w:r>
      <w:r>
        <w:rPr>
          <w:vertAlign w:val="subscript"/>
        </w:rPr>
        <w:t>р</w:t>
      </w:r>
      <w:r>
        <w:rPr/>
        <w:t xml:space="preserve"> = </w:t>
      </w:r>
      <w:r>
        <w:rPr>
          <w:i/>
          <w:iCs/>
        </w:rPr>
        <w:t>f</w:t>
      </w:r>
      <w:r>
        <w:rPr/>
        <w:t>(</w:t>
      </w:r>
      <w:r>
        <w:rPr>
          <w:i/>
          <w:iCs/>
        </w:rPr>
        <w:t>I</w:t>
      </w:r>
      <w:r>
        <w:rPr>
          <w:vertAlign w:val="subscript"/>
        </w:rPr>
        <w:t>в.в.</w:t>
      </w:r>
      <w:r>
        <w:rPr/>
        <w:t xml:space="preserve">)], где </w:t>
      </w:r>
      <w:r>
        <w:rPr>
          <w:i/>
          <w:iCs/>
        </w:rPr>
        <w:t>I</w:t>
      </w:r>
      <w:r>
        <w:rPr>
          <w:vertAlign w:val="subscript"/>
        </w:rPr>
        <w:t>в.в.</w:t>
      </w:r>
      <w:r>
        <w:rPr/>
        <w:t xml:space="preserve"> - ток возбуждения возбудителя.</w:t>
      </w:r>
    </w:p>
    <w:p>
      <w:pPr>
        <w:pStyle w:val="Normal"/>
        <w:ind w:firstLine="283"/>
        <w:jc w:val="both"/>
        <w:rPr>
          <w:b/>
          <w:b/>
          <w:bCs/>
        </w:rPr>
      </w:pPr>
      <w:r>
        <w:rPr>
          <w:b/>
          <w:bCs/>
        </w:rPr>
        <w:t>7.7. Определение внешней характеристики вращающегося подвозбудителя в системах ВЧ возбуждения.</w:t>
      </w:r>
    </w:p>
    <w:p>
      <w:pPr>
        <w:pStyle w:val="Normal"/>
        <w:ind w:firstLine="283"/>
        <w:jc w:val="both"/>
        <w:rPr/>
      </w:pPr>
      <w:r>
        <w:rPr/>
        <w:t>При изменении нагрузки на подвозбудитель (нагрузкой 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pPr>
        <w:pStyle w:val="Normal"/>
        <w:ind w:firstLine="283"/>
        <w:jc w:val="both"/>
        <w:rPr>
          <w:b/>
          <w:b/>
          <w:bCs/>
        </w:rPr>
      </w:pPr>
      <w:r>
        <w:rPr>
          <w:b/>
          <w:bCs/>
        </w:rPr>
        <w:t>7.8. Проверка элементов обращенного синхронного генератора, вращающегося преобразователя в системе БСВ.</w:t>
      </w:r>
    </w:p>
    <w:p>
      <w:pPr>
        <w:pStyle w:val="Normal"/>
        <w:ind w:firstLine="283"/>
        <w:jc w:val="both"/>
        <w:rPr/>
      </w:pPr>
      <w:r>
        <w:rP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предохранителями (при их наличии); соединения вентилей с предохранителями; сопротивление самих предохранителей вращающегося преобразователя. Результаты измерения сравниваются с заводскими нормами.</w:t>
      </w:r>
    </w:p>
    <w:p>
      <w:pPr>
        <w:pStyle w:val="Normal"/>
        <w:ind w:firstLine="283"/>
        <w:jc w:val="both"/>
        <w:rPr/>
      </w:pPr>
      <w:r>
        <w:rPr/>
        <w:t xml:space="preserve">Проверяются усилия затяжки вентилей, предохранителей </w:t>
      </w:r>
      <w:r>
        <w:rPr>
          <w:i/>
          <w:iCs/>
        </w:rPr>
        <w:t>RC</w:t>
      </w:r>
      <w:r>
        <w:rPr/>
        <w:t>-цепей, варисторов и т.д. в соответствии с заводскими нормами.</w:t>
      </w:r>
    </w:p>
    <w:p>
      <w:pPr>
        <w:pStyle w:val="Normal"/>
        <w:ind w:firstLine="283"/>
        <w:jc w:val="both"/>
        <w:rPr/>
      </w:pPr>
      <w:r>
        <w:rPr/>
        <w:t xml:space="preserve">Измеряются обратные токи вентилей вращающегося преобразователя в полной схеме с </w:t>
      </w:r>
      <w:r>
        <w:rPr>
          <w:i/>
          <w:iCs/>
        </w:rPr>
        <w:t>RC</w:t>
      </w:r>
      <w:r>
        <w:rPr/>
        <w:t>-цепями (либо варисторами) при напряжении, равном повторяющемуся для данного класса. Токи не должны превышать значения, указанные в заводских инструкциях на системы возбуждения.</w:t>
      </w:r>
    </w:p>
    <w:p>
      <w:pPr>
        <w:pStyle w:val="Normal"/>
        <w:ind w:firstLine="283"/>
        <w:jc w:val="both"/>
        <w:rPr>
          <w:b/>
          <w:b/>
          <w:bCs/>
        </w:rPr>
      </w:pPr>
      <w:r>
        <w:rPr>
          <w:b/>
          <w:bCs/>
        </w:rPr>
        <w:t>7.9. Определение характеристик обращенного генератора и вращающегося выпрямителя в режимах трехфазного короткого замыкания генератора (блока).</w:t>
      </w:r>
    </w:p>
    <w:p>
      <w:pPr>
        <w:pStyle w:val="Normal"/>
        <w:ind w:firstLine="284"/>
        <w:jc w:val="both"/>
        <w:rPr/>
      </w:pPr>
      <w:r>
        <w:rPr/>
        <w:t xml:space="preserve">Измеряются ток статора </w:t>
      </w:r>
      <w:r>
        <w:rPr>
          <w:i/>
          <w:iCs/>
        </w:rPr>
        <w:t>I</w:t>
      </w:r>
      <w:r>
        <w:rPr>
          <w:vertAlign w:val="subscript"/>
        </w:rPr>
        <w:t>ст</w:t>
      </w:r>
      <w:r>
        <w:rPr/>
        <w:t xml:space="preserve">, ток возбуждения возбудителя </w:t>
      </w:r>
      <w:r>
        <w:rPr>
          <w:i/>
          <w:iCs/>
        </w:rPr>
        <w:t>I</w:t>
      </w:r>
      <w:r>
        <w:rPr>
          <w:vertAlign w:val="subscript"/>
        </w:rPr>
        <w:t>в.в.</w:t>
      </w:r>
      <w:r>
        <w:rPr/>
        <w:t xml:space="preserve">, напряжение ротора </w:t>
      </w:r>
      <w:r>
        <w:rPr>
          <w:i/>
          <w:iCs/>
        </w:rPr>
        <w:t>U</w:t>
      </w:r>
      <w:r>
        <w:rPr>
          <w:vertAlign w:val="subscript"/>
        </w:rPr>
        <w:t>р</w:t>
      </w:r>
      <w:r>
        <w:rPr/>
        <w:t xml:space="preserve">, определяется соответствие характеристик возбудителя </w:t>
      </w:r>
      <w:r>
        <w:rPr>
          <w:i/>
          <w:iCs/>
        </w:rPr>
        <w:t>U</w:t>
      </w:r>
      <w:r>
        <w:rPr>
          <w:vertAlign w:val="subscript"/>
        </w:rPr>
        <w:t>р</w:t>
      </w:r>
      <w:r>
        <w:rPr/>
        <w:t xml:space="preserve"> = </w:t>
      </w:r>
      <w:r>
        <w:rPr>
          <w:i/>
          <w:iCs/>
        </w:rPr>
        <w:t>f</w:t>
      </w:r>
      <w:r>
        <w:rPr/>
        <w:t>(</w:t>
      </w:r>
      <w:r>
        <w:rPr>
          <w:i/>
          <w:iCs/>
        </w:rPr>
        <w:t>I</w:t>
      </w:r>
      <w:r>
        <w:rPr>
          <w:vertAlign w:val="subscript"/>
        </w:rPr>
        <w:t>в.в.</w:t>
      </w:r>
      <w:r>
        <w:rPr/>
        <w:t xml:space="preserve">) заводским. По измеренным токам статора и заводской характеристике короткого замыкания генератора </w:t>
      </w:r>
      <w:r>
        <w:rPr>
          <w:i/>
          <w:iCs/>
        </w:rPr>
        <w:t>I</w:t>
      </w:r>
      <w:r>
        <w:rPr>
          <w:vertAlign w:val="subscript"/>
        </w:rPr>
        <w:t>ст</w:t>
      </w:r>
      <w:r>
        <w:rPr/>
        <w:t xml:space="preserve"> = </w:t>
      </w:r>
      <w:r>
        <w:rPr>
          <w:i/>
          <w:iCs/>
        </w:rPr>
        <w:t>f</w:t>
      </w:r>
      <w:r>
        <w:rPr/>
        <w:t>(</w:t>
      </w:r>
      <w:r>
        <w:rPr>
          <w:i/>
          <w:iCs/>
        </w:rPr>
        <w:t>I</w:t>
      </w:r>
      <w:r>
        <w:rPr>
          <w:vertAlign w:val="subscript"/>
        </w:rPr>
        <w:t>р</w:t>
      </w:r>
      <w:r>
        <w:rPr/>
        <w:t>) определяется правильность настройки датчиков тока ротора. Отклонение измеренного с помощью датчика типа ДТР-П тока ротора (тока выхода БСВ) не должно превышать 10 % расчетного значения тока ротора.</w:t>
      </w:r>
    </w:p>
    <w:p>
      <w:pPr>
        <w:pStyle w:val="Normal"/>
        <w:ind w:firstLine="283"/>
        <w:jc w:val="both"/>
        <w:rPr>
          <w:b/>
          <w:b/>
          <w:bCs/>
        </w:rPr>
      </w:pPr>
      <w:r>
        <w:rPr>
          <w:b/>
          <w:bCs/>
        </w:rPr>
        <w:t>7.10. Проверка тиристорных преобразователей систем СТС, СТН, БСВ.</w:t>
      </w:r>
    </w:p>
    <w:p>
      <w:pPr>
        <w:pStyle w:val="Normal"/>
        <w:ind w:firstLine="283"/>
        <w:jc w:val="both"/>
        <w:rPr/>
      </w:pPr>
      <w:r>
        <w:rPr/>
        <w:t>Измерение сопротивления изоляции и испытание повышенным напряжением производятся в соответствии с табл. 1.8.5.</w:t>
      </w:r>
    </w:p>
    <w:p>
      <w:pPr>
        <w:pStyle w:val="Normal"/>
        <w:ind w:firstLine="283"/>
        <w:jc w:val="both"/>
        <w:rPr/>
      </w:pPr>
      <w:r>
        <w:rPr/>
        <w:t>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 завода-изготовителя на каждый тип преобразователя. Выполняется повторная проверка изоляции ТП после заполнения дисциллятом (см. табл. 1.8.3).</w:t>
      </w:r>
    </w:p>
    <w:p>
      <w:pPr>
        <w:pStyle w:val="Normal"/>
        <w:ind w:firstLine="283"/>
        <w:jc w:val="both"/>
        <w:rPr/>
      </w:pPr>
      <w:r>
        <w:rPr/>
        <w:t xml:space="preserve">Проверяется отсутствие пробитых тиристоров, поврежденных </w:t>
      </w:r>
      <w:r>
        <w:rPr>
          <w:i/>
          <w:iCs/>
        </w:rPr>
        <w:t>RC</w:t>
      </w:r>
      <w:r>
        <w:rPr/>
        <w:t>-цепей. Проверка выполняется с помощью омметра.</w:t>
      </w:r>
    </w:p>
    <w:p>
      <w:pPr>
        <w:pStyle w:val="Normal"/>
        <w:ind w:firstLine="283"/>
        <w:jc w:val="both"/>
        <w:rPr/>
      </w:pPr>
      <w:r>
        <w:rPr/>
        <w:t>Проверяется целостность параллельных цепей плавкой вставки каждого силового предохранителя путем измерения сопротивления постоянному току.</w:t>
      </w:r>
    </w:p>
    <w:p>
      <w:pPr>
        <w:pStyle w:val="Normal"/>
        <w:ind w:firstLine="283"/>
        <w:jc w:val="both"/>
        <w:rPr/>
      </w:pPr>
      <w:r>
        <w:rPr/>
        <w:t>Проверяется состояние системы управления тиристоров, диапазон регулирования выпрямленного напряжения при воздействии на систему управления тиристоров.</w:t>
      </w:r>
    </w:p>
    <w:p>
      <w:pPr>
        <w:pStyle w:val="Normal"/>
        <w:ind w:firstLine="283"/>
        <w:jc w:val="both"/>
        <w:rPr/>
      </w:pPr>
      <w:r>
        <w:rPr/>
        <w:t>Проверяется ТП при работе генератора в номинальном режиме с номинальным током ротора. Проверка выполняется в следующем объеме:</w:t>
      </w:r>
    </w:p>
    <w:p>
      <w:pPr>
        <w:pStyle w:val="Normal"/>
        <w:ind w:firstLine="283"/>
        <w:jc w:val="both"/>
        <w:rPr/>
      </w:pPr>
      <w:r>
        <w:rPr/>
        <w:t>- распределение токов между параллельными ветвями плеч преобразователей; отклонение значений токов в ветвях от среднеарифметического значения тока ветви должно быть не более 10 %;</w:t>
      </w:r>
    </w:p>
    <w:p>
      <w:pPr>
        <w:pStyle w:val="Normal"/>
        <w:ind w:firstLine="283"/>
        <w:jc w:val="both"/>
        <w:rPr/>
      </w:pPr>
      <w:r>
        <w:rPr/>
        <w:t>- 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среднего на тиристоре ветви должно быть не более ±20 %;</w:t>
      </w:r>
    </w:p>
    <w:p>
      <w:pPr>
        <w:pStyle w:val="Normal"/>
        <w:ind w:firstLine="283"/>
        <w:jc w:val="both"/>
        <w:rPr/>
      </w:pPr>
      <w:r>
        <w:rPr/>
        <w:t>- 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pPr>
        <w:pStyle w:val="Normal"/>
        <w:ind w:firstLine="283"/>
        <w:jc w:val="both"/>
        <w:rPr/>
      </w:pPr>
      <w:r>
        <w:rPr/>
        <w:t>- распределение тока в ветвях одноименных плеч параллельно включенных ТП; отклонение от среднего расчетного значения тока ветви одноименных плеч не должно быть более ±20 %.</w:t>
      </w:r>
    </w:p>
    <w:p>
      <w:pPr>
        <w:pStyle w:val="Normal"/>
        <w:ind w:firstLine="283"/>
        <w:jc w:val="both"/>
        <w:rPr>
          <w:b/>
          <w:b/>
          <w:bCs/>
        </w:rPr>
      </w:pPr>
      <w:r>
        <w:rPr>
          <w:b/>
          <w:bCs/>
        </w:rPr>
        <w:t>7.11. Проверка выпрямительной диодной установки в системе ВЧ возбуждения.</w:t>
      </w:r>
    </w:p>
    <w:p>
      <w:pPr>
        <w:pStyle w:val="Normal"/>
        <w:ind w:firstLine="283"/>
        <w:jc w:val="both"/>
        <w:rPr/>
      </w:pPr>
      <w:r>
        <w:rPr/>
        <w:t>Производится при работе генератора в номинальном режиме с номинальным током ротора. При проверке определяется:</w:t>
      </w:r>
    </w:p>
    <w:p>
      <w:pPr>
        <w:pStyle w:val="Normal"/>
        <w:ind w:firstLine="283"/>
        <w:jc w:val="both"/>
        <w:rPr/>
      </w:pPr>
      <w:r>
        <w:rPr/>
        <w:t>- распределение тока между параллельными ветвями плеч; отклонение от среднего значения должно быть не более ±20 %;</w:t>
      </w:r>
    </w:p>
    <w:p>
      <w:pPr>
        <w:pStyle w:val="Normal"/>
        <w:ind w:firstLine="283"/>
        <w:jc w:val="both"/>
        <w:rPr/>
      </w:pPr>
      <w:r>
        <w:rPr/>
        <w:t>- распределение обратных напряжений по последовательно включенным вентилям; отклонение от среднего значения должно быть не более ±20 %.</w:t>
      </w:r>
    </w:p>
    <w:p>
      <w:pPr>
        <w:pStyle w:val="Normal"/>
        <w:ind w:firstLine="283"/>
        <w:jc w:val="both"/>
        <w:rPr>
          <w:b/>
          <w:b/>
          <w:bCs/>
        </w:rPr>
      </w:pPr>
      <w:r>
        <w:rPr>
          <w:b/>
          <w:bCs/>
        </w:rPr>
        <w:t>7.12. Проверка коммутационной аппаратуры, силовых резисторов, аппаратуры собственных нужд систем возбуждения.</w:t>
      </w:r>
    </w:p>
    <w:p>
      <w:pPr>
        <w:pStyle w:val="Normal"/>
        <w:ind w:firstLine="283"/>
        <w:jc w:val="both"/>
        <w:rPr/>
      </w:pPr>
      <w:r>
        <w:rPr/>
        <w:t>Проверка производится в соответствии с указаниями завода-изготовителя и 1.8.34</w:t>
      </w:r>
      <w:r>
        <w:rPr>
          <w:color w:val="000000"/>
        </w:rPr>
        <w:t>.</w:t>
      </w:r>
    </w:p>
    <w:p>
      <w:pPr>
        <w:pStyle w:val="Normal"/>
        <w:ind w:firstLine="283"/>
        <w:jc w:val="both"/>
        <w:rPr>
          <w:b/>
          <w:b/>
          <w:bCs/>
        </w:rPr>
      </w:pPr>
      <w:r>
        <w:rPr>
          <w:b/>
          <w:bCs/>
        </w:rPr>
        <w:t>7.13. Измерение температуры силовых резисторов, диодов, предохранителей, шин и других элементов преобразователей и шкафов, в которых они расположены.</w:t>
      </w:r>
    </w:p>
    <w:p>
      <w:pPr>
        <w:pStyle w:val="Normal"/>
        <w:ind w:firstLine="283"/>
        <w:jc w:val="both"/>
        <w:rPr/>
      </w:pPr>
      <w:r>
        <w:rPr/>
        <w:t>Измерения выполняются после включения систем возбуждения под нагрузку. Температуры элементов не должны превышать значений, указанных в инструкциях заводов-изготовителей. При проверке рекомендуется применение тепловизоров, допускается использование пирометров.</w:t>
      </w:r>
    </w:p>
    <w:p>
      <w:pPr>
        <w:pStyle w:val="Normal"/>
        <w:ind w:firstLine="283"/>
        <w:jc w:val="both"/>
        <w:rPr>
          <w:b/>
          <w:b/>
          <w:bCs/>
        </w:rPr>
      </w:pPr>
      <w:r>
        <w:rPr>
          <w:b/>
          <w:bCs/>
        </w:rPr>
        <w:t>8. Определение характеристик генератора:</w:t>
      </w:r>
    </w:p>
    <w:p>
      <w:pPr>
        <w:pStyle w:val="Normal"/>
        <w:ind w:firstLine="283"/>
        <w:jc w:val="both"/>
        <w:rPr/>
      </w:pPr>
      <w:r>
        <w:rPr/>
        <w:t>а) трехфазного КЗ. Характеристика снимается при изменении тока статора до номинального. Отклонения от заводской характеристики должны находиться в пределах погрешности измерения.</w:t>
      </w:r>
    </w:p>
    <w:p>
      <w:pPr>
        <w:pStyle w:val="Normal"/>
        <w:ind w:firstLine="283"/>
        <w:jc w:val="both"/>
        <w:rPr/>
      </w:pPr>
      <w:r>
        <w:rPr/>
        <w:t>Снижение измеренной характеристики, которое превышает погрешность измерения, свидетельствует о наличии витковых замыканий в обмотке ротора.</w:t>
      </w:r>
    </w:p>
    <w:p>
      <w:pPr>
        <w:pStyle w:val="Normal"/>
        <w:ind w:firstLine="283"/>
        <w:jc w:val="both"/>
        <w:rPr/>
      </w:pPr>
      <w:r>
        <w:rP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pPr>
        <w:pStyle w:val="Normal"/>
        <w:ind w:firstLine="283"/>
        <w:jc w:val="both"/>
        <w:rPr/>
      </w:pPr>
      <w:r>
        <w:rP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pPr>
        <w:pStyle w:val="Normal"/>
        <w:ind w:firstLine="283"/>
        <w:jc w:val="both"/>
        <w:rPr/>
      </w:pPr>
      <w:r>
        <w:rPr/>
        <w:t>б)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pPr>
        <w:pStyle w:val="Normal"/>
        <w:ind w:firstLine="283"/>
        <w:jc w:val="both"/>
        <w:rPr>
          <w:b/>
          <w:b/>
          <w:bCs/>
        </w:rPr>
      </w:pPr>
      <w:r>
        <w:rPr>
          <w:b/>
          <w:bCs/>
        </w:rPr>
        <w:t>9. Испытание междувитковой изоляции.</w:t>
      </w:r>
    </w:p>
    <w:p>
      <w:pPr>
        <w:pStyle w:val="Normal"/>
        <w:ind w:firstLine="283"/>
        <w:jc w:val="both"/>
        <w:rPr/>
      </w:pPr>
      <w:r>
        <w:rPr/>
        <w:t>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 см. указания п. 9. При этом следует проверить симметрию напряжений по фазам. Продолжительность испытания при наибольшем напряжении - 5 мин.</w:t>
      </w:r>
    </w:p>
    <w:p>
      <w:pPr>
        <w:pStyle w:val="Normal"/>
        <w:ind w:firstLine="283"/>
        <w:jc w:val="both"/>
        <w:rPr/>
      </w:pPr>
      <w:r>
        <w:rPr/>
        <w:t>Испытание междувитковой изоляции рекомендуется производить одновременно со снятием характеристики холостого хода.</w:t>
      </w:r>
    </w:p>
    <w:p>
      <w:pPr>
        <w:pStyle w:val="Normal"/>
        <w:ind w:firstLine="283"/>
        <w:jc w:val="both"/>
        <w:rPr/>
      </w:pPr>
      <w:r>
        <w:rPr/>
        <w:t>10. Измерение вибрации.</w:t>
      </w:r>
    </w:p>
    <w:p>
      <w:pPr>
        <w:pStyle w:val="Normal"/>
        <w:ind w:firstLine="283"/>
        <w:jc w:val="both"/>
        <w:rPr/>
      </w:pPr>
      <w:r>
        <w:rPr/>
        <w:t>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 1.8.6.</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6</w:t>
      </w:r>
    </w:p>
    <w:p>
      <w:pPr>
        <w:pStyle w:val="Normal"/>
        <w:spacing w:before="0" w:after="120"/>
        <w:jc w:val="center"/>
        <w:rPr/>
      </w:pPr>
      <w:r>
        <w:rPr>
          <w:b/>
          <w:bCs/>
          <w:i/>
          <w:iCs/>
        </w:rPr>
        <w:t>Предельные</w:t>
      </w:r>
      <w:r>
        <w:rPr>
          <w:b/>
          <w:bCs/>
        </w:rPr>
        <w:t xml:space="preserve"> </w:t>
      </w:r>
      <w:r>
        <w:rPr>
          <w:b/>
          <w:bCs/>
          <w:i/>
          <w:iCs/>
        </w:rPr>
        <w:t>значения</w:t>
      </w:r>
      <w:r>
        <w:rPr>
          <w:b/>
          <w:bCs/>
        </w:rPr>
        <w:t xml:space="preserve"> </w:t>
      </w:r>
      <w:r>
        <w:rPr>
          <w:b/>
          <w:bCs/>
          <w:i/>
          <w:iCs/>
        </w:rPr>
        <w:t>вибрации</w:t>
      </w:r>
      <w:r>
        <w:rPr>
          <w:b/>
          <w:bCs/>
        </w:rPr>
        <w:t xml:space="preserve"> </w:t>
      </w:r>
      <w:r>
        <w:rPr>
          <w:b/>
          <w:bCs/>
          <w:i/>
          <w:iCs/>
        </w:rPr>
        <w:t>генераторов</w:t>
      </w:r>
      <w:r>
        <w:rPr>
          <w:b/>
          <w:bCs/>
        </w:rPr>
        <w:t xml:space="preserve"> </w:t>
      </w:r>
      <w:r>
        <w:rPr>
          <w:b/>
          <w:bCs/>
          <w:i/>
          <w:iCs/>
        </w:rPr>
        <w:t>и</w:t>
      </w:r>
      <w:r>
        <w:rPr>
          <w:b/>
          <w:bCs/>
        </w:rPr>
        <w:t xml:space="preserve"> </w:t>
      </w:r>
      <w:r>
        <w:rPr>
          <w:b/>
          <w:bCs/>
          <w:i/>
          <w:iCs/>
        </w:rPr>
        <w:t>их</w:t>
      </w:r>
      <w:r>
        <w:rPr>
          <w:b/>
          <w:bCs/>
        </w:rPr>
        <w:t xml:space="preserve"> </w:t>
      </w:r>
      <w:r>
        <w:rPr>
          <w:b/>
          <w:bCs/>
          <w:i/>
          <w:iCs/>
        </w:rPr>
        <w:t>возбудителей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74"/>
        <w:gridCol w:w="623"/>
        <w:gridCol w:w="771"/>
        <w:gridCol w:w="773"/>
        <w:gridCol w:w="690"/>
        <w:gridCol w:w="613"/>
        <w:gridCol w:w="611"/>
        <w:gridCol w:w="3400"/>
      </w:tblGrid>
      <w:tr>
        <w:trPr>
          <w:tblHeader w:val="true"/>
        </w:trPr>
        <w:tc>
          <w:tcPr>
            <w:tcW w:w="1874"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Контролируемый узел</w:t>
            </w:r>
          </w:p>
        </w:tc>
        <w:tc>
          <w:tcPr>
            <w:tcW w:w="4081" w:type="dxa"/>
            <w:gridSpan w:val="6"/>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Вибрация, мкм, при частоте вращения ротора, об/мин</w:t>
            </w:r>
          </w:p>
        </w:tc>
        <w:tc>
          <w:tcPr>
            <w:tcW w:w="3400" w:type="dxa"/>
            <w:vMerge w:val="restart"/>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Примечание</w:t>
            </w:r>
          </w:p>
        </w:tc>
      </w:tr>
      <w:tr>
        <w:trPr>
          <w:tblHeader w:val="true"/>
        </w:trPr>
        <w:tc>
          <w:tcPr>
            <w:tcW w:w="1874"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623" w:type="dxa"/>
            <w:tcBorders>
              <w:left w:val="single" w:sz="8" w:space="0" w:color="000000"/>
              <w:bottom w:val="single" w:sz="8" w:space="0" w:color="000000"/>
              <w:insideH w:val="single" w:sz="8" w:space="0" w:color="000000"/>
            </w:tcBorders>
            <w:shd w:fill="auto" w:val="clear"/>
            <w:vAlign w:val="center"/>
          </w:tcPr>
          <w:p>
            <w:pPr>
              <w:pStyle w:val="Normal"/>
              <w:jc w:val="center"/>
              <w:rPr/>
            </w:pPr>
            <w:r>
              <w:rPr/>
              <w:t>до 100</w:t>
            </w:r>
          </w:p>
        </w:tc>
        <w:tc>
          <w:tcPr>
            <w:tcW w:w="77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от 100 до 187,5</w:t>
            </w:r>
          </w:p>
        </w:tc>
        <w:tc>
          <w:tcPr>
            <w:tcW w:w="77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от 187,5 до 375</w:t>
            </w:r>
          </w:p>
        </w:tc>
        <w:tc>
          <w:tcPr>
            <w:tcW w:w="690"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от 375 до 750</w:t>
            </w:r>
          </w:p>
        </w:tc>
        <w:tc>
          <w:tcPr>
            <w:tcW w:w="61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1500</w:t>
            </w:r>
          </w:p>
        </w:tc>
        <w:tc>
          <w:tcPr>
            <w:tcW w:w="61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3000</w:t>
            </w:r>
          </w:p>
        </w:tc>
        <w:tc>
          <w:tcPr>
            <w:tcW w:w="3400" w:type="dxa"/>
            <w:vMerge w:val="continue"/>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1874" w:type="dxa"/>
            <w:tcBorders>
              <w:left w:val="single" w:sz="8" w:space="0" w:color="000000"/>
              <w:bottom w:val="single" w:sz="8" w:space="0" w:color="000000"/>
              <w:insideH w:val="single" w:sz="8" w:space="0" w:color="000000"/>
            </w:tcBorders>
            <w:shd w:fill="auto" w:val="clear"/>
          </w:tcPr>
          <w:p>
            <w:pPr>
              <w:pStyle w:val="Normal"/>
              <w:jc w:val="both"/>
              <w:rPr/>
            </w:pPr>
            <w:r>
              <w:rPr/>
              <w:t>1. Подшипники турбогенераторов и возбудителей, крестовины со встроенными в них направляющими подшипниками гидрогенераторов вертикального исполнения</w:t>
            </w:r>
          </w:p>
        </w:tc>
        <w:tc>
          <w:tcPr>
            <w:tcW w:w="62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180</w:t>
            </w:r>
          </w:p>
        </w:tc>
        <w:tc>
          <w:tcPr>
            <w:tcW w:w="77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150</w:t>
            </w:r>
          </w:p>
        </w:tc>
        <w:tc>
          <w:tcPr>
            <w:tcW w:w="77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w:t>
            </w:r>
          </w:p>
        </w:tc>
        <w:tc>
          <w:tcPr>
            <w:tcW w:w="690"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70</w:t>
            </w:r>
          </w:p>
        </w:tc>
        <w:tc>
          <w:tcPr>
            <w:tcW w:w="61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w:t>
            </w:r>
          </w:p>
        </w:tc>
        <w:tc>
          <w:tcPr>
            <w:tcW w:w="61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30*</w:t>
            </w:r>
          </w:p>
        </w:tc>
        <w:tc>
          <w:tcPr>
            <w:tcW w:w="3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Вибрация подшипников турбогенераторов, их возбудителей и горизонтальных гидрогенераторов измеряется на верхней крышке подшипников в вертикальном направлении и у разъема - в осевом и поперечном направлениях. Для вертикальных гидрогенераторов приведенные значения вибрации относятся к горизонтальному и вертикальному направлениям.</w:t>
            </w:r>
          </w:p>
        </w:tc>
      </w:tr>
      <w:tr>
        <w:trPr/>
        <w:tc>
          <w:tcPr>
            <w:tcW w:w="1874" w:type="dxa"/>
            <w:tcBorders>
              <w:left w:val="single" w:sz="8" w:space="0" w:color="000000"/>
              <w:bottom w:val="single" w:sz="8" w:space="0" w:color="000000"/>
              <w:insideH w:val="single" w:sz="8" w:space="0" w:color="000000"/>
            </w:tcBorders>
            <w:shd w:fill="auto" w:val="clear"/>
          </w:tcPr>
          <w:p>
            <w:pPr>
              <w:pStyle w:val="Normal"/>
              <w:jc w:val="both"/>
              <w:rPr/>
            </w:pPr>
            <w:r>
              <w:rPr/>
              <w:t>2. Контактные кольца ротора турбогенераторов</w:t>
            </w:r>
          </w:p>
        </w:tc>
        <w:tc>
          <w:tcPr>
            <w:tcW w:w="62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77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77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690"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61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61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200</w:t>
            </w:r>
          </w:p>
        </w:tc>
        <w:tc>
          <w:tcPr>
            <w:tcW w:w="3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Вибрации измеряются в горизонтальном и вертикальном направлениях.</w:t>
            </w:r>
          </w:p>
        </w:tc>
      </w:tr>
    </w:tbl>
    <w:p>
      <w:pPr>
        <w:pStyle w:val="Normal"/>
        <w:spacing w:before="120" w:after="0"/>
        <w:ind w:firstLine="284"/>
        <w:jc w:val="both"/>
        <w:rPr/>
      </w:pPr>
      <w:r>
        <w:rPr/>
        <w:t>Вибрация подшипников синхронных компенсаторов с номинальной частотой вращения ротора 750 - 1500 об/мин не должна превышать 80 мкм по размаху вибросмещений или 2,2 мм·с</w:t>
      </w:r>
      <w:r>
        <w:rPr>
          <w:vertAlign w:val="superscript"/>
        </w:rPr>
        <w:t>-1</w:t>
      </w:r>
      <w:r>
        <w:rPr/>
        <w:t xml:space="preserve"> по среднеквадратическому значению вибрационной скорости.</w:t>
      </w:r>
    </w:p>
    <w:p>
      <w:pPr>
        <w:pStyle w:val="Normal"/>
        <w:spacing w:before="120" w:after="120"/>
        <w:ind w:firstLine="300"/>
        <w:jc w:val="both"/>
        <w:rPr/>
      </w:pPr>
      <w:r>
        <w:rPr/>
        <w:t>* при наличии аппаратуры контроля виброскорости производится ее измерение, среднеквадратическое значение виброскорости не должно превышать 2,8 мм·с</w:t>
      </w:r>
      <w:r>
        <w:rPr>
          <w:vertAlign w:val="superscript"/>
        </w:rPr>
        <w:t>-1</w:t>
      </w:r>
      <w:r>
        <w:rPr/>
        <w:t xml:space="preserve"> по вертикальной и поперечной осям и 4,5 мм·с</w:t>
      </w:r>
      <w:r>
        <w:rPr>
          <w:vertAlign w:val="superscript"/>
        </w:rPr>
        <w:t>-1</w:t>
      </w:r>
      <w:r>
        <w:rPr/>
        <w:t xml:space="preserve"> - по продольной оси.</w:t>
      </w:r>
    </w:p>
    <w:p>
      <w:pPr>
        <w:pStyle w:val="Normal"/>
        <w:ind w:firstLine="283"/>
        <w:jc w:val="both"/>
        <w:rPr>
          <w:b/>
          <w:b/>
          <w:bCs/>
        </w:rPr>
      </w:pPr>
      <w:r>
        <w:rPr>
          <w:b/>
          <w:bCs/>
        </w:rPr>
        <w:t>11. Проверка и испытание системы охлаждения.</w:t>
      </w:r>
    </w:p>
    <w:p>
      <w:pPr>
        <w:pStyle w:val="Normal"/>
        <w:ind w:firstLine="283"/>
        <w:jc w:val="both"/>
        <w:rPr/>
      </w:pPr>
      <w:r>
        <w:rPr/>
        <w:t>Производится в соответствии с инструкцией завода-изготовителя.</w:t>
      </w:r>
    </w:p>
    <w:p>
      <w:pPr>
        <w:pStyle w:val="Normal"/>
        <w:ind w:firstLine="283"/>
        <w:jc w:val="both"/>
        <w:rPr>
          <w:b/>
          <w:b/>
          <w:bCs/>
        </w:rPr>
      </w:pPr>
      <w:r>
        <w:rPr>
          <w:b/>
          <w:bCs/>
        </w:rPr>
        <w:t>12. Проверка и испытание системы маслоснабжения.</w:t>
      </w:r>
    </w:p>
    <w:p>
      <w:pPr>
        <w:pStyle w:val="Normal"/>
        <w:ind w:firstLine="283"/>
        <w:jc w:val="both"/>
        <w:rPr/>
      </w:pPr>
      <w:r>
        <w:rPr/>
        <w:t>Производится в соответствии с инструкцией завода-изготовителя.</w:t>
      </w:r>
    </w:p>
    <w:p>
      <w:pPr>
        <w:pStyle w:val="Normal"/>
        <w:ind w:firstLine="283"/>
        <w:jc w:val="both"/>
        <w:rPr>
          <w:b/>
          <w:b/>
          <w:bCs/>
        </w:rPr>
      </w:pPr>
      <w:r>
        <w:rPr>
          <w:b/>
          <w:bCs/>
        </w:rPr>
        <w:t>13. Проверка изоляции подшипника при работе генератора (компенсатора).</w:t>
      </w:r>
    </w:p>
    <w:p>
      <w:pPr>
        <w:pStyle w:val="Normal"/>
        <w:ind w:firstLine="283"/>
        <w:jc w:val="both"/>
        <w:rPr/>
      </w:pPr>
      <w:r>
        <w:rP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pPr>
        <w:pStyle w:val="Normal"/>
        <w:ind w:firstLine="283"/>
        <w:jc w:val="both"/>
        <w:rPr>
          <w:b/>
          <w:b/>
          <w:bCs/>
        </w:rPr>
      </w:pPr>
      <w:r>
        <w:rPr>
          <w:b/>
          <w:bCs/>
        </w:rPr>
        <w:t>14. Испытание генератора (компенсатора) под нагрузкой.</w:t>
      </w:r>
    </w:p>
    <w:p>
      <w:pPr>
        <w:pStyle w:val="Normal"/>
        <w:ind w:firstLine="283"/>
        <w:jc w:val="both"/>
        <w:rPr/>
      </w:pPr>
      <w:r>
        <w:rPr/>
        <w:t>Нагрузка определяется практическими возможностями в период приёмо-сдаточных испытаний. Нагрев статора при данной нагрузке должен соответствовать паспортным данным.</w:t>
      </w:r>
    </w:p>
    <w:p>
      <w:pPr>
        <w:pStyle w:val="Normal"/>
        <w:ind w:firstLine="283"/>
        <w:jc w:val="both"/>
        <w:rPr>
          <w:b/>
          <w:b/>
          <w:bCs/>
        </w:rPr>
      </w:pPr>
      <w:r>
        <w:rPr>
          <w:b/>
          <w:bCs/>
        </w:rPr>
        <w:t>15. Определение характеристик коллекторного возбудителя.</w:t>
      </w:r>
    </w:p>
    <w:p>
      <w:pPr>
        <w:pStyle w:val="Normal"/>
        <w:ind w:firstLine="283"/>
        <w:jc w:val="both"/>
        <w:rPr/>
      </w:pPr>
      <w:r>
        <w:rPr/>
        <w:t>Характеристика холостого хода определяется до наибольшего (потолочного) значения напряжения или значения, установленного заводом-изготовителем.</w:t>
      </w:r>
    </w:p>
    <w:p>
      <w:pPr>
        <w:pStyle w:val="Normal"/>
        <w:ind w:firstLine="283"/>
        <w:jc w:val="both"/>
        <w:rPr/>
      </w:pPr>
      <w:r>
        <w:rP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допустимой погрешности измерений.</w:t>
      </w:r>
    </w:p>
    <w:p>
      <w:pPr>
        <w:pStyle w:val="Normal"/>
        <w:ind w:firstLine="283"/>
        <w:jc w:val="both"/>
        <w:rPr>
          <w:b/>
          <w:b/>
          <w:bCs/>
        </w:rPr>
      </w:pPr>
      <w:r>
        <w:rPr>
          <w:b/>
          <w:bCs/>
        </w:rPr>
        <w:t>16. Испытание концевых выводов обмотки статора турбогенератора серии ТГВ.</w:t>
      </w:r>
    </w:p>
    <w:p>
      <w:pPr>
        <w:pStyle w:val="Normal"/>
        <w:ind w:firstLine="283"/>
        <w:jc w:val="both"/>
        <w:rPr/>
      </w:pPr>
      <w:r>
        <w:rPr/>
        <w:t>Помимо испытаний, указанных в табл. 1.8.1 и 1.8.3, концевые выводы с конденсаторной стеклоэпоксидной изоляцией подвергаются испытаниям по пп. 16.1 и 16.2.</w:t>
      </w:r>
    </w:p>
    <w:p>
      <w:pPr>
        <w:pStyle w:val="Normal"/>
        <w:ind w:firstLine="283"/>
        <w:jc w:val="both"/>
        <w:rPr/>
      </w:pPr>
      <w:r>
        <w:rPr>
          <w:b/>
          <w:bCs/>
        </w:rPr>
        <w:t>16.1. Измерение тангенса угла диэлектрических потерь (</w:t>
      </w:r>
      <w:r>
        <w:rPr>
          <w:b/>
          <w:bCs/>
          <w:i/>
          <w:iCs/>
        </w:rPr>
        <w:t>tg</w:t>
      </w:r>
      <w:r>
        <w:rPr>
          <w:b/>
          <w:bCs/>
        </w:rPr>
        <w:t>δ).</w:t>
      </w:r>
    </w:p>
    <w:p>
      <w:pPr>
        <w:pStyle w:val="Normal"/>
        <w:ind w:firstLine="283"/>
        <w:jc w:val="both"/>
        <w:rPr/>
      </w:pPr>
      <w:r>
        <w:rPr/>
        <w:t>Измерение производится перед установкой концевого вывода на турбогенератор при испытательном напряжении 10 кВ и температуре окружающего воздуха 10 - 30 °С.</w:t>
      </w:r>
    </w:p>
    <w:p>
      <w:pPr>
        <w:pStyle w:val="Normal"/>
        <w:ind w:firstLine="283"/>
        <w:jc w:val="both"/>
        <w:rPr/>
      </w:pPr>
      <w:r>
        <w:rPr/>
        <w:t xml:space="preserve">Значение </w:t>
      </w:r>
      <w:r>
        <w:rPr>
          <w:i/>
          <w:iCs/>
        </w:rPr>
        <w:t>tg</w:t>
      </w:r>
      <w:r>
        <w:rPr/>
        <w:t xml:space="preserve">δ собранного концевого вывода не должно превышать 130 % значения, полученного при измерениях на заводе. В случае измерения </w:t>
      </w:r>
      <w:r>
        <w:rPr>
          <w:i/>
          <w:iCs/>
        </w:rPr>
        <w:t>tg</w:t>
      </w:r>
      <w:r>
        <w:rPr/>
        <w:t>δ концевого вывода без фарфоровых покрышек его значение не должно превышать 3 %.</w:t>
      </w:r>
    </w:p>
    <w:p>
      <w:pPr>
        <w:pStyle w:val="Normal"/>
        <w:ind w:firstLine="283"/>
        <w:jc w:val="both"/>
        <w:rPr>
          <w:b/>
          <w:b/>
          <w:bCs/>
        </w:rPr>
      </w:pPr>
      <w:r>
        <w:rPr>
          <w:b/>
          <w:bCs/>
        </w:rPr>
        <w:t>16.2. Проверка газоплотности.</w:t>
      </w:r>
    </w:p>
    <w:p>
      <w:pPr>
        <w:pStyle w:val="Normal"/>
        <w:ind w:firstLine="283"/>
        <w:jc w:val="both"/>
        <w:rPr/>
      </w:pPr>
      <w:r>
        <w:rPr/>
        <w:t>Испытание на газоплотность концевых выводов, испытанных на заводе давлением 0,6 МПа, производится давлением сжатого воздуха 0,5 МПа.</w:t>
      </w:r>
    </w:p>
    <w:p>
      <w:pPr>
        <w:pStyle w:val="Normal"/>
        <w:ind w:firstLine="283"/>
        <w:jc w:val="both"/>
        <w:rPr/>
      </w:pPr>
      <w:r>
        <w:rPr/>
        <w:t>Концевой вывод считается выдержавшим испытание, если при давлении 0,3 МПа падение давления не превышает 1 кПа/ч.</w:t>
      </w:r>
    </w:p>
    <w:p>
      <w:pPr>
        <w:pStyle w:val="Normal"/>
        <w:ind w:firstLine="283"/>
        <w:jc w:val="both"/>
        <w:rPr>
          <w:b/>
          <w:b/>
          <w:bCs/>
        </w:rPr>
      </w:pPr>
      <w:r>
        <w:rPr>
          <w:b/>
          <w:bCs/>
        </w:rPr>
        <w:t>17. Измерение остаточного напряжения генератора при отключении АГП в цепи ротора.</w:t>
      </w:r>
    </w:p>
    <w:p>
      <w:pPr>
        <w:pStyle w:val="Normal"/>
        <w:ind w:firstLine="283"/>
        <w:jc w:val="both"/>
        <w:rPr/>
      </w:pPr>
      <w:r>
        <w:rPr/>
        <w:t>Значение остаточного напряжения не нормируется.</w:t>
      </w:r>
    </w:p>
    <w:p>
      <w:pPr>
        <w:pStyle w:val="Normal"/>
        <w:ind w:firstLine="283"/>
        <w:jc w:val="both"/>
        <w:rPr>
          <w:b/>
          <w:b/>
          <w:bCs/>
        </w:rPr>
      </w:pPr>
      <w:r>
        <w:rPr>
          <w:b/>
          <w:bCs/>
        </w:rPr>
        <w:t>18. Испытание генератора (компенсатора) под нагрузкой.</w:t>
      </w:r>
    </w:p>
    <w:p>
      <w:pPr>
        <w:pStyle w:val="Normal"/>
        <w:ind w:firstLine="283"/>
        <w:jc w:val="both"/>
        <w:rPr/>
      </w:pPr>
      <w:r>
        <w:rPr/>
        <w:t>Нагрузка определяется практически возможностями в период приемо-сдаточных испытаний. Нагрев статора при данной нагрузке должен соответствовать данным завода-изготовителя.</w:t>
      </w:r>
    </w:p>
    <w:p>
      <w:pPr>
        <w:pStyle w:val="Heading3"/>
        <w:rPr/>
      </w:pPr>
      <w:r>
        <w:rPr/>
        <w:t>1.8.14. Машины постоянного тока</w:t>
      </w:r>
    </w:p>
    <w:p>
      <w:pPr>
        <w:pStyle w:val="Normal"/>
        <w:ind w:firstLine="283"/>
        <w:jc w:val="both"/>
        <w:rPr/>
      </w:pPr>
      <w:r>
        <w:rPr/>
        <w:t>Машины постоянного тока мощностью до 200 кВт, напряжением до 440 В следует испытывать по пп. 1, 2, 4в, 8; все остальные - дополнительно по пп. 3, 4а, 5 настоящего параграфа.</w:t>
      </w:r>
    </w:p>
    <w:p>
      <w:pPr>
        <w:pStyle w:val="Normal"/>
        <w:ind w:firstLine="283"/>
        <w:jc w:val="both"/>
        <w:rPr/>
      </w:pPr>
      <w:r>
        <w:rPr/>
        <w:t>Возбудители синхронных генераторов и компенсаторов следует испытывать по пп. 1 - 6, 8 настоящего параграфа.</w:t>
      </w:r>
    </w:p>
    <w:p>
      <w:pPr>
        <w:pStyle w:val="Normal"/>
        <w:ind w:firstLine="283"/>
        <w:jc w:val="both"/>
        <w:rPr/>
      </w:pPr>
      <w:r>
        <w:rPr/>
        <w:t>Измерение по п. 7 настоящего параграфа следует производить для машин, поступивших на место монтажа в разобранном виде.</w:t>
      </w:r>
    </w:p>
    <w:p>
      <w:pPr>
        <w:pStyle w:val="Normal"/>
        <w:ind w:firstLine="283"/>
        <w:jc w:val="both"/>
        <w:rPr>
          <w:b/>
          <w:b/>
          <w:bCs/>
        </w:rPr>
      </w:pPr>
      <w:r>
        <w:rPr>
          <w:b/>
          <w:bCs/>
        </w:rPr>
        <w:t>1. Определение возможности включения без сушки машин постоянного тока.</w:t>
      </w:r>
    </w:p>
    <w:p>
      <w:pPr>
        <w:pStyle w:val="Normal"/>
        <w:ind w:firstLine="283"/>
        <w:jc w:val="both"/>
        <w:rPr/>
      </w:pPr>
      <w:r>
        <w:rPr/>
        <w:t>Следует производить в соответствии с указаниями завода-изготовителя.</w:t>
      </w:r>
    </w:p>
    <w:p>
      <w:pPr>
        <w:pStyle w:val="Normal"/>
        <w:ind w:firstLine="283"/>
        <w:jc w:val="both"/>
        <w:rPr>
          <w:b/>
          <w:b/>
          <w:bCs/>
        </w:rPr>
      </w:pPr>
      <w:r>
        <w:rPr>
          <w:b/>
          <w:bCs/>
        </w:rPr>
        <w:t>2. Измерение сопротивления изоляции.</w:t>
      </w:r>
    </w:p>
    <w:p>
      <w:pPr>
        <w:pStyle w:val="Normal"/>
        <w:ind w:firstLine="283"/>
        <w:jc w:val="both"/>
        <w:rPr/>
      </w:pPr>
      <w:r>
        <w:rPr/>
        <w:t>а) Сопротивление изоляции обмоток.</w:t>
      </w:r>
    </w:p>
    <w:p>
      <w:pPr>
        <w:pStyle w:val="Normal"/>
        <w:ind w:firstLine="283"/>
        <w:jc w:val="both"/>
        <w:rPr/>
      </w:pPr>
      <w:r>
        <w:rPr/>
        <w:t>Измерение производится при номинальном напряжении обмотки до 0,5 кВ включительно мегаомметром на напряжении 500 В, а при номинальном напряжении обмотки выше 0,5 кВ - мегаомметром на протяжении 1000 В.</w:t>
      </w:r>
    </w:p>
    <w:p>
      <w:pPr>
        <w:pStyle w:val="Normal"/>
        <w:ind w:firstLine="283"/>
        <w:jc w:val="both"/>
        <w:rPr/>
      </w:pPr>
      <w:r>
        <w:rPr/>
        <w:t>Измеренное значение сопротивления изоляции должно быть не менее приведенного в табл. 1.8.7.</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7</w:t>
      </w:r>
    </w:p>
    <w:p>
      <w:pPr>
        <w:pStyle w:val="Normal"/>
        <w:spacing w:before="0" w:after="120"/>
        <w:jc w:val="center"/>
        <w:rP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обмоток</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08"/>
        <w:gridCol w:w="1511"/>
        <w:gridCol w:w="1481"/>
        <w:gridCol w:w="1498"/>
        <w:gridCol w:w="1498"/>
        <w:gridCol w:w="1559"/>
      </w:tblGrid>
      <w:tr>
        <w:trPr>
          <w:tblHeader w:val="true"/>
        </w:trPr>
        <w:tc>
          <w:tcPr>
            <w:tcW w:w="1808"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Температура обмотки, °С</w:t>
            </w:r>
          </w:p>
        </w:tc>
        <w:tc>
          <w:tcPr>
            <w:tcW w:w="7547"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 xml:space="preserve">Сопротивление изоляции </w:t>
            </w:r>
            <w:r>
              <w:rPr>
                <w:i/>
                <w:iCs/>
              </w:rPr>
              <w:t>R</w:t>
            </w:r>
            <w:r>
              <w:rPr>
                <w:vertAlign w:val="subscript"/>
              </w:rPr>
              <w:t>60"</w:t>
            </w:r>
            <w:r>
              <w:rPr/>
              <w:t>, МОм, при номинальном напряжении машин, В</w:t>
            </w:r>
          </w:p>
        </w:tc>
      </w:tr>
      <w:tr>
        <w:trPr>
          <w:tblHeader w:val="true"/>
        </w:trPr>
        <w:tc>
          <w:tcPr>
            <w:tcW w:w="1808"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511" w:type="dxa"/>
            <w:tcBorders>
              <w:left w:val="single" w:sz="8" w:space="0" w:color="000000"/>
              <w:bottom w:val="single" w:sz="8" w:space="0" w:color="000000"/>
              <w:insideH w:val="single" w:sz="8" w:space="0" w:color="000000"/>
            </w:tcBorders>
            <w:shd w:fill="auto" w:val="clear"/>
            <w:vAlign w:val="center"/>
          </w:tcPr>
          <w:p>
            <w:pPr>
              <w:pStyle w:val="Normal"/>
              <w:jc w:val="center"/>
              <w:rPr/>
            </w:pPr>
            <w:r>
              <w:rPr/>
              <w:t>230</w:t>
            </w:r>
          </w:p>
        </w:tc>
        <w:tc>
          <w:tcPr>
            <w:tcW w:w="148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460</w:t>
            </w:r>
          </w:p>
        </w:tc>
        <w:tc>
          <w:tcPr>
            <w:tcW w:w="149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650</w:t>
            </w:r>
          </w:p>
        </w:tc>
        <w:tc>
          <w:tcPr>
            <w:tcW w:w="149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750</w:t>
            </w:r>
          </w:p>
        </w:tc>
        <w:tc>
          <w:tcPr>
            <w:tcW w:w="15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900</w:t>
            </w:r>
          </w:p>
        </w:tc>
      </w:tr>
      <w:tr>
        <w:trPr/>
        <w:tc>
          <w:tcPr>
            <w:tcW w:w="1808" w:type="dxa"/>
            <w:tcBorders>
              <w:left w:val="single" w:sz="8" w:space="0" w:color="000000"/>
            </w:tcBorders>
            <w:shd w:fill="auto" w:val="clear"/>
          </w:tcPr>
          <w:p>
            <w:pPr>
              <w:pStyle w:val="Normal"/>
              <w:jc w:val="center"/>
              <w:rPr/>
            </w:pPr>
            <w:r>
              <w:rPr/>
              <w:t>10</w:t>
            </w:r>
          </w:p>
        </w:tc>
        <w:tc>
          <w:tcPr>
            <w:tcW w:w="1511" w:type="dxa"/>
            <w:tcBorders>
              <w:left w:val="single" w:sz="8" w:space="0" w:color="000000"/>
            </w:tcBorders>
            <w:shd w:fill="auto" w:val="clear"/>
            <w:tcMar>
              <w:left w:w="0" w:type="dxa"/>
              <w:right w:w="0" w:type="dxa"/>
            </w:tcMar>
          </w:tcPr>
          <w:p>
            <w:pPr>
              <w:pStyle w:val="Normal"/>
              <w:jc w:val="center"/>
              <w:rPr/>
            </w:pPr>
            <w:r>
              <w:rPr/>
              <w:t>2,7</w:t>
            </w:r>
          </w:p>
        </w:tc>
        <w:tc>
          <w:tcPr>
            <w:tcW w:w="1481" w:type="dxa"/>
            <w:tcBorders>
              <w:left w:val="single" w:sz="8" w:space="0" w:color="000000"/>
            </w:tcBorders>
            <w:shd w:fill="auto" w:val="clear"/>
            <w:tcMar>
              <w:left w:w="0" w:type="dxa"/>
              <w:right w:w="0" w:type="dxa"/>
            </w:tcMar>
          </w:tcPr>
          <w:p>
            <w:pPr>
              <w:pStyle w:val="Normal"/>
              <w:jc w:val="center"/>
              <w:rPr/>
            </w:pPr>
            <w:r>
              <w:rPr/>
              <w:t>5,3</w:t>
            </w:r>
          </w:p>
        </w:tc>
        <w:tc>
          <w:tcPr>
            <w:tcW w:w="1498" w:type="dxa"/>
            <w:tcBorders>
              <w:left w:val="single" w:sz="8" w:space="0" w:color="000000"/>
            </w:tcBorders>
            <w:shd w:fill="auto" w:val="clear"/>
            <w:tcMar>
              <w:left w:w="0" w:type="dxa"/>
              <w:right w:w="0" w:type="dxa"/>
            </w:tcMar>
          </w:tcPr>
          <w:p>
            <w:pPr>
              <w:pStyle w:val="Normal"/>
              <w:jc w:val="center"/>
              <w:rPr/>
            </w:pPr>
            <w:r>
              <w:rPr/>
              <w:t>8,0</w:t>
            </w:r>
          </w:p>
        </w:tc>
        <w:tc>
          <w:tcPr>
            <w:tcW w:w="1498" w:type="dxa"/>
            <w:tcBorders>
              <w:left w:val="single" w:sz="8" w:space="0" w:color="000000"/>
            </w:tcBorders>
            <w:shd w:fill="auto" w:val="clear"/>
            <w:tcMar>
              <w:left w:w="0" w:type="dxa"/>
              <w:right w:w="0" w:type="dxa"/>
            </w:tcMar>
          </w:tcPr>
          <w:p>
            <w:pPr>
              <w:pStyle w:val="Normal"/>
              <w:jc w:val="center"/>
              <w:rPr/>
            </w:pPr>
            <w:r>
              <w:rPr/>
              <w:t>9,3</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108</w:t>
            </w:r>
          </w:p>
        </w:tc>
      </w:tr>
      <w:tr>
        <w:trPr/>
        <w:tc>
          <w:tcPr>
            <w:tcW w:w="1808" w:type="dxa"/>
            <w:tcBorders>
              <w:left w:val="single" w:sz="8" w:space="0" w:color="000000"/>
            </w:tcBorders>
            <w:shd w:fill="auto" w:val="clear"/>
          </w:tcPr>
          <w:p>
            <w:pPr>
              <w:pStyle w:val="Normal"/>
              <w:jc w:val="center"/>
              <w:rPr/>
            </w:pPr>
            <w:r>
              <w:rPr/>
              <w:t>20</w:t>
            </w:r>
          </w:p>
        </w:tc>
        <w:tc>
          <w:tcPr>
            <w:tcW w:w="1511" w:type="dxa"/>
            <w:tcBorders>
              <w:left w:val="single" w:sz="8" w:space="0" w:color="000000"/>
            </w:tcBorders>
            <w:shd w:fill="auto" w:val="clear"/>
            <w:tcMar>
              <w:left w:w="0" w:type="dxa"/>
              <w:right w:w="0" w:type="dxa"/>
            </w:tcMar>
          </w:tcPr>
          <w:p>
            <w:pPr>
              <w:pStyle w:val="Normal"/>
              <w:jc w:val="center"/>
              <w:rPr/>
            </w:pPr>
            <w:r>
              <w:rPr/>
              <w:t>1,85</w:t>
            </w:r>
          </w:p>
        </w:tc>
        <w:tc>
          <w:tcPr>
            <w:tcW w:w="1481" w:type="dxa"/>
            <w:tcBorders>
              <w:left w:val="single" w:sz="8" w:space="0" w:color="000000"/>
            </w:tcBorders>
            <w:shd w:fill="auto" w:val="clear"/>
            <w:tcMar>
              <w:left w:w="0" w:type="dxa"/>
              <w:right w:w="0" w:type="dxa"/>
            </w:tcMar>
          </w:tcPr>
          <w:p>
            <w:pPr>
              <w:pStyle w:val="Normal"/>
              <w:jc w:val="center"/>
              <w:rPr/>
            </w:pPr>
            <w:r>
              <w:rPr/>
              <w:t>3,7</w:t>
            </w:r>
          </w:p>
        </w:tc>
        <w:tc>
          <w:tcPr>
            <w:tcW w:w="1498" w:type="dxa"/>
            <w:tcBorders>
              <w:left w:val="single" w:sz="8" w:space="0" w:color="000000"/>
            </w:tcBorders>
            <w:shd w:fill="auto" w:val="clear"/>
            <w:tcMar>
              <w:left w:w="0" w:type="dxa"/>
              <w:right w:w="0" w:type="dxa"/>
            </w:tcMar>
          </w:tcPr>
          <w:p>
            <w:pPr>
              <w:pStyle w:val="Normal"/>
              <w:jc w:val="center"/>
              <w:rPr/>
            </w:pPr>
            <w:r>
              <w:rPr/>
              <w:t>5,45</w:t>
            </w:r>
          </w:p>
        </w:tc>
        <w:tc>
          <w:tcPr>
            <w:tcW w:w="1498" w:type="dxa"/>
            <w:tcBorders>
              <w:left w:val="single" w:sz="8" w:space="0" w:color="000000"/>
            </w:tcBorders>
            <w:shd w:fill="auto" w:val="clear"/>
            <w:tcMar>
              <w:left w:w="0" w:type="dxa"/>
              <w:right w:w="0" w:type="dxa"/>
            </w:tcMar>
          </w:tcPr>
          <w:p>
            <w:pPr>
              <w:pStyle w:val="Normal"/>
              <w:jc w:val="center"/>
              <w:rPr/>
            </w:pPr>
            <w:r>
              <w:rPr/>
              <w:t>6,3</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7,5</w:t>
            </w:r>
          </w:p>
        </w:tc>
      </w:tr>
      <w:tr>
        <w:trPr/>
        <w:tc>
          <w:tcPr>
            <w:tcW w:w="1808" w:type="dxa"/>
            <w:tcBorders>
              <w:left w:val="single" w:sz="8" w:space="0" w:color="000000"/>
            </w:tcBorders>
            <w:shd w:fill="auto" w:val="clear"/>
          </w:tcPr>
          <w:p>
            <w:pPr>
              <w:pStyle w:val="Normal"/>
              <w:jc w:val="center"/>
              <w:rPr/>
            </w:pPr>
            <w:r>
              <w:rPr/>
              <w:t>30</w:t>
            </w:r>
          </w:p>
        </w:tc>
        <w:tc>
          <w:tcPr>
            <w:tcW w:w="1511" w:type="dxa"/>
            <w:tcBorders>
              <w:left w:val="single" w:sz="8" w:space="0" w:color="000000"/>
            </w:tcBorders>
            <w:shd w:fill="auto" w:val="clear"/>
            <w:tcMar>
              <w:left w:w="0" w:type="dxa"/>
              <w:right w:w="0" w:type="dxa"/>
            </w:tcMar>
          </w:tcPr>
          <w:p>
            <w:pPr>
              <w:pStyle w:val="Normal"/>
              <w:jc w:val="center"/>
              <w:rPr/>
            </w:pPr>
            <w:r>
              <w:rPr/>
              <w:t>1,3</w:t>
            </w:r>
          </w:p>
        </w:tc>
        <w:tc>
          <w:tcPr>
            <w:tcW w:w="1481" w:type="dxa"/>
            <w:tcBorders>
              <w:left w:val="single" w:sz="8" w:space="0" w:color="000000"/>
            </w:tcBorders>
            <w:shd w:fill="auto" w:val="clear"/>
            <w:tcMar>
              <w:left w:w="0" w:type="dxa"/>
              <w:right w:w="0" w:type="dxa"/>
            </w:tcMar>
          </w:tcPr>
          <w:p>
            <w:pPr>
              <w:pStyle w:val="Normal"/>
              <w:jc w:val="center"/>
              <w:rPr/>
            </w:pPr>
            <w:r>
              <w:rPr/>
              <w:t>2,6</w:t>
            </w:r>
          </w:p>
        </w:tc>
        <w:tc>
          <w:tcPr>
            <w:tcW w:w="1498" w:type="dxa"/>
            <w:tcBorders>
              <w:left w:val="single" w:sz="8" w:space="0" w:color="000000"/>
            </w:tcBorders>
            <w:shd w:fill="auto" w:val="clear"/>
            <w:tcMar>
              <w:left w:w="0" w:type="dxa"/>
              <w:right w:w="0" w:type="dxa"/>
            </w:tcMar>
          </w:tcPr>
          <w:p>
            <w:pPr>
              <w:pStyle w:val="Normal"/>
              <w:jc w:val="center"/>
              <w:rPr/>
            </w:pPr>
            <w:r>
              <w:rPr/>
              <w:t>3,8</w:t>
            </w:r>
          </w:p>
        </w:tc>
        <w:tc>
          <w:tcPr>
            <w:tcW w:w="1498" w:type="dxa"/>
            <w:tcBorders>
              <w:left w:val="single" w:sz="8" w:space="0" w:color="000000"/>
            </w:tcBorders>
            <w:shd w:fill="auto" w:val="clear"/>
            <w:tcMar>
              <w:left w:w="0" w:type="dxa"/>
              <w:right w:w="0" w:type="dxa"/>
            </w:tcMar>
          </w:tcPr>
          <w:p>
            <w:pPr>
              <w:pStyle w:val="Normal"/>
              <w:jc w:val="center"/>
              <w:rPr/>
            </w:pPr>
            <w:r>
              <w:rPr/>
              <w:t>4,4</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5,2</w:t>
            </w:r>
          </w:p>
        </w:tc>
      </w:tr>
      <w:tr>
        <w:trPr/>
        <w:tc>
          <w:tcPr>
            <w:tcW w:w="1808" w:type="dxa"/>
            <w:tcBorders>
              <w:left w:val="single" w:sz="8" w:space="0" w:color="000000"/>
            </w:tcBorders>
            <w:shd w:fill="auto" w:val="clear"/>
          </w:tcPr>
          <w:p>
            <w:pPr>
              <w:pStyle w:val="Normal"/>
              <w:jc w:val="center"/>
              <w:rPr/>
            </w:pPr>
            <w:r>
              <w:rPr/>
              <w:t>40</w:t>
            </w:r>
          </w:p>
        </w:tc>
        <w:tc>
          <w:tcPr>
            <w:tcW w:w="1511" w:type="dxa"/>
            <w:tcBorders>
              <w:left w:val="single" w:sz="8" w:space="0" w:color="000000"/>
            </w:tcBorders>
            <w:shd w:fill="auto" w:val="clear"/>
            <w:tcMar>
              <w:left w:w="0" w:type="dxa"/>
              <w:right w:w="0" w:type="dxa"/>
            </w:tcMar>
          </w:tcPr>
          <w:p>
            <w:pPr>
              <w:pStyle w:val="Normal"/>
              <w:jc w:val="center"/>
              <w:rPr/>
            </w:pPr>
            <w:r>
              <w:rPr/>
              <w:t>0,85</w:t>
            </w:r>
          </w:p>
        </w:tc>
        <w:tc>
          <w:tcPr>
            <w:tcW w:w="1481" w:type="dxa"/>
            <w:tcBorders>
              <w:left w:val="single" w:sz="8" w:space="0" w:color="000000"/>
            </w:tcBorders>
            <w:shd w:fill="auto" w:val="clear"/>
            <w:tcMar>
              <w:left w:w="0" w:type="dxa"/>
              <w:right w:w="0" w:type="dxa"/>
            </w:tcMar>
          </w:tcPr>
          <w:p>
            <w:pPr>
              <w:pStyle w:val="Normal"/>
              <w:jc w:val="center"/>
              <w:rPr/>
            </w:pPr>
            <w:r>
              <w:rPr/>
              <w:t>1,75</w:t>
            </w:r>
          </w:p>
        </w:tc>
        <w:tc>
          <w:tcPr>
            <w:tcW w:w="1498" w:type="dxa"/>
            <w:tcBorders>
              <w:left w:val="single" w:sz="8" w:space="0" w:color="000000"/>
            </w:tcBorders>
            <w:shd w:fill="auto" w:val="clear"/>
            <w:tcMar>
              <w:left w:w="0" w:type="dxa"/>
              <w:right w:w="0" w:type="dxa"/>
            </w:tcMar>
          </w:tcPr>
          <w:p>
            <w:pPr>
              <w:pStyle w:val="Normal"/>
              <w:jc w:val="center"/>
              <w:rPr/>
            </w:pPr>
            <w:r>
              <w:rPr/>
              <w:t>2,5</w:t>
            </w:r>
          </w:p>
        </w:tc>
        <w:tc>
          <w:tcPr>
            <w:tcW w:w="1498" w:type="dxa"/>
            <w:tcBorders>
              <w:left w:val="single" w:sz="8" w:space="0" w:color="000000"/>
            </w:tcBorders>
            <w:shd w:fill="auto" w:val="clear"/>
            <w:tcMar>
              <w:left w:w="0" w:type="dxa"/>
              <w:right w:w="0" w:type="dxa"/>
            </w:tcMar>
          </w:tcPr>
          <w:p>
            <w:pPr>
              <w:pStyle w:val="Normal"/>
              <w:jc w:val="center"/>
              <w:rPr/>
            </w:pPr>
            <w:r>
              <w:rPr/>
              <w:t>2,9</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3,5</w:t>
            </w:r>
          </w:p>
        </w:tc>
      </w:tr>
      <w:tr>
        <w:trPr/>
        <w:tc>
          <w:tcPr>
            <w:tcW w:w="1808" w:type="dxa"/>
            <w:tcBorders>
              <w:left w:val="single" w:sz="8" w:space="0" w:color="000000"/>
            </w:tcBorders>
            <w:shd w:fill="auto" w:val="clear"/>
          </w:tcPr>
          <w:p>
            <w:pPr>
              <w:pStyle w:val="Normal"/>
              <w:jc w:val="center"/>
              <w:rPr/>
            </w:pPr>
            <w:r>
              <w:rPr/>
              <w:t>50</w:t>
            </w:r>
          </w:p>
        </w:tc>
        <w:tc>
          <w:tcPr>
            <w:tcW w:w="1511" w:type="dxa"/>
            <w:tcBorders>
              <w:left w:val="single" w:sz="8" w:space="0" w:color="000000"/>
            </w:tcBorders>
            <w:shd w:fill="auto" w:val="clear"/>
            <w:tcMar>
              <w:left w:w="0" w:type="dxa"/>
              <w:right w:w="0" w:type="dxa"/>
            </w:tcMar>
          </w:tcPr>
          <w:p>
            <w:pPr>
              <w:pStyle w:val="Normal"/>
              <w:jc w:val="center"/>
              <w:rPr/>
            </w:pPr>
            <w:r>
              <w:rPr/>
              <w:t>0,6</w:t>
            </w:r>
          </w:p>
        </w:tc>
        <w:tc>
          <w:tcPr>
            <w:tcW w:w="1481" w:type="dxa"/>
            <w:tcBorders>
              <w:left w:val="single" w:sz="8" w:space="0" w:color="000000"/>
            </w:tcBorders>
            <w:shd w:fill="auto" w:val="clear"/>
            <w:tcMar>
              <w:left w:w="0" w:type="dxa"/>
              <w:right w:w="0" w:type="dxa"/>
            </w:tcMar>
          </w:tcPr>
          <w:p>
            <w:pPr>
              <w:pStyle w:val="Normal"/>
              <w:jc w:val="center"/>
              <w:rPr/>
            </w:pPr>
            <w:r>
              <w:rPr/>
              <w:t>1,2</w:t>
            </w:r>
          </w:p>
        </w:tc>
        <w:tc>
          <w:tcPr>
            <w:tcW w:w="1498" w:type="dxa"/>
            <w:tcBorders>
              <w:left w:val="single" w:sz="8" w:space="0" w:color="000000"/>
            </w:tcBorders>
            <w:shd w:fill="auto" w:val="clear"/>
            <w:tcMar>
              <w:left w:w="0" w:type="dxa"/>
              <w:right w:w="0" w:type="dxa"/>
            </w:tcMar>
          </w:tcPr>
          <w:p>
            <w:pPr>
              <w:pStyle w:val="Normal"/>
              <w:jc w:val="center"/>
              <w:rPr/>
            </w:pPr>
            <w:r>
              <w:rPr/>
              <w:t>1,75</w:t>
            </w:r>
          </w:p>
        </w:tc>
        <w:tc>
          <w:tcPr>
            <w:tcW w:w="1498" w:type="dxa"/>
            <w:tcBorders>
              <w:left w:val="single" w:sz="8" w:space="0" w:color="000000"/>
            </w:tcBorders>
            <w:shd w:fill="auto" w:val="clear"/>
            <w:tcMar>
              <w:left w:w="0" w:type="dxa"/>
              <w:right w:w="0" w:type="dxa"/>
            </w:tcMar>
          </w:tcPr>
          <w:p>
            <w:pPr>
              <w:pStyle w:val="Normal"/>
              <w:jc w:val="center"/>
              <w:rPr/>
            </w:pPr>
            <w:r>
              <w:rPr/>
              <w:t>2,0</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2,35</w:t>
            </w:r>
          </w:p>
        </w:tc>
      </w:tr>
      <w:tr>
        <w:trPr/>
        <w:tc>
          <w:tcPr>
            <w:tcW w:w="1808" w:type="dxa"/>
            <w:tcBorders>
              <w:left w:val="single" w:sz="8" w:space="0" w:color="000000"/>
            </w:tcBorders>
            <w:shd w:fill="auto" w:val="clear"/>
          </w:tcPr>
          <w:p>
            <w:pPr>
              <w:pStyle w:val="Normal"/>
              <w:jc w:val="center"/>
              <w:rPr/>
            </w:pPr>
            <w:r>
              <w:rPr/>
              <w:t>60</w:t>
            </w:r>
          </w:p>
        </w:tc>
        <w:tc>
          <w:tcPr>
            <w:tcW w:w="1511" w:type="dxa"/>
            <w:tcBorders>
              <w:left w:val="single" w:sz="8" w:space="0" w:color="000000"/>
            </w:tcBorders>
            <w:shd w:fill="auto" w:val="clear"/>
            <w:tcMar>
              <w:left w:w="0" w:type="dxa"/>
              <w:right w:w="0" w:type="dxa"/>
            </w:tcMar>
          </w:tcPr>
          <w:p>
            <w:pPr>
              <w:pStyle w:val="Normal"/>
              <w:jc w:val="center"/>
              <w:rPr/>
            </w:pPr>
            <w:r>
              <w:rPr/>
              <w:t>0,4</w:t>
            </w:r>
          </w:p>
        </w:tc>
        <w:tc>
          <w:tcPr>
            <w:tcW w:w="1481" w:type="dxa"/>
            <w:tcBorders>
              <w:left w:val="single" w:sz="8" w:space="0" w:color="000000"/>
            </w:tcBorders>
            <w:shd w:fill="auto" w:val="clear"/>
            <w:tcMar>
              <w:left w:w="0" w:type="dxa"/>
              <w:right w:w="0" w:type="dxa"/>
            </w:tcMar>
          </w:tcPr>
          <w:p>
            <w:pPr>
              <w:pStyle w:val="Normal"/>
              <w:jc w:val="center"/>
              <w:rPr/>
            </w:pPr>
            <w:r>
              <w:rPr/>
              <w:t>0,8</w:t>
            </w:r>
          </w:p>
        </w:tc>
        <w:tc>
          <w:tcPr>
            <w:tcW w:w="1498" w:type="dxa"/>
            <w:tcBorders>
              <w:left w:val="single" w:sz="8" w:space="0" w:color="000000"/>
            </w:tcBorders>
            <w:shd w:fill="auto" w:val="clear"/>
            <w:tcMar>
              <w:left w:w="0" w:type="dxa"/>
              <w:right w:w="0" w:type="dxa"/>
            </w:tcMar>
          </w:tcPr>
          <w:p>
            <w:pPr>
              <w:pStyle w:val="Normal"/>
              <w:jc w:val="center"/>
              <w:rPr/>
            </w:pPr>
            <w:r>
              <w:rPr/>
              <w:t>1,15</w:t>
            </w:r>
          </w:p>
        </w:tc>
        <w:tc>
          <w:tcPr>
            <w:tcW w:w="1498" w:type="dxa"/>
            <w:tcBorders>
              <w:left w:val="single" w:sz="8" w:space="0" w:color="000000"/>
            </w:tcBorders>
            <w:shd w:fill="auto" w:val="clear"/>
            <w:tcMar>
              <w:left w:w="0" w:type="dxa"/>
              <w:right w:w="0" w:type="dxa"/>
            </w:tcMar>
          </w:tcPr>
          <w:p>
            <w:pPr>
              <w:pStyle w:val="Normal"/>
              <w:jc w:val="center"/>
              <w:rPr/>
            </w:pPr>
            <w:r>
              <w:rPr/>
              <w:t>1,35</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1,6</w:t>
            </w:r>
          </w:p>
        </w:tc>
      </w:tr>
      <w:tr>
        <w:trPr/>
        <w:tc>
          <w:tcPr>
            <w:tcW w:w="1808" w:type="dxa"/>
            <w:tcBorders>
              <w:left w:val="single" w:sz="8" w:space="0" w:color="000000"/>
            </w:tcBorders>
            <w:shd w:fill="auto" w:val="clear"/>
          </w:tcPr>
          <w:p>
            <w:pPr>
              <w:pStyle w:val="Normal"/>
              <w:jc w:val="center"/>
              <w:rPr/>
            </w:pPr>
            <w:r>
              <w:rPr/>
              <w:t>70</w:t>
            </w:r>
          </w:p>
        </w:tc>
        <w:tc>
          <w:tcPr>
            <w:tcW w:w="1511" w:type="dxa"/>
            <w:tcBorders>
              <w:left w:val="single" w:sz="8" w:space="0" w:color="000000"/>
            </w:tcBorders>
            <w:shd w:fill="auto" w:val="clear"/>
            <w:tcMar>
              <w:left w:w="0" w:type="dxa"/>
              <w:right w:w="0" w:type="dxa"/>
            </w:tcMar>
          </w:tcPr>
          <w:p>
            <w:pPr>
              <w:pStyle w:val="Normal"/>
              <w:jc w:val="center"/>
              <w:rPr/>
            </w:pPr>
            <w:r>
              <w:rPr/>
              <w:t>0,3</w:t>
            </w:r>
          </w:p>
        </w:tc>
        <w:tc>
          <w:tcPr>
            <w:tcW w:w="1481" w:type="dxa"/>
            <w:tcBorders>
              <w:left w:val="single" w:sz="8" w:space="0" w:color="000000"/>
            </w:tcBorders>
            <w:shd w:fill="auto" w:val="clear"/>
            <w:tcMar>
              <w:left w:w="0" w:type="dxa"/>
              <w:right w:w="0" w:type="dxa"/>
            </w:tcMar>
          </w:tcPr>
          <w:p>
            <w:pPr>
              <w:pStyle w:val="Normal"/>
              <w:jc w:val="center"/>
              <w:rPr/>
            </w:pPr>
            <w:r>
              <w:rPr/>
              <w:t>0,5</w:t>
            </w:r>
          </w:p>
        </w:tc>
        <w:tc>
          <w:tcPr>
            <w:tcW w:w="1498" w:type="dxa"/>
            <w:tcBorders>
              <w:left w:val="single" w:sz="8" w:space="0" w:color="000000"/>
            </w:tcBorders>
            <w:shd w:fill="auto" w:val="clear"/>
            <w:tcMar>
              <w:left w:w="0" w:type="dxa"/>
              <w:right w:w="0" w:type="dxa"/>
            </w:tcMar>
          </w:tcPr>
          <w:p>
            <w:pPr>
              <w:pStyle w:val="Normal"/>
              <w:jc w:val="center"/>
              <w:rPr/>
            </w:pPr>
            <w:r>
              <w:rPr/>
              <w:t>0,8</w:t>
            </w:r>
          </w:p>
        </w:tc>
        <w:tc>
          <w:tcPr>
            <w:tcW w:w="1498" w:type="dxa"/>
            <w:tcBorders>
              <w:left w:val="single" w:sz="8" w:space="0" w:color="000000"/>
            </w:tcBorders>
            <w:shd w:fill="auto" w:val="clear"/>
            <w:tcMar>
              <w:left w:w="0" w:type="dxa"/>
              <w:right w:w="0" w:type="dxa"/>
            </w:tcMar>
          </w:tcPr>
          <w:p>
            <w:pPr>
              <w:pStyle w:val="Normal"/>
              <w:jc w:val="center"/>
              <w:rPr/>
            </w:pPr>
            <w:r>
              <w:rPr/>
              <w:t>0,9</w:t>
            </w:r>
          </w:p>
        </w:tc>
        <w:tc>
          <w:tcPr>
            <w:tcW w:w="15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1,0</w:t>
            </w:r>
          </w:p>
        </w:tc>
      </w:tr>
      <w:tr>
        <w:trPr/>
        <w:tc>
          <w:tcPr>
            <w:tcW w:w="1808" w:type="dxa"/>
            <w:tcBorders>
              <w:left w:val="single" w:sz="8" w:space="0" w:color="000000"/>
              <w:bottom w:val="single" w:sz="8" w:space="0" w:color="000000"/>
              <w:insideH w:val="single" w:sz="8" w:space="0" w:color="000000"/>
            </w:tcBorders>
            <w:shd w:fill="auto" w:val="clear"/>
          </w:tcPr>
          <w:p>
            <w:pPr>
              <w:pStyle w:val="Normal"/>
              <w:jc w:val="center"/>
              <w:rPr/>
            </w:pPr>
            <w:r>
              <w:rPr/>
              <w:t>75</w:t>
            </w:r>
          </w:p>
        </w:tc>
        <w:tc>
          <w:tcPr>
            <w:tcW w:w="151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0,22</w:t>
            </w:r>
          </w:p>
        </w:tc>
        <w:tc>
          <w:tcPr>
            <w:tcW w:w="14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0,45</w:t>
            </w:r>
          </w:p>
        </w:tc>
        <w:tc>
          <w:tcPr>
            <w:tcW w:w="149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0,65</w:t>
            </w:r>
          </w:p>
        </w:tc>
        <w:tc>
          <w:tcPr>
            <w:tcW w:w="149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0,75</w:t>
            </w:r>
          </w:p>
        </w:tc>
        <w:tc>
          <w:tcPr>
            <w:tcW w:w="15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0,9</w:t>
            </w:r>
          </w:p>
        </w:tc>
      </w:tr>
    </w:tbl>
    <w:p>
      <w:pPr>
        <w:pStyle w:val="Normal"/>
        <w:spacing w:before="120" w:after="0"/>
        <w:ind w:firstLine="283"/>
        <w:jc w:val="both"/>
        <w:rPr/>
      </w:pPr>
      <w:r>
        <w:rPr/>
        <w:t>б) Сопротивление изоляции бандажей.</w:t>
      </w:r>
    </w:p>
    <w:p>
      <w:pPr>
        <w:pStyle w:val="Normal"/>
        <w:ind w:firstLine="283"/>
        <w:jc w:val="both"/>
        <w:rPr/>
      </w:pPr>
      <w:r>
        <w:rPr/>
        <w:t>Измерение производится относительно корпуса и удерживаемых ими обмоток.</w:t>
      </w:r>
    </w:p>
    <w:p>
      <w:pPr>
        <w:pStyle w:val="Normal"/>
        <w:ind w:firstLine="283"/>
        <w:jc w:val="both"/>
        <w:rPr/>
      </w:pPr>
      <w:r>
        <w:rPr/>
        <w:t>Измеренное значение сопротивления изоляции должно быть не менее 0,5 МОм.</w:t>
      </w:r>
    </w:p>
    <w:p>
      <w:pPr>
        <w:pStyle w:val="Normal"/>
        <w:ind w:firstLine="283"/>
        <w:jc w:val="both"/>
        <w:rPr>
          <w:b/>
          <w:b/>
          <w:bCs/>
        </w:rPr>
      </w:pPr>
      <w:r>
        <w:rPr>
          <w:b/>
          <w:bCs/>
        </w:rPr>
        <w:t>3. Испытание изоляции повышенным напряжением промышленной частоты.</w:t>
      </w:r>
    </w:p>
    <w:p>
      <w:pPr>
        <w:pStyle w:val="Normal"/>
        <w:ind w:firstLine="283"/>
        <w:jc w:val="both"/>
        <w:rPr/>
      </w:pPr>
      <w:r>
        <w:rPr/>
        <w:t>Испытание производится по нормам, приведенным в табл. 1.8.8. Продолжительность приложения нормированного испытательного напряжения 1 мин. Обмотки машин мощностью менее 3 кВт допускается не испытывать.</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8</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машин</w:t>
      </w:r>
      <w:r>
        <w:rPr>
          <w:b/>
          <w:bCs/>
        </w:rPr>
        <w:t xml:space="preserve"> </w:t>
      </w:r>
      <w:r>
        <w:rPr>
          <w:b/>
          <w:bCs/>
          <w:i/>
          <w:iCs/>
        </w:rPr>
        <w:t>постоянного</w:t>
      </w:r>
      <w:r>
        <w:rPr>
          <w:b/>
          <w:bCs/>
        </w:rPr>
        <w:t xml:space="preserve"> </w:t>
      </w:r>
      <w:r>
        <w:rPr>
          <w:b/>
          <w:bCs/>
          <w:i/>
          <w:iCs/>
        </w:rPr>
        <w:t>тока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060"/>
        <w:gridCol w:w="2827"/>
        <w:gridCol w:w="3468"/>
      </w:tblGrid>
      <w:tr>
        <w:trPr>
          <w:tblHeader w:val="true"/>
        </w:trPr>
        <w:tc>
          <w:tcPr>
            <w:tcW w:w="3060"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2827"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Характеристика электрической машины</w:t>
            </w:r>
          </w:p>
        </w:tc>
        <w:tc>
          <w:tcPr>
            <w:tcW w:w="346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w:t>
            </w:r>
          </w:p>
        </w:tc>
      </w:tr>
      <w:tr>
        <w:trPr/>
        <w:tc>
          <w:tcPr>
            <w:tcW w:w="3060" w:type="dxa"/>
            <w:tcBorders>
              <w:left w:val="single" w:sz="8" w:space="0" w:color="000000"/>
              <w:bottom w:val="single" w:sz="8" w:space="0" w:color="000000"/>
              <w:insideH w:val="single" w:sz="8" w:space="0" w:color="000000"/>
            </w:tcBorders>
            <w:shd w:fill="auto" w:val="clear"/>
          </w:tcPr>
          <w:p>
            <w:pPr>
              <w:pStyle w:val="Normal"/>
              <w:jc w:val="both"/>
              <w:rPr/>
            </w:pPr>
            <w:r>
              <w:rPr/>
              <w:t>Обмотка</w:t>
            </w:r>
          </w:p>
        </w:tc>
        <w:tc>
          <w:tcPr>
            <w:tcW w:w="282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Машины всех мощностей</w:t>
            </w:r>
          </w:p>
        </w:tc>
        <w:tc>
          <w:tcPr>
            <w:tcW w:w="3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8</w:t>
            </w:r>
            <w:r>
              <w:rPr>
                <w:i/>
                <w:iCs/>
              </w:rPr>
              <w:t>U</w:t>
            </w:r>
            <w:r>
              <w:rPr>
                <w:vertAlign w:val="subscript"/>
              </w:rPr>
              <w:t>ном.</w:t>
            </w:r>
            <w:r>
              <w:rPr/>
              <w:t>, но не ниже 1,2 и не выше 2,8</w:t>
            </w:r>
          </w:p>
        </w:tc>
      </w:tr>
      <w:tr>
        <w:trPr/>
        <w:tc>
          <w:tcPr>
            <w:tcW w:w="3060" w:type="dxa"/>
            <w:tcBorders>
              <w:left w:val="single" w:sz="8" w:space="0" w:color="000000"/>
              <w:bottom w:val="single" w:sz="8" w:space="0" w:color="000000"/>
              <w:insideH w:val="single" w:sz="8" w:space="0" w:color="000000"/>
            </w:tcBorders>
            <w:shd w:fill="auto" w:val="clear"/>
          </w:tcPr>
          <w:p>
            <w:pPr>
              <w:pStyle w:val="Normal"/>
              <w:jc w:val="both"/>
              <w:rPr/>
            </w:pPr>
            <w:r>
              <w:rPr/>
              <w:t>Бандажи якоря</w:t>
            </w:r>
          </w:p>
        </w:tc>
        <w:tc>
          <w:tcPr>
            <w:tcW w:w="282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Тоже</w:t>
            </w:r>
          </w:p>
        </w:tc>
        <w:tc>
          <w:tcPr>
            <w:tcW w:w="3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w:t>
            </w:r>
          </w:p>
        </w:tc>
      </w:tr>
      <w:tr>
        <w:trPr/>
        <w:tc>
          <w:tcPr>
            <w:tcW w:w="3060" w:type="dxa"/>
            <w:tcBorders>
              <w:left w:val="single" w:sz="8" w:space="0" w:color="000000"/>
              <w:bottom w:val="single" w:sz="8" w:space="0" w:color="000000"/>
              <w:insideH w:val="single" w:sz="8" w:space="0" w:color="000000"/>
            </w:tcBorders>
            <w:shd w:fill="auto" w:val="clear"/>
          </w:tcPr>
          <w:p>
            <w:pPr>
              <w:pStyle w:val="Normal"/>
              <w:jc w:val="both"/>
              <w:rPr/>
            </w:pPr>
            <w:r>
              <w:rPr/>
              <w:t>Реостаты и пускорегулировочные резисторы (испытание может проводиться совместно с цепями возбуждения)</w:t>
            </w:r>
          </w:p>
        </w:tc>
        <w:tc>
          <w:tcPr>
            <w:tcW w:w="282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346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w:t>
            </w:r>
          </w:p>
          <w:p>
            <w:pPr>
              <w:pStyle w:val="Normal"/>
              <w:jc w:val="center"/>
              <w:rPr/>
            </w:pPr>
            <w:r>
              <w:rPr/>
              <w:t>(Изоляцию можно испытывать совместно с изоляцией цепей возбуждения)</w:t>
            </w:r>
          </w:p>
        </w:tc>
      </w:tr>
    </w:tbl>
    <w:p>
      <w:pPr>
        <w:pStyle w:val="Normal"/>
        <w:spacing w:before="120" w:after="0"/>
        <w:ind w:firstLine="283"/>
        <w:jc w:val="both"/>
        <w:rPr>
          <w:b/>
          <w:b/>
          <w:bCs/>
        </w:rPr>
      </w:pPr>
      <w:r>
        <w:rPr>
          <w:b/>
          <w:bCs/>
        </w:rPr>
        <w:t>4. Измерение сопротивления постоянному току:</w:t>
      </w:r>
    </w:p>
    <w:p>
      <w:pPr>
        <w:pStyle w:val="Normal"/>
        <w:ind w:firstLine="283"/>
        <w:jc w:val="both"/>
        <w:rPr/>
      </w:pPr>
      <w:r>
        <w:rPr/>
        <w:t>а) обмоток возбуждения. Значение сопротивления должно отличаться от данных завода-изготовителя не более чем на 2 %;</w:t>
      </w:r>
    </w:p>
    <w:p>
      <w:pPr>
        <w:pStyle w:val="Normal"/>
        <w:ind w:firstLine="283"/>
        <w:jc w:val="both"/>
        <w:rPr/>
      </w:pPr>
      <w:r>
        <w:rPr/>
        <w:t>б)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колебания обусловлены схемой соединения обмоток;</w:t>
      </w:r>
    </w:p>
    <w:p>
      <w:pPr>
        <w:pStyle w:val="Normal"/>
        <w:ind w:firstLine="283"/>
        <w:jc w:val="both"/>
        <w:rPr/>
      </w:pPr>
      <w:r>
        <w:rPr/>
        <w:t>в) реостатов и пускорегулировочных резисторов. Измеряется общее сопротивление, проверяется целость отпаек. Значения сопротивлений должны отличаться от данных завода-изготовителя не более чем на 10 %.</w:t>
      </w:r>
    </w:p>
    <w:p>
      <w:pPr>
        <w:pStyle w:val="Normal"/>
        <w:ind w:firstLine="283"/>
        <w:jc w:val="both"/>
        <w:rPr>
          <w:b/>
          <w:b/>
          <w:bCs/>
        </w:rPr>
      </w:pPr>
      <w:r>
        <w:rPr>
          <w:b/>
          <w:bCs/>
        </w:rPr>
        <w:t>5. Снятие характеристики холостого хода и испытание витковой изоляции.</w:t>
      </w:r>
    </w:p>
    <w:p>
      <w:pPr>
        <w:pStyle w:val="Normal"/>
        <w:ind w:firstLine="283"/>
        <w:jc w:val="both"/>
        <w:rPr/>
      </w:pPr>
      <w:r>
        <w:rPr/>
        <w:t>Подъем напряжения следует производить: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- 3 мин.</w:t>
      </w:r>
    </w:p>
    <w:p>
      <w:pPr>
        <w:pStyle w:val="Normal"/>
        <w:ind w:firstLine="283"/>
        <w:jc w:val="both"/>
        <w:rPr/>
      </w:pPr>
      <w:r>
        <w:rPr/>
        <w:t>Отклонение данных полученной характеристики от значений заводской характеристики должно находиться в пределах погрешности измерения.</w:t>
      </w:r>
    </w:p>
    <w:p>
      <w:pPr>
        <w:pStyle w:val="Normal"/>
        <w:ind w:firstLine="283"/>
        <w:jc w:val="both"/>
        <w:rPr>
          <w:b/>
          <w:b/>
          <w:bCs/>
        </w:rPr>
      </w:pPr>
      <w:r>
        <w:rPr>
          <w:b/>
          <w:bCs/>
        </w:rPr>
        <w:t>6. Снятие нагрузочной характеристики.</w:t>
      </w:r>
    </w:p>
    <w:p>
      <w:pPr>
        <w:pStyle w:val="Normal"/>
        <w:ind w:firstLine="283"/>
        <w:jc w:val="both"/>
        <w:rPr/>
      </w:pPr>
      <w:r>
        <w:rP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pPr>
        <w:pStyle w:val="Normal"/>
        <w:ind w:firstLine="283"/>
        <w:jc w:val="both"/>
        <w:rPr>
          <w:b/>
          <w:b/>
          <w:bCs/>
        </w:rPr>
      </w:pPr>
      <w:r>
        <w:rPr>
          <w:b/>
          <w:bCs/>
        </w:rPr>
        <w:t>7. Измерение воздушных зазоров между полюсами.</w:t>
      </w:r>
    </w:p>
    <w:p>
      <w:pPr>
        <w:pStyle w:val="Normal"/>
        <w:ind w:firstLine="283"/>
        <w:jc w:val="both"/>
        <w:rPr/>
      </w:pPr>
      <w:r>
        <w:rPr/>
        <w:t>Измерения производятся у машин мощностью 200 кВт и более.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pPr>
        <w:pStyle w:val="Normal"/>
        <w:ind w:firstLine="283"/>
        <w:jc w:val="both"/>
        <w:rPr>
          <w:b/>
          <w:b/>
          <w:bCs/>
        </w:rPr>
      </w:pPr>
      <w:r>
        <w:rPr>
          <w:b/>
          <w:bCs/>
        </w:rPr>
        <w:t>8. Испытание на холостом ходу и под нагрузкой.</w:t>
      </w:r>
    </w:p>
    <w:p>
      <w:pPr>
        <w:pStyle w:val="Normal"/>
        <w:ind w:firstLine="283"/>
        <w:jc w:val="both"/>
        <w:rPr/>
      </w:pPr>
      <w:r>
        <w:rPr/>
        <w:t>Определяется предел регулирования частоты вращения или напряжения, который должен соответствовать заводским и проектным данным.</w:t>
      </w:r>
    </w:p>
    <w:p>
      <w:pPr>
        <w:pStyle w:val="Heading3"/>
        <w:rPr/>
      </w:pPr>
      <w:r>
        <w:rPr/>
        <w:t>1.8.15. Электродвигатели переменного тока</w:t>
      </w:r>
    </w:p>
    <w:p>
      <w:pPr>
        <w:pStyle w:val="Normal"/>
        <w:ind w:firstLine="283"/>
        <w:jc w:val="both"/>
        <w:rPr/>
      </w:pPr>
      <w:r>
        <w:rPr/>
        <w:t>Электродвигатели переменного тока напряжением до 1 кВ испытываются по пп. 2, 4б, 5, 6.</w:t>
      </w:r>
    </w:p>
    <w:p>
      <w:pPr>
        <w:pStyle w:val="Normal"/>
        <w:ind w:firstLine="283"/>
        <w:jc w:val="both"/>
        <w:rPr/>
      </w:pPr>
      <w:r>
        <w:rPr/>
        <w:t>Электродвигатели переменного тока напряжением выше 1</w:t>
      </w:r>
      <w:r>
        <w:rPr>
          <w:color w:val="000000"/>
        </w:rPr>
        <w:t xml:space="preserve"> кВ испытываются по пп. 1</w:t>
      </w:r>
      <w:r>
        <w:rPr/>
        <w:t xml:space="preserve"> - 6.</w:t>
      </w:r>
    </w:p>
    <w:p>
      <w:pPr>
        <w:pStyle w:val="Normal"/>
        <w:ind w:firstLine="283"/>
        <w:jc w:val="both"/>
        <w:rPr>
          <w:b/>
          <w:b/>
          <w:bCs/>
        </w:rPr>
      </w:pPr>
      <w:r>
        <w:rPr>
          <w:b/>
          <w:bCs/>
        </w:rPr>
        <w:t>1. Определение возможности включения без сушки электродвигателей напряжением выше 1 кВ.</w:t>
      </w:r>
    </w:p>
    <w:p>
      <w:pPr>
        <w:pStyle w:val="Normal"/>
        <w:ind w:firstLine="283"/>
        <w:jc w:val="both"/>
        <w:rPr/>
      </w:pPr>
      <w:r>
        <w:rPr/>
        <w:t>Электродвигатели переменного тока включаются без сушки, если значение сопротивления изоляции и коэффициента абсорбции не ниже указанных в табл. 1.8.9.</w:t>
      </w:r>
    </w:p>
    <w:p>
      <w:pPr>
        <w:pStyle w:val="Normal"/>
        <w:ind w:firstLine="283"/>
        <w:jc w:val="both"/>
        <w:rPr>
          <w:b/>
          <w:b/>
          <w:bCs/>
        </w:rPr>
      </w:pPr>
      <w:r>
        <w:rPr>
          <w:b/>
          <w:bCs/>
        </w:rPr>
        <w:t>2. Измерение сопротивления изоляции.</w:t>
      </w:r>
    </w:p>
    <w:p>
      <w:pPr>
        <w:pStyle w:val="Normal"/>
        <w:ind w:firstLine="283"/>
        <w:jc w:val="both"/>
        <w:rPr/>
      </w:pPr>
      <w:r>
        <w:rPr/>
        <w:t>Допустимые значения сопротивления изоляции электродвигателей напряжением выше 1 кВ должны соответствовать нормам, приведенным в табл. 1.8.10.</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9</w:t>
      </w:r>
    </w:p>
    <w:p>
      <w:pPr>
        <w:pStyle w:val="Normal"/>
        <w:spacing w:before="0" w:after="120"/>
        <w:jc w:val="center"/>
        <w:rP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и</w:t>
      </w:r>
      <w:r>
        <w:rPr>
          <w:b/>
          <w:bCs/>
        </w:rPr>
        <w:t xml:space="preserve"> </w:t>
      </w:r>
      <w:r>
        <w:rPr>
          <w:b/>
          <w:bCs/>
          <w:i/>
          <w:iCs/>
        </w:rPr>
        <w:t>коэффициента</w:t>
      </w:r>
      <w:r>
        <w:rPr>
          <w:b/>
          <w:bCs/>
        </w:rPr>
        <w:t xml:space="preserve"> </w:t>
      </w:r>
      <w:r>
        <w:rPr>
          <w:b/>
          <w:bCs/>
          <w:i/>
          <w:iCs/>
        </w:rPr>
        <w:t>абсорбции</w:t>
      </w:r>
      <w:r>
        <w:rPr>
          <w:b/>
          <w:bCs/>
        </w:rPr>
        <w:t xml:space="preserve"> </w:t>
      </w:r>
      <w:r>
        <w:rPr>
          <w:b/>
          <w:bCs/>
          <w:i/>
          <w:iCs/>
        </w:rPr>
        <w:t>для</w:t>
      </w:r>
      <w:r>
        <w:rPr>
          <w:b/>
          <w:bCs/>
        </w:rPr>
        <w:t xml:space="preserve"> </w:t>
      </w:r>
      <w:r>
        <w:rPr>
          <w:b/>
          <w:bCs/>
          <w:i/>
          <w:iCs/>
        </w:rPr>
        <w:t>обмоток статора</w:t>
      </w:r>
      <w:r>
        <w:rPr>
          <w:b/>
          <w:bCs/>
        </w:rPr>
        <w:t xml:space="preserve"> </w:t>
      </w:r>
      <w:r>
        <w:rPr>
          <w:b/>
          <w:bCs/>
          <w:i/>
          <w:iCs/>
        </w:rPr>
        <w:t>электродвигателей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095"/>
        <w:gridCol w:w="3031"/>
        <w:gridCol w:w="2229"/>
      </w:tblGrid>
      <w:tr>
        <w:trPr>
          <w:tblHeader w:val="true"/>
        </w:trPr>
        <w:tc>
          <w:tcPr>
            <w:tcW w:w="4095"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Мощность, номинальное напряжение электродвигателя, вид изоляции обмоток</w:t>
            </w:r>
          </w:p>
        </w:tc>
        <w:tc>
          <w:tcPr>
            <w:tcW w:w="5260"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Критерии оценки состояния изоляции обмотки статора</w:t>
            </w:r>
          </w:p>
        </w:tc>
      </w:tr>
      <w:tr>
        <w:trPr>
          <w:tblHeader w:val="true"/>
        </w:trPr>
        <w:tc>
          <w:tcPr>
            <w:tcW w:w="4095"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3031" w:type="dxa"/>
            <w:tcBorders>
              <w:left w:val="single" w:sz="8" w:space="0" w:color="000000"/>
              <w:bottom w:val="single" w:sz="8" w:space="0" w:color="000000"/>
              <w:insideH w:val="single" w:sz="8" w:space="0" w:color="000000"/>
            </w:tcBorders>
            <w:shd w:fill="auto" w:val="clear"/>
            <w:vAlign w:val="center"/>
          </w:tcPr>
          <w:p>
            <w:pPr>
              <w:pStyle w:val="Normal"/>
              <w:jc w:val="center"/>
              <w:rPr/>
            </w:pPr>
            <w:r>
              <w:rPr/>
              <w:t>Значение сопротивления изоляции, МОм</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 xml:space="preserve">Значение коэффициента абсорбции </w:t>
            </w:r>
            <w:r>
              <w:rPr>
                <w:i/>
                <w:iCs/>
              </w:rPr>
              <w:t>R</w:t>
            </w:r>
            <w:r>
              <w:rPr>
                <w:vertAlign w:val="subscript"/>
              </w:rPr>
              <w:t>60</w:t>
            </w:r>
            <w:r>
              <w:rPr/>
              <w:t>/</w:t>
            </w:r>
            <w:r>
              <w:rPr>
                <w:i/>
                <w:iCs/>
              </w:rPr>
              <w:t>R</w:t>
            </w:r>
            <w:r>
              <w:rPr>
                <w:vertAlign w:val="subscript"/>
              </w:rPr>
              <w:t>15</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1. Мощность более 5 МВт, термореактивная и микалентная компаундированная изоляция</w:t>
            </w:r>
          </w:p>
        </w:tc>
        <w:tc>
          <w:tcPr>
            <w:tcW w:w="3031" w:type="dxa"/>
            <w:vMerge w:val="restart"/>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При температуре 10 - 30 °С сопротивление изоляции не ниже 10 МОм на 1 кВ номинального линейного напряжения</w:t>
            </w:r>
          </w:p>
        </w:tc>
        <w:tc>
          <w:tcPr>
            <w:tcW w:w="2229" w:type="dxa"/>
            <w:vMerge w:val="restart"/>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Не менее 1,3</w:t>
            </w:r>
          </w:p>
          <w:p>
            <w:pPr>
              <w:pStyle w:val="Normal"/>
              <w:jc w:val="center"/>
              <w:rPr/>
            </w:pPr>
            <w:r>
              <w:rPr/>
              <w:t>при температуре 10 - 30 °С</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2. Мощность 5 МВт и ниже, напряжение выше 1 кВ, термореактивная изоляция</w:t>
            </w:r>
          </w:p>
        </w:tc>
        <w:tc>
          <w:tcPr>
            <w:tcW w:w="3031" w:type="dxa"/>
            <w:vMerge w:val="continue"/>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snapToGrid w:val="false"/>
              <w:rPr/>
            </w:pPr>
            <w:r>
              <w:rPr/>
            </w:r>
          </w:p>
        </w:tc>
        <w:tc>
          <w:tcPr>
            <w:tcW w:w="2229" w:type="dxa"/>
            <w:vMerge w:val="continue"/>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3. Двигатели с микалентной компаундированной изоляцией, напряжение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30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ниже значений, указанных в табл. 1.8.10.</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Не менее 1,2</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4. Двигатели с микалентной компаундированной изоляцией, напряжение выше 1 кВ, мощностью более 1 МВт, кроме указанных в п. 3</w:t>
            </w:r>
          </w:p>
        </w:tc>
        <w:tc>
          <w:tcPr>
            <w:tcW w:w="30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ниже значений, указанных в табл. 1.8.10.</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5. Напряжение ниже 1 кВ, все виды изоляции</w:t>
            </w:r>
          </w:p>
        </w:tc>
        <w:tc>
          <w:tcPr>
            <w:tcW w:w="30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Не ниже 1,0 МОм при температуре 10 - 30 °С</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6. Обмотка ротора</w:t>
            </w:r>
          </w:p>
        </w:tc>
        <w:tc>
          <w:tcPr>
            <w:tcW w:w="303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0,2</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4095" w:type="dxa"/>
            <w:tcBorders>
              <w:left w:val="single" w:sz="8" w:space="0" w:color="000000"/>
              <w:bottom w:val="single" w:sz="8" w:space="0" w:color="000000"/>
              <w:insideH w:val="single" w:sz="8" w:space="0" w:color="000000"/>
            </w:tcBorders>
            <w:shd w:fill="auto" w:val="clear"/>
          </w:tcPr>
          <w:p>
            <w:pPr>
              <w:pStyle w:val="Normal"/>
              <w:jc w:val="both"/>
              <w:rPr/>
            </w:pPr>
            <w:r>
              <w:rPr/>
              <w:t>7. Термоиндикаторы с соединительными проводами, подшипники</w:t>
            </w:r>
          </w:p>
        </w:tc>
        <w:tc>
          <w:tcPr>
            <w:tcW w:w="5260"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В соответствии с указаниями заводов-изготовителей</w:t>
            </w:r>
          </w:p>
        </w:tc>
      </w:tr>
    </w:tbl>
    <w:p>
      <w:pPr>
        <w:pStyle w:val="Normal"/>
        <w:spacing w:before="120" w:after="0"/>
        <w:ind w:firstLine="284"/>
        <w:jc w:val="both"/>
        <w:rPr/>
      </w:pPr>
      <w:r>
        <w:rPr>
          <w:b/>
          <w:bCs/>
        </w:rPr>
        <w:t xml:space="preserve">У синхронных электродвигателей и электродвигателей с фазным ротором </w:t>
      </w:r>
      <w:r>
        <w:rPr/>
        <w:t>на напряжение 3 кВ и выше или мощностью более 1 МВт производится измерение сопротивления изоляции ротора мегаомметром на напряжение 1000 В. Измеренное значение сопротивления должно быть не ниже 0,2 МОм.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10</w:t>
      </w:r>
    </w:p>
    <w:p>
      <w:pPr>
        <w:pStyle w:val="Normal"/>
        <w:spacing w:before="0" w:after="120"/>
        <w:jc w:val="center"/>
        <w:rPr/>
      </w:pPr>
      <w:r>
        <w:rPr>
          <w:b/>
          <w:bCs/>
          <w:i/>
          <w:iCs/>
        </w:rPr>
        <w:t>Наименьшие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r>
        <w:rPr>
          <w:b/>
          <w:bCs/>
        </w:rPr>
        <w:t xml:space="preserve"> </w:t>
      </w:r>
      <w:r>
        <w:rPr>
          <w:b/>
          <w:bCs/>
          <w:i/>
          <w:iCs/>
        </w:rPr>
        <w:t>для</w:t>
      </w:r>
      <w:r>
        <w:rPr>
          <w:b/>
          <w:bCs/>
        </w:rPr>
        <w:t xml:space="preserve"> </w:t>
      </w:r>
      <w:r>
        <w:rPr>
          <w:b/>
          <w:bCs/>
          <w:i/>
          <w:iCs/>
        </w:rPr>
        <w:t>электродвигателей</w:t>
      </w:r>
      <w:r>
        <w:rPr>
          <w:b/>
          <w:bCs/>
        </w:rPr>
        <w:t xml:space="preserve"> (</w:t>
      </w:r>
      <w:r>
        <w:rPr>
          <w:b/>
          <w:bCs/>
          <w:i/>
          <w:iCs/>
        </w:rPr>
        <w:t>табл</w:t>
      </w:r>
      <w:r>
        <w:rPr>
          <w:b/>
          <w:bCs/>
        </w:rPr>
        <w:t xml:space="preserve">. </w:t>
      </w:r>
      <w:r>
        <w:rPr>
          <w:b/>
          <w:bCs/>
          <w:i/>
          <w:iCs/>
        </w:rPr>
        <w:t>1.8.9</w:t>
      </w:r>
      <w:r>
        <w:rPr>
          <w:b/>
          <w:bCs/>
        </w:rPr>
        <w:t xml:space="preserve">, </w:t>
      </w:r>
      <w:r>
        <w:rPr>
          <w:b/>
          <w:bCs/>
          <w:i/>
          <w:iCs/>
        </w:rPr>
        <w:t>пп</w:t>
      </w:r>
      <w:r>
        <w:rPr>
          <w:b/>
          <w:bCs/>
        </w:rPr>
        <w:t xml:space="preserve">. </w:t>
      </w:r>
      <w:r>
        <w:rPr>
          <w:b/>
          <w:bCs/>
          <w:i/>
          <w:iCs/>
        </w:rPr>
        <w:t>3</w:t>
      </w:r>
      <w:r>
        <w:rPr>
          <w:b/>
          <w:bCs/>
        </w:rPr>
        <w:t xml:space="preserve">, </w:t>
      </w:r>
      <w:r>
        <w:rPr>
          <w:b/>
          <w:bCs/>
          <w:i/>
          <w:iCs/>
        </w:rPr>
        <w:t>4</w:t>
      </w:r>
      <w:r>
        <w:rPr>
          <w:b/>
          <w:bCs/>
        </w:rPr>
        <w:t>)</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21"/>
        <w:gridCol w:w="2552"/>
        <w:gridCol w:w="2553"/>
        <w:gridCol w:w="2229"/>
      </w:tblGrid>
      <w:tr>
        <w:trPr>
          <w:tblHeader w:val="true"/>
        </w:trPr>
        <w:tc>
          <w:tcPr>
            <w:tcW w:w="2021"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Температура обмотки, °С</w:t>
            </w:r>
          </w:p>
        </w:tc>
        <w:tc>
          <w:tcPr>
            <w:tcW w:w="7334"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 xml:space="preserve">Сопротивление изоляции </w:t>
            </w:r>
            <w:r>
              <w:rPr>
                <w:i/>
                <w:iCs/>
              </w:rPr>
              <w:t>R</w:t>
            </w:r>
            <w:r>
              <w:rPr>
                <w:vertAlign w:val="subscript"/>
              </w:rPr>
              <w:t>60"</w:t>
            </w:r>
            <w:r>
              <w:rPr/>
              <w:t>, МОм, при номинальном напряжении обмотки, кВ</w:t>
            </w:r>
          </w:p>
        </w:tc>
      </w:tr>
      <w:tr>
        <w:trPr>
          <w:tblHeader w:val="true"/>
        </w:trPr>
        <w:tc>
          <w:tcPr>
            <w:tcW w:w="2021"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2552" w:type="dxa"/>
            <w:tcBorders>
              <w:left w:val="single" w:sz="8" w:space="0" w:color="000000"/>
              <w:bottom w:val="single" w:sz="8" w:space="0" w:color="000000"/>
              <w:insideH w:val="single" w:sz="8" w:space="0" w:color="000000"/>
            </w:tcBorders>
            <w:shd w:fill="auto" w:val="clear"/>
            <w:vAlign w:val="center"/>
          </w:tcPr>
          <w:p>
            <w:pPr>
              <w:pStyle w:val="Normal"/>
              <w:jc w:val="center"/>
              <w:rPr/>
            </w:pPr>
            <w:r>
              <w:rPr/>
              <w:t>3 - 3,15</w:t>
            </w:r>
          </w:p>
        </w:tc>
        <w:tc>
          <w:tcPr>
            <w:tcW w:w="25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6 - 6,3</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10 - 10,5</w:t>
            </w:r>
          </w:p>
        </w:tc>
      </w:tr>
      <w:tr>
        <w:trPr/>
        <w:tc>
          <w:tcPr>
            <w:tcW w:w="2021" w:type="dxa"/>
            <w:tcBorders>
              <w:left w:val="single" w:sz="8" w:space="0" w:color="000000"/>
            </w:tcBorders>
            <w:shd w:fill="auto" w:val="clear"/>
          </w:tcPr>
          <w:p>
            <w:pPr>
              <w:pStyle w:val="Normal"/>
              <w:jc w:val="center"/>
              <w:rPr/>
            </w:pPr>
            <w:r>
              <w:rPr/>
              <w:t>10</w:t>
            </w:r>
          </w:p>
        </w:tc>
        <w:tc>
          <w:tcPr>
            <w:tcW w:w="2552" w:type="dxa"/>
            <w:tcBorders>
              <w:left w:val="single" w:sz="8" w:space="0" w:color="000000"/>
            </w:tcBorders>
            <w:shd w:fill="auto" w:val="clear"/>
            <w:tcMar>
              <w:left w:w="0" w:type="dxa"/>
              <w:right w:w="0" w:type="dxa"/>
            </w:tcMar>
          </w:tcPr>
          <w:p>
            <w:pPr>
              <w:pStyle w:val="Normal"/>
              <w:jc w:val="center"/>
              <w:rPr/>
            </w:pPr>
            <w:r>
              <w:rPr/>
              <w:t>30</w:t>
            </w:r>
          </w:p>
        </w:tc>
        <w:tc>
          <w:tcPr>
            <w:tcW w:w="2553" w:type="dxa"/>
            <w:tcBorders>
              <w:left w:val="single" w:sz="8" w:space="0" w:color="000000"/>
            </w:tcBorders>
            <w:shd w:fill="auto" w:val="clear"/>
            <w:tcMar>
              <w:left w:w="0" w:type="dxa"/>
              <w:right w:w="0" w:type="dxa"/>
            </w:tcMar>
          </w:tcPr>
          <w:p>
            <w:pPr>
              <w:pStyle w:val="Normal"/>
              <w:jc w:val="center"/>
              <w:rPr/>
            </w:pPr>
            <w:r>
              <w:rPr/>
              <w:t>60</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100</w:t>
            </w:r>
          </w:p>
        </w:tc>
      </w:tr>
      <w:tr>
        <w:trPr/>
        <w:tc>
          <w:tcPr>
            <w:tcW w:w="2021" w:type="dxa"/>
            <w:tcBorders>
              <w:left w:val="single" w:sz="8" w:space="0" w:color="000000"/>
            </w:tcBorders>
            <w:shd w:fill="auto" w:val="clear"/>
          </w:tcPr>
          <w:p>
            <w:pPr>
              <w:pStyle w:val="Normal"/>
              <w:jc w:val="center"/>
              <w:rPr/>
            </w:pPr>
            <w:r>
              <w:rPr/>
              <w:t>20</w:t>
            </w:r>
          </w:p>
        </w:tc>
        <w:tc>
          <w:tcPr>
            <w:tcW w:w="2552" w:type="dxa"/>
            <w:tcBorders>
              <w:left w:val="single" w:sz="8" w:space="0" w:color="000000"/>
            </w:tcBorders>
            <w:shd w:fill="auto" w:val="clear"/>
            <w:tcMar>
              <w:left w:w="0" w:type="dxa"/>
              <w:right w:w="0" w:type="dxa"/>
            </w:tcMar>
          </w:tcPr>
          <w:p>
            <w:pPr>
              <w:pStyle w:val="Normal"/>
              <w:jc w:val="center"/>
              <w:rPr/>
            </w:pPr>
            <w:r>
              <w:rPr/>
              <w:t>20</w:t>
            </w:r>
          </w:p>
        </w:tc>
        <w:tc>
          <w:tcPr>
            <w:tcW w:w="2553" w:type="dxa"/>
            <w:tcBorders>
              <w:left w:val="single" w:sz="8" w:space="0" w:color="000000"/>
            </w:tcBorders>
            <w:shd w:fill="auto" w:val="clear"/>
            <w:tcMar>
              <w:left w:w="0" w:type="dxa"/>
              <w:right w:w="0" w:type="dxa"/>
            </w:tcMar>
          </w:tcPr>
          <w:p>
            <w:pPr>
              <w:pStyle w:val="Normal"/>
              <w:jc w:val="center"/>
              <w:rPr/>
            </w:pPr>
            <w:r>
              <w:rPr/>
              <w:t>40</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70</w:t>
            </w:r>
          </w:p>
        </w:tc>
      </w:tr>
      <w:tr>
        <w:trPr/>
        <w:tc>
          <w:tcPr>
            <w:tcW w:w="2021" w:type="dxa"/>
            <w:tcBorders>
              <w:left w:val="single" w:sz="8" w:space="0" w:color="000000"/>
            </w:tcBorders>
            <w:shd w:fill="auto" w:val="clear"/>
          </w:tcPr>
          <w:p>
            <w:pPr>
              <w:pStyle w:val="Normal"/>
              <w:jc w:val="center"/>
              <w:rPr/>
            </w:pPr>
            <w:r>
              <w:rPr/>
              <w:t>30</w:t>
            </w:r>
          </w:p>
        </w:tc>
        <w:tc>
          <w:tcPr>
            <w:tcW w:w="2552" w:type="dxa"/>
            <w:tcBorders>
              <w:left w:val="single" w:sz="8" w:space="0" w:color="000000"/>
            </w:tcBorders>
            <w:shd w:fill="auto" w:val="clear"/>
            <w:tcMar>
              <w:left w:w="0" w:type="dxa"/>
              <w:right w:w="0" w:type="dxa"/>
            </w:tcMar>
          </w:tcPr>
          <w:p>
            <w:pPr>
              <w:pStyle w:val="Normal"/>
              <w:jc w:val="center"/>
              <w:rPr/>
            </w:pPr>
            <w:r>
              <w:rPr/>
              <w:t>15</w:t>
            </w:r>
          </w:p>
        </w:tc>
        <w:tc>
          <w:tcPr>
            <w:tcW w:w="2553" w:type="dxa"/>
            <w:tcBorders>
              <w:left w:val="single" w:sz="8" w:space="0" w:color="000000"/>
            </w:tcBorders>
            <w:shd w:fill="auto" w:val="clear"/>
            <w:tcMar>
              <w:left w:w="0" w:type="dxa"/>
              <w:right w:w="0" w:type="dxa"/>
            </w:tcMar>
          </w:tcPr>
          <w:p>
            <w:pPr>
              <w:pStyle w:val="Normal"/>
              <w:jc w:val="center"/>
              <w:rPr/>
            </w:pPr>
            <w:r>
              <w:rPr/>
              <w:t>30</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50</w:t>
            </w:r>
          </w:p>
        </w:tc>
      </w:tr>
      <w:tr>
        <w:trPr/>
        <w:tc>
          <w:tcPr>
            <w:tcW w:w="2021" w:type="dxa"/>
            <w:tcBorders>
              <w:left w:val="single" w:sz="8" w:space="0" w:color="000000"/>
            </w:tcBorders>
            <w:shd w:fill="auto" w:val="clear"/>
          </w:tcPr>
          <w:p>
            <w:pPr>
              <w:pStyle w:val="Normal"/>
              <w:jc w:val="center"/>
              <w:rPr/>
            </w:pPr>
            <w:r>
              <w:rPr/>
              <w:t>40</w:t>
            </w:r>
          </w:p>
        </w:tc>
        <w:tc>
          <w:tcPr>
            <w:tcW w:w="2552" w:type="dxa"/>
            <w:tcBorders>
              <w:left w:val="single" w:sz="8" w:space="0" w:color="000000"/>
            </w:tcBorders>
            <w:shd w:fill="auto" w:val="clear"/>
            <w:tcMar>
              <w:left w:w="0" w:type="dxa"/>
              <w:right w:w="0" w:type="dxa"/>
            </w:tcMar>
          </w:tcPr>
          <w:p>
            <w:pPr>
              <w:pStyle w:val="Normal"/>
              <w:jc w:val="center"/>
              <w:rPr/>
            </w:pPr>
            <w:r>
              <w:rPr/>
              <w:t>10</w:t>
            </w:r>
          </w:p>
        </w:tc>
        <w:tc>
          <w:tcPr>
            <w:tcW w:w="2553" w:type="dxa"/>
            <w:tcBorders>
              <w:left w:val="single" w:sz="8" w:space="0" w:color="000000"/>
            </w:tcBorders>
            <w:shd w:fill="auto" w:val="clear"/>
            <w:tcMar>
              <w:left w:w="0" w:type="dxa"/>
              <w:right w:w="0" w:type="dxa"/>
            </w:tcMar>
          </w:tcPr>
          <w:p>
            <w:pPr>
              <w:pStyle w:val="Normal"/>
              <w:jc w:val="center"/>
              <w:rPr/>
            </w:pPr>
            <w:r>
              <w:rPr/>
              <w:t>20</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35</w:t>
            </w:r>
          </w:p>
        </w:tc>
      </w:tr>
      <w:tr>
        <w:trPr/>
        <w:tc>
          <w:tcPr>
            <w:tcW w:w="2021" w:type="dxa"/>
            <w:tcBorders>
              <w:left w:val="single" w:sz="8" w:space="0" w:color="000000"/>
            </w:tcBorders>
            <w:shd w:fill="auto" w:val="clear"/>
          </w:tcPr>
          <w:p>
            <w:pPr>
              <w:pStyle w:val="Normal"/>
              <w:jc w:val="center"/>
              <w:rPr/>
            </w:pPr>
            <w:r>
              <w:rPr/>
              <w:t>50</w:t>
            </w:r>
          </w:p>
        </w:tc>
        <w:tc>
          <w:tcPr>
            <w:tcW w:w="2552" w:type="dxa"/>
            <w:tcBorders>
              <w:left w:val="single" w:sz="8" w:space="0" w:color="000000"/>
            </w:tcBorders>
            <w:shd w:fill="auto" w:val="clear"/>
            <w:tcMar>
              <w:left w:w="0" w:type="dxa"/>
              <w:right w:w="0" w:type="dxa"/>
            </w:tcMar>
          </w:tcPr>
          <w:p>
            <w:pPr>
              <w:pStyle w:val="Normal"/>
              <w:jc w:val="center"/>
              <w:rPr/>
            </w:pPr>
            <w:r>
              <w:rPr/>
              <w:t>7</w:t>
            </w:r>
          </w:p>
        </w:tc>
        <w:tc>
          <w:tcPr>
            <w:tcW w:w="2553" w:type="dxa"/>
            <w:tcBorders>
              <w:left w:val="single" w:sz="8" w:space="0" w:color="000000"/>
            </w:tcBorders>
            <w:shd w:fill="auto" w:val="clear"/>
            <w:tcMar>
              <w:left w:w="0" w:type="dxa"/>
              <w:right w:w="0" w:type="dxa"/>
            </w:tcMar>
          </w:tcPr>
          <w:p>
            <w:pPr>
              <w:pStyle w:val="Normal"/>
              <w:jc w:val="center"/>
              <w:rPr/>
            </w:pPr>
            <w:r>
              <w:rPr/>
              <w:t>15</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w:t>
            </w:r>
          </w:p>
        </w:tc>
      </w:tr>
      <w:tr>
        <w:trPr/>
        <w:tc>
          <w:tcPr>
            <w:tcW w:w="2021" w:type="dxa"/>
            <w:tcBorders>
              <w:left w:val="single" w:sz="8" w:space="0" w:color="000000"/>
            </w:tcBorders>
            <w:shd w:fill="auto" w:val="clear"/>
          </w:tcPr>
          <w:p>
            <w:pPr>
              <w:pStyle w:val="Normal"/>
              <w:jc w:val="center"/>
              <w:rPr/>
            </w:pPr>
            <w:r>
              <w:rPr/>
              <w:t>60</w:t>
            </w:r>
          </w:p>
        </w:tc>
        <w:tc>
          <w:tcPr>
            <w:tcW w:w="2552" w:type="dxa"/>
            <w:tcBorders>
              <w:left w:val="single" w:sz="8" w:space="0" w:color="000000"/>
            </w:tcBorders>
            <w:shd w:fill="auto" w:val="clear"/>
            <w:tcMar>
              <w:left w:w="0" w:type="dxa"/>
              <w:right w:w="0" w:type="dxa"/>
            </w:tcMar>
          </w:tcPr>
          <w:p>
            <w:pPr>
              <w:pStyle w:val="Normal"/>
              <w:jc w:val="center"/>
              <w:rPr/>
            </w:pPr>
            <w:r>
              <w:rPr/>
              <w:t>5</w:t>
            </w:r>
          </w:p>
        </w:tc>
        <w:tc>
          <w:tcPr>
            <w:tcW w:w="2553" w:type="dxa"/>
            <w:tcBorders>
              <w:left w:val="single" w:sz="8" w:space="0" w:color="000000"/>
            </w:tcBorders>
            <w:shd w:fill="auto" w:val="clear"/>
            <w:tcMar>
              <w:left w:w="0" w:type="dxa"/>
              <w:right w:w="0" w:type="dxa"/>
            </w:tcMar>
          </w:tcPr>
          <w:p>
            <w:pPr>
              <w:pStyle w:val="Normal"/>
              <w:jc w:val="center"/>
              <w:rPr/>
            </w:pPr>
            <w:r>
              <w:rPr/>
              <w:t>10</w:t>
            </w:r>
          </w:p>
        </w:tc>
        <w:tc>
          <w:tcPr>
            <w:tcW w:w="222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17</w:t>
            </w:r>
          </w:p>
        </w:tc>
      </w:tr>
      <w:tr>
        <w:trPr/>
        <w:tc>
          <w:tcPr>
            <w:tcW w:w="2021" w:type="dxa"/>
            <w:tcBorders>
              <w:left w:val="single" w:sz="8" w:space="0" w:color="000000"/>
              <w:bottom w:val="single" w:sz="8" w:space="0" w:color="000000"/>
              <w:insideH w:val="single" w:sz="8" w:space="0" w:color="000000"/>
            </w:tcBorders>
            <w:shd w:fill="auto" w:val="clear"/>
          </w:tcPr>
          <w:p>
            <w:pPr>
              <w:pStyle w:val="Normal"/>
              <w:jc w:val="center"/>
              <w:rPr/>
            </w:pPr>
            <w:r>
              <w:rPr/>
              <w:t>75</w:t>
            </w:r>
          </w:p>
        </w:tc>
        <w:tc>
          <w:tcPr>
            <w:tcW w:w="255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w:t>
            </w:r>
          </w:p>
        </w:tc>
        <w:tc>
          <w:tcPr>
            <w:tcW w:w="255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w:t>
            </w:r>
          </w:p>
        </w:tc>
      </w:tr>
    </w:tbl>
    <w:p>
      <w:pPr>
        <w:pStyle w:val="Normal"/>
        <w:spacing w:before="120" w:after="0"/>
        <w:ind w:firstLine="283"/>
        <w:jc w:val="both"/>
        <w:rPr>
          <w:b/>
          <w:b/>
          <w:bCs/>
        </w:rPr>
      </w:pPr>
      <w:r>
        <w:rPr>
          <w:b/>
          <w:bCs/>
        </w:rPr>
        <w:t>3. Испытание повышенным напряжением промышленной частоты.</w:t>
      </w:r>
    </w:p>
    <w:p>
      <w:pPr>
        <w:pStyle w:val="Normal"/>
        <w:ind w:firstLine="283"/>
        <w:jc w:val="both"/>
        <w:rPr/>
      </w:pPr>
      <w:r>
        <w:rPr/>
        <w:t>Производится на полностью собранном электродвигателе.</w:t>
      </w:r>
    </w:p>
    <w:p>
      <w:pPr>
        <w:pStyle w:val="Normal"/>
        <w:ind w:firstLine="283"/>
        <w:jc w:val="both"/>
        <w:rPr/>
      </w:pPr>
      <w:r>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pPr>
        <w:pStyle w:val="Normal"/>
        <w:ind w:firstLine="283"/>
        <w:jc w:val="both"/>
        <w:rPr/>
      </w:pPr>
      <w:r>
        <w:rPr/>
        <w:t>Значения испытательных напряжений приведены в табл. 1.8.11. Продолжительность приложения испытательного напряжения 1 мин.</w:t>
      </w:r>
    </w:p>
    <w:p>
      <w:pPr>
        <w:pStyle w:val="Normal"/>
        <w:ind w:firstLine="283"/>
        <w:jc w:val="both"/>
        <w:rPr>
          <w:b/>
          <w:b/>
          <w:bCs/>
        </w:rPr>
      </w:pPr>
      <w:r>
        <w:rPr>
          <w:b/>
          <w:bCs/>
        </w:rPr>
        <w:t>4. Измерение сопротивления постоянному току.</w:t>
      </w:r>
    </w:p>
    <w:p>
      <w:pPr>
        <w:pStyle w:val="Normal"/>
        <w:ind w:firstLine="283"/>
        <w:jc w:val="both"/>
        <w:rPr/>
      </w:pPr>
      <w:r>
        <w:rPr/>
        <w:t>Измерения производится при практически холодном состоянии машины.</w:t>
      </w:r>
    </w:p>
    <w:p>
      <w:pPr>
        <w:pStyle w:val="Normal"/>
        <w:ind w:firstLine="283"/>
        <w:jc w:val="both"/>
        <w:rPr/>
      </w:pPr>
      <w:r>
        <w:rPr/>
        <w:t>а) Обмотки статора и ротора*</w:t>
      </w:r>
    </w:p>
    <w:p>
      <w:pPr>
        <w:pStyle w:val="Normal"/>
        <w:spacing w:before="120" w:after="120"/>
        <w:ind w:firstLine="300"/>
        <w:jc w:val="both"/>
        <w:rPr/>
      </w:pPr>
      <w:r>
        <w:rPr/>
        <w:t>* Сопротивление постоянному току обмотки ротора измеряется у синхронных электродвигателей и асинхронных электродвигателей с фазным ротором.</w:t>
      </w:r>
    </w:p>
    <w:p>
      <w:pPr>
        <w:pStyle w:val="Normal"/>
        <w:ind w:firstLine="283"/>
        <w:jc w:val="both"/>
        <w:rPr/>
      </w:pPr>
      <w:r>
        <w:rPr/>
        <w:t>Измерение производится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чем на 2 %.</w:t>
      </w:r>
    </w:p>
    <w:p>
      <w:pPr>
        <w:pStyle w:val="Normal"/>
        <w:ind w:firstLine="283"/>
        <w:jc w:val="both"/>
        <w:rPr/>
      </w:pPr>
      <w:r>
        <w:rPr/>
        <w:t>б) Реостаты и пускорегулировочные резисторы</w:t>
      </w:r>
    </w:p>
    <w:p>
      <w:pPr>
        <w:pStyle w:val="Normal"/>
        <w:ind w:firstLine="283"/>
        <w:jc w:val="both"/>
        <w:rPr/>
      </w:pPr>
      <w:r>
        <w:rP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общее сопротивление реостатов и пусковых резисторов и проверяется целостность отпаек.</w:t>
      </w:r>
    </w:p>
    <w:p>
      <w:pPr>
        <w:pStyle w:val="Normal"/>
        <w:ind w:firstLine="312"/>
        <w:jc w:val="both"/>
        <w:rPr/>
      </w:pPr>
      <w:r>
        <w:rPr/>
        <w:t>Значения сопротивления не должны отличаться от исходных значений более чем на 10 %.</w:t>
      </w:r>
    </w:p>
    <w:p>
      <w:pPr>
        <w:pStyle w:val="Normal"/>
        <w:ind w:firstLine="283"/>
        <w:jc w:val="both"/>
        <w:rPr>
          <w:b/>
          <w:b/>
          <w:bCs/>
        </w:rPr>
      </w:pPr>
      <w:r>
        <w:rPr>
          <w:b/>
          <w:bCs/>
        </w:rPr>
        <w:t>5. Проверка работы электродвигателя на холостом ходу или с ненагруженным механизмом.</w:t>
      </w:r>
    </w:p>
    <w:p>
      <w:pPr>
        <w:pStyle w:val="Normal"/>
        <w:ind w:firstLine="283"/>
        <w:jc w:val="both"/>
        <w:rPr/>
      </w:pPr>
      <w:r>
        <w:rPr/>
        <w:t>Продолжительность проверки не менее 1 часа.</w:t>
      </w:r>
    </w:p>
    <w:p>
      <w:pPr>
        <w:pStyle w:val="Normal"/>
        <w:ind w:firstLine="283"/>
        <w:jc w:val="both"/>
        <w:rPr>
          <w:b/>
          <w:b/>
          <w:bCs/>
        </w:rPr>
      </w:pPr>
      <w:r>
        <w:rPr>
          <w:b/>
          <w:bCs/>
        </w:rPr>
        <w:t>6. Проверка работы электродвигателя под нагрузкой.</w:t>
      </w:r>
    </w:p>
    <w:p>
      <w:pPr>
        <w:pStyle w:val="Normal"/>
        <w:ind w:firstLine="283"/>
        <w:jc w:val="both"/>
        <w:rPr/>
      </w:pPr>
      <w:r>
        <w:rPr/>
        <w:t>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 Проверяется тепловое и вибрационное состояние двигателя.</w:t>
      </w:r>
    </w:p>
    <w:p>
      <w:pPr>
        <w:pStyle w:val="Heading3"/>
        <w:rPr/>
      </w:pPr>
      <w:r>
        <w:rPr/>
        <w:t>1.8.16. Силовые трансформаторы, автотрансформаторы, масляные реакторы и заземляющие дугогасящие реакторы (дугогасящие катушки)</w:t>
      </w:r>
    </w:p>
    <w:p>
      <w:pPr>
        <w:pStyle w:val="Normal"/>
        <w:ind w:firstLine="283"/>
        <w:jc w:val="both"/>
        <w:rPr/>
      </w:pPr>
      <w:r>
        <w:rPr/>
        <w:t>Маслонаполненные трансформаторы мощностью до 630 кВА испытываются по пп. 1, 2 (только сопротивление изоляции), 11 - 14.</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11</w:t>
      </w:r>
    </w:p>
    <w:p>
      <w:pPr>
        <w:pStyle w:val="Normal"/>
        <w:spacing w:before="0" w:after="120"/>
        <w:jc w:val="center"/>
        <w:rPr/>
      </w:pPr>
      <w:r>
        <w:rPr>
          <w:b/>
          <w:bCs/>
          <w:i/>
          <w:iCs/>
        </w:rPr>
        <w:t>Испытательные</w:t>
      </w:r>
      <w:r>
        <w:rPr>
          <w:b/>
          <w:bCs/>
        </w:rPr>
        <w:t xml:space="preserve"> </w:t>
      </w:r>
      <w:r>
        <w:rPr>
          <w:b/>
          <w:bCs/>
          <w:i/>
          <w:iCs/>
        </w:rPr>
        <w:t>напряжения</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обмоток</w:t>
      </w:r>
      <w:r>
        <w:rPr>
          <w:b/>
          <w:bCs/>
        </w:rPr>
        <w:t xml:space="preserve"> </w:t>
      </w:r>
      <w:r>
        <w:rPr>
          <w:b/>
          <w:bCs/>
          <w:i/>
          <w:iCs/>
        </w:rPr>
        <w:t>электродвигателей переменного</w:t>
      </w:r>
      <w:r>
        <w:rPr>
          <w:b/>
          <w:bCs/>
        </w:rPr>
        <w:t xml:space="preserve"> </w:t>
      </w:r>
      <w:r>
        <w:rPr>
          <w:b/>
          <w:bCs/>
          <w:i/>
          <w:iCs/>
        </w:rPr>
        <w:t>тока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754"/>
        <w:gridCol w:w="1903"/>
        <w:gridCol w:w="1902"/>
        <w:gridCol w:w="1796"/>
      </w:tblGrid>
      <w:tr>
        <w:trPr>
          <w:tblHeader w:val="true"/>
        </w:trPr>
        <w:tc>
          <w:tcPr>
            <w:tcW w:w="3754"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элемент</w:t>
            </w:r>
          </w:p>
        </w:tc>
        <w:tc>
          <w:tcPr>
            <w:tcW w:w="190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Мощность электродвигателя, кВт</w:t>
            </w:r>
          </w:p>
        </w:tc>
        <w:tc>
          <w:tcPr>
            <w:tcW w:w="1902"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Номинальное напряжение электродвигателя, кВ</w:t>
            </w:r>
          </w:p>
        </w:tc>
        <w:tc>
          <w:tcPr>
            <w:tcW w:w="1796"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w:t>
            </w:r>
          </w:p>
        </w:tc>
      </w:tr>
      <w:tr>
        <w:trPr/>
        <w:tc>
          <w:tcPr>
            <w:tcW w:w="3754" w:type="dxa"/>
            <w:vMerge w:val="restart"/>
            <w:tcBorders>
              <w:left w:val="single" w:sz="8" w:space="0" w:color="000000"/>
              <w:bottom w:val="single" w:sz="8" w:space="0" w:color="000000"/>
              <w:insideH w:val="single" w:sz="8" w:space="0" w:color="000000"/>
            </w:tcBorders>
            <w:shd w:fill="auto" w:val="clear"/>
          </w:tcPr>
          <w:p>
            <w:pPr>
              <w:pStyle w:val="Normal"/>
              <w:jc w:val="both"/>
              <w:rPr/>
            </w:pPr>
            <w:r>
              <w:rPr/>
              <w:t>1. Обмотка статора.</w:t>
            </w:r>
          </w:p>
        </w:tc>
        <w:tc>
          <w:tcPr>
            <w:tcW w:w="1903" w:type="dxa"/>
            <w:tcBorders>
              <w:left w:val="single" w:sz="8" w:space="0" w:color="000000"/>
            </w:tcBorders>
            <w:shd w:fill="auto" w:val="clear"/>
            <w:tcMar>
              <w:left w:w="0" w:type="dxa"/>
              <w:right w:w="0" w:type="dxa"/>
            </w:tcMar>
          </w:tcPr>
          <w:p>
            <w:pPr>
              <w:pStyle w:val="Normal"/>
              <w:jc w:val="center"/>
              <w:rPr/>
            </w:pPr>
            <w:r>
              <w:rPr/>
              <w:t>Менее 1,0</w:t>
            </w:r>
          </w:p>
        </w:tc>
        <w:tc>
          <w:tcPr>
            <w:tcW w:w="1902" w:type="dxa"/>
            <w:tcBorders>
              <w:left w:val="single" w:sz="8" w:space="0" w:color="000000"/>
            </w:tcBorders>
            <w:shd w:fill="auto" w:val="clear"/>
            <w:tcMar>
              <w:left w:w="0" w:type="dxa"/>
              <w:right w:w="0" w:type="dxa"/>
            </w:tcMar>
          </w:tcPr>
          <w:p>
            <w:pPr>
              <w:pStyle w:val="Normal"/>
              <w:jc w:val="center"/>
              <w:rPr/>
            </w:pPr>
            <w:r>
              <w:rPr/>
              <w:t>Ниже 0,1</w:t>
            </w:r>
          </w:p>
        </w:tc>
        <w:tc>
          <w:tcPr>
            <w:tcW w:w="1796"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0,8(2</w:t>
            </w:r>
            <w:r>
              <w:rPr>
                <w:i/>
                <w:iCs/>
              </w:rPr>
              <w:t>U</w:t>
            </w:r>
            <w:r>
              <w:rPr>
                <w:vertAlign w:val="subscript"/>
              </w:rPr>
              <w:t>ном.</w:t>
            </w:r>
            <w:r>
              <w:rPr/>
              <w:t xml:space="preserve"> + 0,5)</w:t>
            </w:r>
          </w:p>
        </w:tc>
      </w:tr>
      <w:tr>
        <w:trPr/>
        <w:tc>
          <w:tcPr>
            <w:tcW w:w="3754"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03" w:type="dxa"/>
            <w:tcBorders>
              <w:left w:val="single" w:sz="8" w:space="0" w:color="000000"/>
            </w:tcBorders>
            <w:shd w:fill="auto" w:val="clear"/>
          </w:tcPr>
          <w:p>
            <w:pPr>
              <w:pStyle w:val="Normal"/>
              <w:jc w:val="center"/>
              <w:rPr/>
            </w:pPr>
            <w:r>
              <w:rPr/>
              <w:t>От 1,0 и до 1000</w:t>
            </w:r>
          </w:p>
        </w:tc>
        <w:tc>
          <w:tcPr>
            <w:tcW w:w="1902" w:type="dxa"/>
            <w:tcBorders>
              <w:left w:val="single" w:sz="8" w:space="0" w:color="000000"/>
            </w:tcBorders>
            <w:shd w:fill="auto" w:val="clear"/>
            <w:tcMar>
              <w:left w:w="0" w:type="dxa"/>
              <w:right w:w="0" w:type="dxa"/>
            </w:tcMar>
          </w:tcPr>
          <w:p>
            <w:pPr>
              <w:pStyle w:val="Normal"/>
              <w:jc w:val="center"/>
              <w:rPr/>
            </w:pPr>
            <w:r>
              <w:rPr/>
              <w:t>Ниже 0,1</w:t>
            </w:r>
          </w:p>
        </w:tc>
        <w:tc>
          <w:tcPr>
            <w:tcW w:w="1796"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0,8(2</w:t>
            </w:r>
            <w:r>
              <w:rPr>
                <w:i/>
                <w:iCs/>
              </w:rPr>
              <w:t>U</w:t>
            </w:r>
            <w:r>
              <w:rPr>
                <w:vertAlign w:val="subscript"/>
              </w:rPr>
              <w:t>ном.</w:t>
            </w:r>
            <w:r>
              <w:rPr/>
              <w:t xml:space="preserve"> + 1)</w:t>
            </w:r>
          </w:p>
        </w:tc>
      </w:tr>
      <w:tr>
        <w:trPr/>
        <w:tc>
          <w:tcPr>
            <w:tcW w:w="3754"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03" w:type="dxa"/>
            <w:tcBorders>
              <w:left w:val="single" w:sz="8" w:space="0" w:color="000000"/>
            </w:tcBorders>
            <w:shd w:fill="auto" w:val="clear"/>
          </w:tcPr>
          <w:p>
            <w:pPr>
              <w:pStyle w:val="Normal"/>
              <w:snapToGrid w:val="false"/>
              <w:rPr/>
            </w:pPr>
            <w:r>
              <w:rPr/>
            </w:r>
          </w:p>
        </w:tc>
        <w:tc>
          <w:tcPr>
            <w:tcW w:w="1902" w:type="dxa"/>
            <w:tcBorders>
              <w:left w:val="single" w:sz="8" w:space="0" w:color="000000"/>
            </w:tcBorders>
            <w:shd w:fill="auto" w:val="clear"/>
            <w:tcMar>
              <w:left w:w="0" w:type="dxa"/>
              <w:right w:w="0" w:type="dxa"/>
            </w:tcMar>
          </w:tcPr>
          <w:p>
            <w:pPr>
              <w:pStyle w:val="Normal"/>
              <w:jc w:val="center"/>
              <w:rPr/>
            </w:pPr>
            <w:r>
              <w:rPr/>
              <w:t>Выше 0,1</w:t>
            </w:r>
          </w:p>
        </w:tc>
        <w:tc>
          <w:tcPr>
            <w:tcW w:w="1796"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0,8(2</w:t>
            </w:r>
            <w:r>
              <w:rPr>
                <w:i/>
                <w:iCs/>
              </w:rPr>
              <w:t>U</w:t>
            </w:r>
            <w:r>
              <w:rPr>
                <w:vertAlign w:val="subscript"/>
              </w:rPr>
              <w:t>ном.</w:t>
            </w:r>
            <w:r>
              <w:rPr/>
              <w:t xml:space="preserve"> + 1), но не менее 1,2</w:t>
            </w:r>
          </w:p>
        </w:tc>
      </w:tr>
      <w:tr>
        <w:trPr/>
        <w:tc>
          <w:tcPr>
            <w:tcW w:w="3754"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03" w:type="dxa"/>
            <w:tcBorders>
              <w:left w:val="single" w:sz="8" w:space="0" w:color="000000"/>
            </w:tcBorders>
            <w:shd w:fill="auto" w:val="clear"/>
          </w:tcPr>
          <w:p>
            <w:pPr>
              <w:pStyle w:val="Normal"/>
              <w:jc w:val="center"/>
              <w:rPr/>
            </w:pPr>
            <w:r>
              <w:rPr/>
              <w:t>От 1000 и более</w:t>
            </w:r>
          </w:p>
        </w:tc>
        <w:tc>
          <w:tcPr>
            <w:tcW w:w="1902" w:type="dxa"/>
            <w:tcBorders>
              <w:left w:val="single" w:sz="8" w:space="0" w:color="000000"/>
            </w:tcBorders>
            <w:shd w:fill="auto" w:val="clear"/>
            <w:tcMar>
              <w:left w:w="0" w:type="dxa"/>
              <w:right w:w="0" w:type="dxa"/>
            </w:tcMar>
          </w:tcPr>
          <w:p>
            <w:pPr>
              <w:pStyle w:val="Normal"/>
              <w:jc w:val="center"/>
              <w:rPr/>
            </w:pPr>
            <w:r>
              <w:rPr/>
              <w:t>До 3,3 включительно</w:t>
            </w:r>
          </w:p>
        </w:tc>
        <w:tc>
          <w:tcPr>
            <w:tcW w:w="1796"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0,8(2</w:t>
            </w:r>
            <w:r>
              <w:rPr>
                <w:i/>
                <w:iCs/>
              </w:rPr>
              <w:t>U</w:t>
            </w:r>
            <w:r>
              <w:rPr>
                <w:vertAlign w:val="subscript"/>
              </w:rPr>
              <w:t>ном.</w:t>
            </w:r>
            <w:r>
              <w:rPr/>
              <w:t xml:space="preserve"> + 1)</w:t>
            </w:r>
          </w:p>
        </w:tc>
      </w:tr>
      <w:tr>
        <w:trPr/>
        <w:tc>
          <w:tcPr>
            <w:tcW w:w="3754"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03" w:type="dxa"/>
            <w:tcBorders>
              <w:left w:val="single" w:sz="8" w:space="0" w:color="000000"/>
            </w:tcBorders>
            <w:shd w:fill="auto" w:val="clear"/>
          </w:tcPr>
          <w:p>
            <w:pPr>
              <w:pStyle w:val="Normal"/>
              <w:jc w:val="center"/>
              <w:rPr/>
            </w:pPr>
            <w:r>
              <w:rPr/>
              <w:t>От 1000 и более</w:t>
            </w:r>
          </w:p>
        </w:tc>
        <w:tc>
          <w:tcPr>
            <w:tcW w:w="1902" w:type="dxa"/>
            <w:tcBorders>
              <w:left w:val="single" w:sz="8" w:space="0" w:color="000000"/>
            </w:tcBorders>
            <w:shd w:fill="auto" w:val="clear"/>
            <w:tcMar>
              <w:left w:w="0" w:type="dxa"/>
              <w:right w:w="0" w:type="dxa"/>
            </w:tcMar>
          </w:tcPr>
          <w:p>
            <w:pPr>
              <w:pStyle w:val="Normal"/>
              <w:jc w:val="center"/>
              <w:rPr/>
            </w:pPr>
            <w:r>
              <w:rPr/>
              <w:t>Свыше 3,3 до 6,6 включительно</w:t>
            </w:r>
          </w:p>
        </w:tc>
        <w:tc>
          <w:tcPr>
            <w:tcW w:w="1796"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0,8 × 2,5</w:t>
            </w:r>
            <w:r>
              <w:rPr>
                <w:i/>
                <w:iCs/>
              </w:rPr>
              <w:t>U</w:t>
            </w:r>
            <w:r>
              <w:rPr>
                <w:vertAlign w:val="subscript"/>
              </w:rPr>
              <w:t>ном.</w:t>
            </w:r>
          </w:p>
        </w:tc>
      </w:tr>
      <w:tr>
        <w:trPr/>
        <w:tc>
          <w:tcPr>
            <w:tcW w:w="3754"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03" w:type="dxa"/>
            <w:tcBorders>
              <w:left w:val="single" w:sz="8" w:space="0" w:color="000000"/>
              <w:bottom w:val="single" w:sz="8" w:space="0" w:color="000000"/>
              <w:insideH w:val="single" w:sz="8" w:space="0" w:color="000000"/>
            </w:tcBorders>
            <w:shd w:fill="auto" w:val="clear"/>
          </w:tcPr>
          <w:p>
            <w:pPr>
              <w:pStyle w:val="Normal"/>
              <w:jc w:val="center"/>
              <w:rPr/>
            </w:pPr>
            <w:r>
              <w:rPr/>
              <w:t>От 1000 и более</w:t>
            </w:r>
          </w:p>
        </w:tc>
        <w:tc>
          <w:tcPr>
            <w:tcW w:w="190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Свыше 6,6</w:t>
            </w:r>
          </w:p>
        </w:tc>
        <w:tc>
          <w:tcPr>
            <w:tcW w:w="179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 xml:space="preserve">0,8(2 </w:t>
            </w:r>
            <w:r>
              <w:rPr>
                <w:i/>
                <w:iCs/>
              </w:rPr>
              <w:t>U</w:t>
            </w:r>
            <w:r>
              <w:rPr>
                <w:vertAlign w:val="subscript"/>
              </w:rPr>
              <w:t>ном.</w:t>
            </w:r>
            <w:r>
              <w:rPr/>
              <w:t xml:space="preserve"> + 3)</w:t>
            </w:r>
          </w:p>
        </w:tc>
      </w:tr>
      <w:tr>
        <w:trPr/>
        <w:tc>
          <w:tcPr>
            <w:tcW w:w="3754" w:type="dxa"/>
            <w:tcBorders>
              <w:left w:val="single" w:sz="8" w:space="0" w:color="000000"/>
              <w:bottom w:val="single" w:sz="8" w:space="0" w:color="000000"/>
              <w:insideH w:val="single" w:sz="8" w:space="0" w:color="000000"/>
            </w:tcBorders>
            <w:shd w:fill="auto" w:val="clear"/>
          </w:tcPr>
          <w:p>
            <w:pPr>
              <w:pStyle w:val="Normal"/>
              <w:jc w:val="both"/>
              <w:rPr/>
            </w:pPr>
            <w:r>
              <w:rPr/>
              <w:t>2. Обмотка ротора синхронных электродвигателей, предназначенных для непосредственного пуска, с обмоткой возбуждения, замкнутой на резистор или источник питания.</w:t>
            </w:r>
          </w:p>
        </w:tc>
        <w:tc>
          <w:tcPr>
            <w:tcW w:w="190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0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79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 xml:space="preserve">8-кратное </w:t>
            </w:r>
            <w:r>
              <w:rPr>
                <w:i/>
                <w:iCs/>
              </w:rPr>
              <w:t>U</w:t>
            </w:r>
            <w:r>
              <w:rPr>
                <w:vertAlign w:val="subscript"/>
              </w:rPr>
              <w:t>ном.</w:t>
            </w:r>
            <w:r>
              <w:rPr/>
              <w:t xml:space="preserve"> системы возбуждения, но не менее 1,2 и не более 2,8</w:t>
            </w:r>
          </w:p>
        </w:tc>
      </w:tr>
      <w:tr>
        <w:trPr/>
        <w:tc>
          <w:tcPr>
            <w:tcW w:w="3754" w:type="dxa"/>
            <w:tcBorders>
              <w:left w:val="single" w:sz="8" w:space="0" w:color="000000"/>
              <w:bottom w:val="single" w:sz="8" w:space="0" w:color="000000"/>
              <w:insideH w:val="single" w:sz="8" w:space="0" w:color="000000"/>
            </w:tcBorders>
            <w:shd w:fill="auto" w:val="clear"/>
          </w:tcPr>
          <w:p>
            <w:pPr>
              <w:pStyle w:val="Normal"/>
              <w:jc w:val="both"/>
              <w:rPr/>
            </w:pPr>
            <w:r>
              <w:rPr/>
              <w:t>3. Обмотка ротора электродвигателя с фазным ротором.</w:t>
            </w:r>
          </w:p>
        </w:tc>
        <w:tc>
          <w:tcPr>
            <w:tcW w:w="190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0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79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1,5</w:t>
            </w:r>
            <w:r>
              <w:rPr>
                <w:i/>
                <w:iCs/>
              </w:rPr>
              <w:t>U</w:t>
            </w:r>
            <w:r>
              <w:rPr>
                <w:vertAlign w:val="subscript"/>
              </w:rPr>
              <w:t>р</w:t>
            </w:r>
            <w:r>
              <w:rPr/>
              <w:t>*, но не менее 1,0</w:t>
            </w:r>
          </w:p>
        </w:tc>
      </w:tr>
      <w:tr>
        <w:trPr/>
        <w:tc>
          <w:tcPr>
            <w:tcW w:w="3754" w:type="dxa"/>
            <w:tcBorders>
              <w:left w:val="single" w:sz="8" w:space="0" w:color="000000"/>
              <w:bottom w:val="single" w:sz="8" w:space="0" w:color="000000"/>
              <w:insideH w:val="single" w:sz="8" w:space="0" w:color="000000"/>
            </w:tcBorders>
            <w:shd w:fill="auto" w:val="clear"/>
          </w:tcPr>
          <w:p>
            <w:pPr>
              <w:pStyle w:val="Normal"/>
              <w:jc w:val="both"/>
              <w:rPr/>
            </w:pPr>
            <w:r>
              <w:rPr/>
              <w:t>4. Резистор цепи гашения поля синхронных двигателей.</w:t>
            </w:r>
          </w:p>
        </w:tc>
        <w:tc>
          <w:tcPr>
            <w:tcW w:w="190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0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79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2,0</w:t>
            </w:r>
          </w:p>
        </w:tc>
      </w:tr>
      <w:tr>
        <w:trPr/>
        <w:tc>
          <w:tcPr>
            <w:tcW w:w="3754" w:type="dxa"/>
            <w:tcBorders>
              <w:left w:val="single" w:sz="8" w:space="0" w:color="000000"/>
              <w:bottom w:val="single" w:sz="8" w:space="0" w:color="000000"/>
              <w:insideH w:val="single" w:sz="8" w:space="0" w:color="000000"/>
            </w:tcBorders>
            <w:shd w:fill="auto" w:val="clear"/>
          </w:tcPr>
          <w:p>
            <w:pPr>
              <w:pStyle w:val="Normal"/>
              <w:jc w:val="both"/>
              <w:rPr/>
            </w:pPr>
            <w:r>
              <w:rPr/>
              <w:t>5. Реостаты и пускорегулирующие резисторы.</w:t>
            </w:r>
          </w:p>
        </w:tc>
        <w:tc>
          <w:tcPr>
            <w:tcW w:w="190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0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79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1,5</w:t>
            </w:r>
            <w:r>
              <w:rPr>
                <w:i/>
                <w:iCs/>
              </w:rPr>
              <w:t>U</w:t>
            </w:r>
            <w:r>
              <w:rPr>
                <w:vertAlign w:val="subscript"/>
              </w:rPr>
              <w:t>р</w:t>
            </w:r>
            <w:r>
              <w:rPr/>
              <w:t>*, но не менее 1,0</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33"/>
              <w:jc w:val="both"/>
              <w:rPr/>
            </w:pPr>
            <w:r>
              <w:rPr>
                <w:i/>
                <w:iCs/>
              </w:rPr>
              <w:t>* U</w:t>
            </w:r>
            <w:r>
              <w:rPr>
                <w:vertAlign w:val="subscript"/>
              </w:rPr>
              <w:t>р</w:t>
            </w:r>
            <w:r>
              <w:rPr/>
              <w:t xml:space="preserve"> напряжение на кольцах при разомкнутом неподвижном роторе и номинальном напряжении на статоре.</w:t>
            </w:r>
          </w:p>
        </w:tc>
      </w:tr>
    </w:tbl>
    <w:p>
      <w:pPr>
        <w:pStyle w:val="Normal"/>
        <w:spacing w:before="120" w:after="0"/>
        <w:ind w:firstLine="284"/>
        <w:jc w:val="both"/>
        <w:rPr/>
      </w:pPr>
      <w:r>
        <w:rPr/>
        <w:t>Маслонаполненные трансформаторы мощностью до 1,6 МВ·А испытываются по пп. 1, 2, 4, 9, 11 - 14.</w:t>
      </w:r>
    </w:p>
    <w:p>
      <w:pPr>
        <w:pStyle w:val="Normal"/>
        <w:ind w:firstLine="283"/>
        <w:jc w:val="both"/>
        <w:rPr/>
      </w:pPr>
      <w:r>
        <w:rP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объеме, предусмотренном настоящим параграфом.</w:t>
      </w:r>
    </w:p>
    <w:p>
      <w:pPr>
        <w:pStyle w:val="Normal"/>
        <w:ind w:firstLine="283"/>
        <w:jc w:val="both"/>
        <w:rPr/>
      </w:pPr>
      <w:r>
        <w:rPr/>
        <w:t>Сухие и заполненные негорючим жидким диэлектриком трансформаторы всех мощностей испытываются по пп. 1 - 7, 12, 14.</w:t>
      </w:r>
    </w:p>
    <w:p>
      <w:pPr>
        <w:pStyle w:val="Normal"/>
        <w:ind w:firstLine="283"/>
        <w:jc w:val="both"/>
        <w:rPr/>
      </w:pPr>
      <w:r>
        <w:rPr>
          <w:b/>
          <w:bCs/>
        </w:rPr>
        <w:t>1. Определение условий включен</w:t>
      </w:r>
      <w:r>
        <w:rPr>
          <w:b/>
          <w:bCs/>
          <w:color w:val="000000"/>
        </w:rPr>
        <w:t>ия трансформаторов.</w:t>
      </w:r>
    </w:p>
    <w:p>
      <w:pPr>
        <w:pStyle w:val="Normal"/>
        <w:ind w:firstLine="283"/>
        <w:jc w:val="both"/>
        <w:rPr/>
      </w:pPr>
      <w:r>
        <w:rPr/>
        <w:t>Следует производить в соответствии с указаниями завода-изготовителя.</w:t>
      </w:r>
    </w:p>
    <w:p>
      <w:pPr>
        <w:pStyle w:val="Normal"/>
        <w:ind w:firstLine="283"/>
        <w:jc w:val="both"/>
        <w:rPr>
          <w:b/>
          <w:b/>
          <w:bCs/>
        </w:rPr>
      </w:pPr>
      <w:r>
        <w:rPr>
          <w:b/>
          <w:bCs/>
        </w:rPr>
        <w:t>2. Измерение характеристик изоляции.</w:t>
      </w:r>
    </w:p>
    <w:p>
      <w:pPr>
        <w:pStyle w:val="Normal"/>
        <w:ind w:firstLine="283"/>
        <w:jc w:val="both"/>
        <w:rPr/>
      </w:pPr>
      <w:r>
        <w:rP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p>
      <w:pPr>
        <w:pStyle w:val="Normal"/>
        <w:pBdr>
          <w:top w:val="single" w:sz="4" w:space="1" w:color="000000"/>
          <w:left w:val="single" w:sz="4" w:space="4" w:color="000000"/>
          <w:bottom w:val="single" w:sz="4" w:space="1" w:color="000000"/>
          <w:right w:val="single" w:sz="4" w:space="4" w:color="000000"/>
        </w:pBdr>
        <w:jc w:val="both"/>
        <w:rPr/>
      </w:pPr>
      <w:r>
        <w:rPr>
          <w:i/>
          <w:iCs/>
        </w:rPr>
        <w:t>Т</w:t>
      </w:r>
      <w:r>
        <w:rPr>
          <w:vertAlign w:val="subscript"/>
        </w:rPr>
        <w:t>обм.</w:t>
      </w:r>
      <w:r>
        <w:rPr/>
        <w:t xml:space="preserve"> °С         10         20        30        40        50         60        70</w:t>
      </w:r>
    </w:p>
    <w:p>
      <w:pPr>
        <w:pStyle w:val="Normal"/>
        <w:pBdr>
          <w:top w:val="single" w:sz="4" w:space="1" w:color="000000"/>
          <w:left w:val="single" w:sz="4" w:space="4" w:color="000000"/>
          <w:bottom w:val="single" w:sz="4" w:space="1" w:color="000000"/>
          <w:right w:val="single" w:sz="4" w:space="4" w:color="000000"/>
        </w:pBdr>
        <w:jc w:val="both"/>
        <w:rPr/>
      </w:pPr>
      <w:r>
        <w:rPr>
          <w:i/>
          <w:iCs/>
        </w:rPr>
        <w:t>R</w:t>
      </w:r>
      <w:r>
        <w:rPr>
          <w:vertAlign w:val="subscript"/>
        </w:rPr>
        <w:t>60</w:t>
      </w:r>
      <w:r>
        <w:rPr/>
        <w:t>, МОм     450       300      200      130      90         60        40</w:t>
      </w:r>
    </w:p>
    <w:p>
      <w:pPr>
        <w:pStyle w:val="Normal"/>
        <w:ind w:firstLine="283"/>
        <w:jc w:val="both"/>
        <w:rPr/>
      </w:pPr>
      <w:r>
        <w:rPr/>
        <w:t>Сопротивление изоляции сухих трансформаторов при температуре 20 - 30 °С должно быть для обмоток с номинальным напряжением:</w:t>
      </w:r>
    </w:p>
    <w:p>
      <w:pPr>
        <w:pStyle w:val="Normal"/>
        <w:ind w:firstLine="283"/>
        <w:jc w:val="both"/>
        <w:rPr/>
      </w:pPr>
      <w:r>
        <w:rPr/>
        <w:t>- до 1 кВ включительно - не менее 100 МОм;</w:t>
      </w:r>
    </w:p>
    <w:p>
      <w:pPr>
        <w:pStyle w:val="Normal"/>
        <w:ind w:firstLine="283"/>
        <w:jc w:val="both"/>
        <w:rPr/>
      </w:pPr>
      <w:r>
        <w:rPr/>
        <w:t>- более 1 кВ до 6 кВ - не менее 300 МОм;</w:t>
      </w:r>
    </w:p>
    <w:p>
      <w:pPr>
        <w:pStyle w:val="Normal"/>
        <w:ind w:firstLine="283"/>
        <w:jc w:val="both"/>
        <w:rPr/>
      </w:pPr>
      <w:r>
        <w:rPr/>
        <w:t>- более 6 кВ - не менее 500 МОм.</w:t>
      </w:r>
    </w:p>
    <w:p>
      <w:pPr>
        <w:pStyle w:val="Normal"/>
        <w:ind w:firstLine="312"/>
        <w:jc w:val="both"/>
        <w:rPr/>
      </w:pPr>
      <w:r>
        <w:rPr/>
        <w:t>Для остальных трансформаторов сопротивление изоляции, приведенное к температуре измерений на заводе-изготовителе, должно составлять не менее 50 % исходного значения.</w:t>
      </w:r>
    </w:p>
    <w:p>
      <w:pPr>
        <w:pStyle w:val="Normal"/>
        <w:ind w:firstLine="312"/>
        <w:jc w:val="both"/>
        <w:rPr/>
      </w:pPr>
      <w:r>
        <w:rPr/>
        <w:t>Значения тангенса угла диэлектрических потерь (</w:t>
      </w:r>
      <w:r>
        <w:rPr>
          <w:i/>
          <w:iCs/>
        </w:rPr>
        <w:t>tg</w:t>
      </w:r>
      <w:r>
        <w:rPr/>
        <w:t>δ), приведенные к температуре измерений на заводе-изготовителе, не должны отличаться от исходных значений в сторону ухудшения более чем на 50 %.</w:t>
      </w:r>
    </w:p>
    <w:p>
      <w:pPr>
        <w:pStyle w:val="Normal"/>
        <w:ind w:firstLine="283"/>
        <w:jc w:val="both"/>
        <w:rPr/>
      </w:pPr>
      <w:r>
        <w:rPr/>
        <w:t xml:space="preserve">Измерение сопротивления изоляции и </w:t>
      </w:r>
      <w:r>
        <w:rPr>
          <w:i/>
          <w:iCs/>
        </w:rPr>
        <w:t>tg</w:t>
      </w:r>
      <w:r>
        <w:rPr/>
        <w:t>δ должно производиться при температуре обмоток не ниже:</w:t>
      </w:r>
    </w:p>
    <w:p>
      <w:pPr>
        <w:pStyle w:val="Normal"/>
        <w:ind w:firstLine="283"/>
        <w:jc w:val="both"/>
        <w:rPr/>
      </w:pPr>
      <w:r>
        <w:rPr/>
        <w:t>10 °С - у трансформаторов напряжением до 150 кВ;</w:t>
      </w:r>
    </w:p>
    <w:p>
      <w:pPr>
        <w:pStyle w:val="Normal"/>
        <w:ind w:firstLine="283"/>
        <w:jc w:val="both"/>
        <w:rPr/>
      </w:pPr>
      <w:r>
        <w:rPr/>
        <w:t>20 °С - у трансформаторов напряжением 220 - 750 кВ.</w:t>
      </w:r>
    </w:p>
    <w:p>
      <w:pPr>
        <w:pStyle w:val="Normal"/>
        <w:ind w:firstLine="283"/>
        <w:jc w:val="both"/>
        <w:rPr/>
      </w:pPr>
      <w:r>
        <w:rPr/>
        <w:t xml:space="preserve">Измерение </w:t>
      </w:r>
      <w:r>
        <w:rPr>
          <w:i/>
          <w:iCs/>
        </w:rPr>
        <w:t>tg</w:t>
      </w:r>
      <w:r>
        <w:rPr/>
        <w:t>δ трансформаторов мощностью до 1600 кВА не обязательно.</w:t>
      </w:r>
    </w:p>
    <w:p>
      <w:pPr>
        <w:pStyle w:val="Normal"/>
        <w:ind w:firstLine="283"/>
        <w:jc w:val="both"/>
        <w:rPr/>
      </w:pPr>
      <w:r>
        <w:rPr/>
        <w:t>Измерение сопротивления изоляции доступных стяжных шпилек, бандажей, полубандажей ярем и прессующих колец 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мегаомметром на напряжение 1000 В.</w:t>
      </w:r>
    </w:p>
    <w:p>
      <w:pPr>
        <w:pStyle w:val="Normal"/>
        <w:ind w:firstLine="283"/>
        <w:jc w:val="both"/>
        <w:rPr>
          <w:b/>
          <w:b/>
          <w:bCs/>
        </w:rPr>
      </w:pPr>
      <w:r>
        <w:rPr>
          <w:b/>
          <w:bCs/>
        </w:rPr>
        <w:t>3. Испытание повышенным напряжением промышленной частоты:</w:t>
      </w:r>
    </w:p>
    <w:p>
      <w:pPr>
        <w:pStyle w:val="Normal"/>
        <w:ind w:firstLine="283"/>
        <w:jc w:val="both"/>
        <w:rPr/>
      </w:pPr>
      <w:r>
        <w:rPr/>
        <w:t>а) изоляции обмоток вместе с вводами. Испытательные напряжения приведены в табл. 1.8.12. Продолжительность приложения нормированного испытательного напряжения 1 мин.</w:t>
      </w:r>
    </w:p>
    <w:p>
      <w:pPr>
        <w:pStyle w:val="Normal"/>
        <w:ind w:firstLine="283"/>
        <w:jc w:val="both"/>
        <w:rPr/>
      </w:pPr>
      <w:r>
        <w:rPr/>
        <w:t>Испытание повышенным напряжением промышленной частоты изоляции обмоток маслонаполненных трансформаторов не обязательно.</w:t>
      </w:r>
    </w:p>
    <w:p>
      <w:pPr>
        <w:pStyle w:val="Normal"/>
        <w:ind w:firstLine="283"/>
        <w:jc w:val="both"/>
        <w:rPr/>
      </w:pPr>
      <w:r>
        <w:rPr/>
        <w:t>Испытание повышенным напряжением промышленной частоты изоляции обмоток сухих трансформаторов обязательно и производится по нормам табл. 1.8.12 для аппаратов с облегченной изоляцией.</w:t>
      </w:r>
    </w:p>
    <w:p>
      <w:pPr>
        <w:pStyle w:val="Normal"/>
        <w:ind w:firstLine="283"/>
        <w:jc w:val="both"/>
        <w:rPr/>
      </w:pPr>
      <w:r>
        <w:rPr/>
        <w:t>Импортные трансформаторы разрешается испытывать напряжениями, указанными в табл. 1.8.12, лишь в тех случаях, если они не превышают напряжения, которым данный трансформатор был испытан на заводе.</w:t>
      </w:r>
    </w:p>
    <w:p>
      <w:pPr>
        <w:pStyle w:val="Normal"/>
        <w:ind w:firstLine="283"/>
        <w:jc w:val="both"/>
        <w:rPr/>
      </w:pPr>
      <w:r>
        <w:rPr/>
        <w:t>Испытательное напряжение заземляющих реакторов на напряжение до 35 кВ аналогично приведенным для трансформаторов соответствующего класса;</w:t>
      </w:r>
    </w:p>
    <w:p>
      <w:pPr>
        <w:pStyle w:val="Normal"/>
        <w:ind w:firstLine="283"/>
        <w:jc w:val="both"/>
        <w:rPr/>
      </w:pPr>
      <w:r>
        <w:rP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 кВ. Продолжительность приложения нормированного испытательного напряжения 1 мин.</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12</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 внутренней</w:t>
      </w:r>
      <w:r>
        <w:rPr>
          <w:b/>
          <w:bCs/>
        </w:rPr>
        <w:t xml:space="preserve"> </w:t>
      </w:r>
      <w:r>
        <w:rPr>
          <w:b/>
          <w:bCs/>
          <w:i/>
          <w:iCs/>
        </w:rPr>
        <w:t>изоляции</w:t>
      </w:r>
      <w:r>
        <w:rPr>
          <w:b/>
          <w:bCs/>
        </w:rPr>
        <w:t xml:space="preserve"> </w:t>
      </w:r>
      <w:r>
        <w:rPr>
          <w:b/>
          <w:bCs/>
          <w:i/>
          <w:iCs/>
        </w:rPr>
        <w:t>силовых</w:t>
      </w:r>
      <w:r>
        <w:rPr>
          <w:b/>
          <w:bCs/>
        </w:rPr>
        <w:t xml:space="preserve"> </w:t>
      </w:r>
      <w:r>
        <w:rPr>
          <w:b/>
          <w:bCs/>
          <w:i/>
          <w:iCs/>
        </w:rPr>
        <w:t>маслонаполненных трансформаторов</w:t>
      </w:r>
      <w:r>
        <w:rPr>
          <w:b/>
          <w:bCs/>
        </w:rPr>
        <w:t xml:space="preserve"> </w:t>
      </w:r>
      <w:r>
        <w:rPr>
          <w:b/>
          <w:bCs/>
          <w:i/>
          <w:iCs/>
        </w:rPr>
        <w:t>и</w:t>
      </w:r>
      <w:r>
        <w:rPr>
          <w:b/>
          <w:bCs/>
        </w:rPr>
        <w:t xml:space="preserve"> </w:t>
      </w:r>
      <w:r>
        <w:rPr>
          <w:b/>
          <w:bCs/>
          <w:i/>
          <w:iCs/>
        </w:rPr>
        <w:t>реакторов</w:t>
      </w:r>
      <w:r>
        <w:rPr>
          <w:b/>
          <w:bCs/>
        </w:rPr>
        <w:t xml:space="preserve"> </w:t>
      </w:r>
      <w:r>
        <w:rPr>
          <w:b/>
          <w:bCs/>
          <w:i/>
          <w:iCs/>
        </w:rPr>
        <w:t>с</w:t>
      </w:r>
      <w:r>
        <w:rPr>
          <w:b/>
          <w:bCs/>
        </w:rPr>
        <w:t xml:space="preserve"> </w:t>
      </w:r>
      <w:r>
        <w:rPr>
          <w:b/>
          <w:bCs/>
          <w:i/>
          <w:iCs/>
        </w:rPr>
        <w:t>нормальной</w:t>
      </w:r>
      <w:r>
        <w:rPr>
          <w:b/>
          <w:bCs/>
        </w:rPr>
        <w:t xml:space="preserve"> </w:t>
      </w:r>
      <w:r>
        <w:rPr>
          <w:b/>
          <w:bCs/>
          <w:i/>
          <w:iCs/>
        </w:rPr>
        <w:t>изоляцией и</w:t>
      </w:r>
      <w:r>
        <w:rPr>
          <w:b/>
          <w:bCs/>
        </w:rPr>
        <w:t xml:space="preserve"> </w:t>
      </w:r>
      <w:r>
        <w:rPr>
          <w:b/>
          <w:bCs/>
          <w:i/>
          <w:iCs/>
        </w:rPr>
        <w:t>трансформаторов</w:t>
      </w:r>
      <w:r>
        <w:rPr>
          <w:b/>
          <w:bCs/>
        </w:rPr>
        <w:t xml:space="preserve"> </w:t>
      </w:r>
      <w:r>
        <w:rPr>
          <w:b/>
          <w:bCs/>
          <w:i/>
          <w:iCs/>
        </w:rPr>
        <w:t>с</w:t>
      </w:r>
      <w:r>
        <w:rPr>
          <w:b/>
          <w:bCs/>
        </w:rPr>
        <w:t xml:space="preserve"> </w:t>
      </w:r>
      <w:r>
        <w:rPr>
          <w:b/>
          <w:bCs/>
          <w:i/>
          <w:iCs/>
        </w:rPr>
        <w:t>облегченной</w:t>
      </w:r>
      <w:r>
        <w:rPr>
          <w:b/>
          <w:bCs/>
        </w:rPr>
        <w:t xml:space="preserve"> </w:t>
      </w:r>
      <w:r>
        <w:rPr>
          <w:b/>
          <w:bCs/>
          <w:i/>
          <w:iCs/>
        </w:rPr>
        <w:t xml:space="preserve">изоляцией </w:t>
      </w:r>
      <w:r>
        <w:rPr>
          <w:b/>
          <w:bCs/>
        </w:rPr>
        <w:t>(</w:t>
      </w:r>
      <w:r>
        <w:rPr>
          <w:b/>
          <w:bCs/>
          <w:i/>
          <w:iCs/>
        </w:rPr>
        <w:t>сухих</w:t>
      </w:r>
      <w:r>
        <w:rPr>
          <w:b/>
          <w:bCs/>
        </w:rPr>
        <w:t xml:space="preserve"> </w:t>
      </w:r>
      <w:r>
        <w:rPr>
          <w:b/>
          <w:bCs/>
          <w:i/>
          <w:iCs/>
        </w:rPr>
        <w:t>и</w:t>
      </w:r>
      <w:r>
        <w:rPr>
          <w:b/>
          <w:bCs/>
        </w:rPr>
        <w:t xml:space="preserve"> </w:t>
      </w:r>
      <w:r>
        <w:rPr>
          <w:b/>
          <w:bCs/>
          <w:i/>
          <w:iCs/>
        </w:rPr>
        <w:t>маслонаполненных</w:t>
      </w:r>
      <w:r>
        <w:rPr>
          <w:b/>
          <w:bCs/>
        </w:rPr>
        <w:t>)</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703"/>
        <w:gridCol w:w="3816"/>
        <w:gridCol w:w="3836"/>
      </w:tblGrid>
      <w:tr>
        <w:trPr>
          <w:tblHeader w:val="true"/>
        </w:trPr>
        <w:tc>
          <w:tcPr>
            <w:tcW w:w="1703"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обмотки, кВ</w:t>
            </w:r>
          </w:p>
        </w:tc>
        <w:tc>
          <w:tcPr>
            <w:tcW w:w="7652"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по отношению к корпусу и другим обмоткам, кВ, для изоляции</w:t>
            </w:r>
          </w:p>
        </w:tc>
      </w:tr>
      <w:tr>
        <w:trPr>
          <w:tblHeader w:val="true"/>
        </w:trPr>
        <w:tc>
          <w:tcPr>
            <w:tcW w:w="1703"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3816" w:type="dxa"/>
            <w:tcBorders>
              <w:left w:val="single" w:sz="8" w:space="0" w:color="000000"/>
              <w:bottom w:val="single" w:sz="8" w:space="0" w:color="000000"/>
              <w:insideH w:val="single" w:sz="8" w:space="0" w:color="000000"/>
            </w:tcBorders>
            <w:shd w:fill="auto" w:val="clear"/>
            <w:vAlign w:val="center"/>
          </w:tcPr>
          <w:p>
            <w:pPr>
              <w:pStyle w:val="Normal"/>
              <w:jc w:val="center"/>
              <w:rPr/>
            </w:pPr>
            <w:r>
              <w:rPr/>
              <w:t>нормальной</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облегченной</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От 0,05 до 1</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2,7</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3</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16,2</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9</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6</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22,5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15,4</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10</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31,5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21,6</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15</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40,5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33,5</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20</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49,5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1703"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38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76,5</w:t>
            </w:r>
          </w:p>
        </w:tc>
        <w:tc>
          <w:tcPr>
            <w:tcW w:w="383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bl>
    <w:p>
      <w:pPr>
        <w:pStyle w:val="Normal"/>
        <w:spacing w:before="120" w:after="0"/>
        <w:ind w:firstLine="283"/>
        <w:jc w:val="both"/>
        <w:rPr>
          <w:b/>
          <w:b/>
          <w:bCs/>
        </w:rPr>
      </w:pPr>
      <w:r>
        <w:rPr>
          <w:b/>
          <w:bCs/>
        </w:rPr>
        <w:t>4. Измерение сопротивления обмоток постоянному току.</w:t>
      </w:r>
    </w:p>
    <w:p>
      <w:pPr>
        <w:pStyle w:val="Normal"/>
        <w:ind w:firstLine="283"/>
        <w:jc w:val="both"/>
        <w:rPr/>
      </w:pPr>
      <w:r>
        <w:rPr/>
        <w:t>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p>
      <w:pPr>
        <w:pStyle w:val="Normal"/>
        <w:ind w:firstLine="283"/>
        <w:jc w:val="both"/>
        <w:rPr/>
      </w:pPr>
      <w:r>
        <w:rP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pPr>
        <w:pStyle w:val="Normal"/>
        <w:ind w:firstLine="283"/>
        <w:jc w:val="both"/>
        <w:rPr>
          <w:b/>
          <w:b/>
          <w:bCs/>
        </w:rPr>
      </w:pPr>
      <w:r>
        <w:rPr>
          <w:b/>
          <w:bCs/>
        </w:rPr>
        <w:t>5. Проверка коэффициента трансформации.</w:t>
      </w:r>
    </w:p>
    <w:p>
      <w:pPr>
        <w:pStyle w:val="Normal"/>
        <w:ind w:firstLine="283"/>
        <w:jc w:val="both"/>
        <w:rPr/>
      </w:pPr>
      <w:r>
        <w:rPr/>
        <w:t>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pPr>
        <w:pStyle w:val="Normal"/>
        <w:ind w:firstLine="283"/>
        <w:jc w:val="both"/>
        <w:rPr>
          <w:b/>
          <w:b/>
          <w:bCs/>
        </w:rPr>
      </w:pPr>
      <w:r>
        <w:rPr>
          <w:b/>
          <w:bCs/>
        </w:rPr>
        <w:t>6. Проверка группы соединения трехфазных трансформаторов и полярности выводов однофазных трансформаторов.</w:t>
      </w:r>
    </w:p>
    <w:p>
      <w:pPr>
        <w:pStyle w:val="Normal"/>
        <w:ind w:firstLine="283"/>
        <w:jc w:val="both"/>
        <w:rPr/>
      </w:pPr>
      <w:r>
        <w:rPr/>
        <w:t>Производится,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pPr>
        <w:pStyle w:val="Normal"/>
        <w:ind w:firstLine="283"/>
        <w:jc w:val="both"/>
        <w:rPr>
          <w:b/>
          <w:b/>
          <w:bCs/>
        </w:rPr>
      </w:pPr>
      <w:r>
        <w:rPr>
          <w:b/>
          <w:bCs/>
        </w:rPr>
        <w:t>7. Измерение потерь холостого хода.</w:t>
      </w:r>
    </w:p>
    <w:p>
      <w:pPr>
        <w:pStyle w:val="Normal"/>
        <w:ind w:firstLine="283"/>
        <w:jc w:val="both"/>
        <w:rPr/>
      </w:pPr>
      <w:r>
        <w:rP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pPr>
        <w:pStyle w:val="Normal"/>
        <w:ind w:firstLine="283"/>
        <w:jc w:val="both"/>
        <w:rPr/>
      </w:pPr>
      <w:r>
        <w:rPr/>
        <w:t>У трехфазных трансформаторов при вводе в эксплуатацию соотношение потерь на разных фазах не должно отличаться от соотношений, приведенных в протоколе заводских испытаний (паспорте), более чем на 5 %.</w:t>
      </w:r>
    </w:p>
    <w:p>
      <w:pPr>
        <w:pStyle w:val="Normal"/>
        <w:ind w:firstLine="283"/>
        <w:jc w:val="both"/>
        <w:rPr/>
      </w:pPr>
      <w:r>
        <w:rPr/>
        <w:t>У однофазных трансформаторов при вводе в эксплуатацию отличие измеренных значений потерь от исходных не должно превышать 10 %.</w:t>
      </w:r>
    </w:p>
    <w:p>
      <w:pPr>
        <w:pStyle w:val="Normal"/>
        <w:ind w:firstLine="283"/>
        <w:jc w:val="both"/>
        <w:rPr/>
      </w:pPr>
      <w:r>
        <w:rPr>
          <w:b/>
          <w:bCs/>
        </w:rPr>
        <w:t>7.1. Измерение сопротивления короткого замыкания (</w:t>
      </w:r>
      <w:r>
        <w:rPr>
          <w:b/>
          <w:bCs/>
          <w:i/>
          <w:iCs/>
        </w:rPr>
        <w:t>Z</w:t>
      </w:r>
      <w:r>
        <w:rPr>
          <w:b/>
          <w:bCs/>
          <w:vertAlign w:val="subscript"/>
        </w:rPr>
        <w:t>к</w:t>
      </w:r>
      <w:r>
        <w:rPr>
          <w:b/>
          <w:bCs/>
        </w:rPr>
        <w:t>) трансформатора.</w:t>
      </w:r>
    </w:p>
    <w:p>
      <w:pPr>
        <w:pStyle w:val="Normal"/>
        <w:ind w:firstLine="283"/>
        <w:jc w:val="both"/>
        <w:rPr/>
      </w:pPr>
      <w:r>
        <w:rPr/>
        <w:t>Измерение производится у трансформаторов 125 МВ·А и более.</w:t>
      </w:r>
    </w:p>
    <w:p>
      <w:pPr>
        <w:pStyle w:val="Normal"/>
        <w:ind w:firstLine="283"/>
        <w:jc w:val="both"/>
        <w:rPr/>
      </w:pPr>
      <w:r>
        <w:rPr/>
        <w:t xml:space="preserve">Для трансформаторов с устройством регулирования напряжения под нагрузкой </w:t>
      </w:r>
      <w:r>
        <w:rPr>
          <w:i/>
          <w:iCs/>
        </w:rPr>
        <w:t>Z</w:t>
      </w:r>
      <w:r>
        <w:rPr>
          <w:vertAlign w:val="subscript"/>
        </w:rPr>
        <w:t>к</w:t>
      </w:r>
      <w:r>
        <w:rPr/>
        <w:t xml:space="preserve"> измеряется на основном и обоих крайних ответвлениях.</w:t>
      </w:r>
    </w:p>
    <w:p>
      <w:pPr>
        <w:pStyle w:val="Normal"/>
        <w:ind w:firstLine="283"/>
        <w:jc w:val="both"/>
        <w:rPr/>
      </w:pPr>
      <w:r>
        <w:rPr/>
        <w:t xml:space="preserve">Значения </w:t>
      </w:r>
      <w:r>
        <w:rPr>
          <w:i/>
          <w:iCs/>
        </w:rPr>
        <w:t>Z</w:t>
      </w:r>
      <w:r>
        <w:rPr>
          <w:vertAlign w:val="subscript"/>
        </w:rPr>
        <w:t>к</w:t>
      </w:r>
      <w:r>
        <w:rPr/>
        <w:t xml:space="preserve"> не должны превышать значения, определенного по напряжению КЗ (</w:t>
      </w:r>
      <w:r>
        <w:rPr>
          <w:i/>
          <w:iCs/>
        </w:rPr>
        <w:t>u</w:t>
      </w:r>
      <w:r>
        <w:rPr>
          <w:vertAlign w:val="subscript"/>
        </w:rPr>
        <w:t>к</w:t>
      </w:r>
      <w:r>
        <w:rPr/>
        <w:t>) трансформатора на основном ответвлении более чем на 5 %.</w:t>
      </w:r>
    </w:p>
    <w:p>
      <w:pPr>
        <w:pStyle w:val="Normal"/>
        <w:ind w:firstLine="283"/>
        <w:jc w:val="both"/>
        <w:rPr>
          <w:b/>
          <w:b/>
          <w:bCs/>
        </w:rPr>
      </w:pPr>
      <w:r>
        <w:rPr>
          <w:b/>
          <w:bCs/>
        </w:rPr>
        <w:t>8. Проверка работы переключающего устройства.</w:t>
      </w:r>
    </w:p>
    <w:p>
      <w:pPr>
        <w:pStyle w:val="Normal"/>
        <w:ind w:firstLine="283"/>
        <w:jc w:val="both"/>
        <w:rPr/>
      </w:pPr>
      <w:r>
        <w:rPr/>
        <w:t>Производится в соответствии с указаниями завода-изготовителя.</w:t>
      </w:r>
    </w:p>
    <w:p>
      <w:pPr>
        <w:pStyle w:val="Normal"/>
        <w:ind w:firstLine="283"/>
        <w:jc w:val="both"/>
        <w:rPr>
          <w:b/>
          <w:b/>
          <w:bCs/>
        </w:rPr>
      </w:pPr>
      <w:r>
        <w:rPr>
          <w:b/>
          <w:bCs/>
        </w:rPr>
        <w:t>9. Испытание бака с радиаторами.</w:t>
      </w:r>
    </w:p>
    <w:p>
      <w:pPr>
        <w:pStyle w:val="Normal"/>
        <w:ind w:firstLine="283"/>
        <w:jc w:val="both"/>
        <w:rPr/>
      </w:pPr>
      <w:r>
        <w:rPr/>
        <w:t>Испытаниям подвергаются все трансформаторы, кроме герметизированных и не имеющих расширителя. Испытание производится:</w:t>
      </w:r>
    </w:p>
    <w:p>
      <w:pPr>
        <w:pStyle w:val="Normal"/>
        <w:ind w:firstLine="283"/>
        <w:jc w:val="both"/>
        <w:rPr/>
      </w:pPr>
      <w:r>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p>
      <w:pPr>
        <w:pStyle w:val="Normal"/>
        <w:ind w:firstLine="283"/>
        <w:jc w:val="both"/>
        <w:rPr/>
      </w:pPr>
      <w:r>
        <w:rPr/>
        <w:t>- у трансформаторов с пленочной защитой масла - созданием внутри гибкой оболочки избыточного давления воздуха 10 кПа;</w:t>
      </w:r>
    </w:p>
    <w:p>
      <w:pPr>
        <w:pStyle w:val="Normal"/>
        <w:ind w:firstLine="283"/>
        <w:jc w:val="both"/>
        <w:rPr/>
      </w:pPr>
      <w:r>
        <w:rPr/>
        <w:t>- у остальных трансформаторов - созданием избыточного давления азота или сухого воздуха 10 кПа в надмасляном пространстве расширителя.</w:t>
      </w:r>
    </w:p>
    <w:p>
      <w:pPr>
        <w:pStyle w:val="Normal"/>
        <w:ind w:firstLine="312"/>
        <w:jc w:val="both"/>
        <w:rPr/>
      </w:pPr>
      <w:r>
        <w:rPr/>
        <w:t>Продолжительность испытания во всех случаях - не менее 3 ч. Температура масла в баке при испытаниях трансформаторов напряжением до 150 кВ включительно - не ниже 10 °С, остальных - не ниже 20 °С.</w:t>
      </w:r>
    </w:p>
    <w:p>
      <w:pPr>
        <w:pStyle w:val="Normal"/>
        <w:ind w:firstLine="283"/>
        <w:jc w:val="both"/>
        <w:rPr/>
      </w:pPr>
      <w:r>
        <w:rPr/>
        <w:t>Трансформатор считается маслоплотным, если осмотром после испытания течь масла не обнаружена.</w:t>
      </w:r>
    </w:p>
    <w:p>
      <w:pPr>
        <w:pStyle w:val="Normal"/>
        <w:ind w:firstLine="283"/>
        <w:jc w:val="both"/>
        <w:rPr>
          <w:b/>
          <w:b/>
          <w:bCs/>
        </w:rPr>
      </w:pPr>
      <w:r>
        <w:rPr>
          <w:b/>
          <w:bCs/>
        </w:rPr>
        <w:t>10. Проверка устройств охлаждения.</w:t>
      </w:r>
    </w:p>
    <w:p>
      <w:pPr>
        <w:pStyle w:val="Normal"/>
        <w:ind w:firstLine="283"/>
        <w:jc w:val="both"/>
        <w:rPr/>
      </w:pPr>
      <w:r>
        <w:rPr/>
        <w:t>Режим пуска и работы охлаждающих устройств должен соответствовать указаниям завода-изготовителя.</w:t>
      </w:r>
    </w:p>
    <w:p>
      <w:pPr>
        <w:pStyle w:val="Normal"/>
        <w:ind w:firstLine="283"/>
        <w:jc w:val="both"/>
        <w:rPr>
          <w:b/>
          <w:b/>
          <w:bCs/>
        </w:rPr>
      </w:pPr>
      <w:r>
        <w:rPr>
          <w:b/>
          <w:bCs/>
        </w:rPr>
        <w:t>11. Проверка средств защиты масла.</w:t>
      </w:r>
    </w:p>
    <w:p>
      <w:pPr>
        <w:pStyle w:val="Normal"/>
        <w:ind w:firstLine="283"/>
        <w:jc w:val="both"/>
        <w:rPr/>
      </w:pPr>
      <w:r>
        <w:rPr/>
        <w:t>Производится в соответствии с указаниями завода-изготовителя.</w:t>
      </w:r>
    </w:p>
    <w:p>
      <w:pPr>
        <w:pStyle w:val="Normal"/>
        <w:ind w:firstLine="283"/>
        <w:jc w:val="both"/>
        <w:rPr>
          <w:b/>
          <w:b/>
          <w:bCs/>
        </w:rPr>
      </w:pPr>
      <w:r>
        <w:rPr>
          <w:b/>
          <w:bCs/>
        </w:rPr>
        <w:t>12. Фазировка трансформаторов.</w:t>
      </w:r>
    </w:p>
    <w:p>
      <w:pPr>
        <w:pStyle w:val="Normal"/>
        <w:ind w:firstLine="283"/>
        <w:jc w:val="both"/>
        <w:rPr/>
      </w:pPr>
      <w:r>
        <w:rPr/>
        <w:t>Должно иметь место совпадение по фазам.</w:t>
      </w:r>
    </w:p>
    <w:p>
      <w:pPr>
        <w:pStyle w:val="Normal"/>
        <w:ind w:firstLine="283"/>
        <w:jc w:val="both"/>
        <w:rPr>
          <w:b/>
          <w:b/>
          <w:bCs/>
        </w:rPr>
      </w:pPr>
      <w:r>
        <w:rPr>
          <w:b/>
          <w:bCs/>
        </w:rPr>
        <w:t>13. Испытание трансформаторного масла.</w:t>
      </w:r>
    </w:p>
    <w:p>
      <w:pPr>
        <w:pStyle w:val="Normal"/>
        <w:ind w:firstLine="283"/>
        <w:jc w:val="both"/>
        <w:rPr/>
      </w:pPr>
      <w:r>
        <w:rPr/>
        <w:t>Свежее масло перед заливкой вновь вводимых трансформаторов, прибывающих без масла, должно быть испытано по показателям пп. 1 - 6, 7 - 12 табл. 1.8.33.</w:t>
      </w:r>
    </w:p>
    <w:p>
      <w:pPr>
        <w:pStyle w:val="Normal"/>
        <w:ind w:firstLine="283"/>
        <w:jc w:val="both"/>
        <w:rPr/>
      </w:pPr>
      <w:r>
        <w:rPr/>
        <w:t>У трансформаторов напряжением до 35 кВ масло рекомендуется испытывать по показателям пп. 1 - 7 табл. 1.8.33, допускается не производить испытания по пп. 3, 6 и 7 табл. 1.8.33.</w:t>
      </w:r>
    </w:p>
    <w:p>
      <w:pPr>
        <w:pStyle w:val="Normal"/>
        <w:ind w:firstLine="283"/>
        <w:jc w:val="both"/>
        <w:rPr/>
      </w:pPr>
      <w:r>
        <w:rPr/>
        <w:t>У трансформаторов напряжением 110 кВ и выше масло испытывается по пп. 1 - 7 табл. 1.8.33, а у трансформаторов с пленочной защитой масла - дополнительно по п. 10.</w:t>
      </w:r>
    </w:p>
    <w:p>
      <w:pPr>
        <w:pStyle w:val="Normal"/>
        <w:ind w:firstLine="283"/>
        <w:jc w:val="both"/>
        <w:rPr/>
      </w:pPr>
      <w:r>
        <w:rPr/>
        <w:t>У трансформаторов с РПН масло из бака контактора устройства регулирования напряжения под нагрузкой испытывается в соответствии с инструкцией завода-изготовителя РПН.</w:t>
      </w:r>
    </w:p>
    <w:p>
      <w:pPr>
        <w:pStyle w:val="Normal"/>
        <w:ind w:firstLine="283"/>
        <w:jc w:val="both"/>
        <w:rPr/>
      </w:pPr>
      <w:r>
        <w:rPr/>
        <w:t>Из герметизированных трансформаторов проба масла не отбирается.</w:t>
      </w:r>
    </w:p>
    <w:p>
      <w:pPr>
        <w:pStyle w:val="Normal"/>
        <w:ind w:firstLine="283"/>
        <w:jc w:val="both"/>
        <w:rPr/>
      </w:pPr>
      <w:r>
        <w:rPr/>
        <w:t>У трансформаторов напряжением 110 кВ и выше, а также блочных трансформаторов собственных нужд, рекомендуется производить хроматографический анализ растворенных в масле газов.</w:t>
      </w:r>
    </w:p>
    <w:p>
      <w:pPr>
        <w:pStyle w:val="Normal"/>
        <w:ind w:firstLine="283"/>
        <w:jc w:val="both"/>
        <w:rPr/>
      </w:pPr>
      <w:r>
        <w:rPr/>
        <w:t>Масло из трансформаторов, прибывающих на монтаж с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пп. 1 и 2 табл. 1.8.33.</w:t>
      </w:r>
    </w:p>
    <w:p>
      <w:pPr>
        <w:pStyle w:val="Normal"/>
        <w:ind w:firstLine="283"/>
        <w:jc w:val="both"/>
        <w:rPr/>
      </w:pPr>
      <w:r>
        <w:rPr/>
        <w:t>У трансформаторов мощностью до 630 кВА проверку масла допускается производить только по пп. 1 и 5 (визуально) табл. 1.8.33.</w:t>
      </w:r>
    </w:p>
    <w:p>
      <w:pPr>
        <w:pStyle w:val="Normal"/>
        <w:ind w:firstLine="283"/>
        <w:jc w:val="both"/>
        <w:rPr>
          <w:b/>
          <w:b/>
          <w:bCs/>
        </w:rPr>
      </w:pPr>
      <w:r>
        <w:rPr>
          <w:b/>
          <w:bCs/>
        </w:rPr>
        <w:t>14. Испытание включением толчком на номинальное напряжение.</w:t>
      </w:r>
    </w:p>
    <w:p>
      <w:pPr>
        <w:pStyle w:val="Normal"/>
        <w:ind w:firstLine="283"/>
        <w:jc w:val="both"/>
        <w:rPr/>
      </w:pPr>
      <w:r>
        <w:rPr/>
        <w:t>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pPr>
        <w:pStyle w:val="Normal"/>
        <w:ind w:firstLine="283"/>
        <w:jc w:val="both"/>
        <w:rPr/>
      </w:pPr>
      <w:r>
        <w:rPr/>
        <w:t>Трансформаторы, смонтированные по схеме блока с генератором, рекомендуется включать в сеть подъемом напряжения с нуля.</w:t>
      </w:r>
    </w:p>
    <w:p>
      <w:pPr>
        <w:pStyle w:val="Normal"/>
        <w:ind w:firstLine="283"/>
        <w:jc w:val="both"/>
        <w:rPr>
          <w:b/>
          <w:b/>
          <w:bCs/>
        </w:rPr>
      </w:pPr>
      <w:r>
        <w:rPr>
          <w:b/>
          <w:bCs/>
        </w:rPr>
        <w:t>15. Испытание вводов.</w:t>
      </w:r>
    </w:p>
    <w:p>
      <w:pPr>
        <w:pStyle w:val="Normal"/>
        <w:ind w:firstLine="283"/>
        <w:jc w:val="both"/>
        <w:rPr/>
      </w:pPr>
      <w:r>
        <w:rPr/>
        <w:t>Следует производить в соответствии с 1.8.33.</w:t>
      </w:r>
    </w:p>
    <w:p>
      <w:pPr>
        <w:pStyle w:val="Normal"/>
        <w:ind w:firstLine="283"/>
        <w:jc w:val="both"/>
        <w:rPr>
          <w:b/>
          <w:b/>
          <w:bCs/>
        </w:rPr>
      </w:pPr>
      <w:r>
        <w:rPr>
          <w:b/>
          <w:bCs/>
        </w:rPr>
        <w:t>16. Испытание встроенных трансформаторов тока.</w:t>
      </w:r>
    </w:p>
    <w:p>
      <w:pPr>
        <w:pStyle w:val="Normal"/>
        <w:ind w:firstLine="283"/>
        <w:jc w:val="both"/>
        <w:rPr/>
      </w:pPr>
      <w:r>
        <w:rPr/>
        <w:t>Следует производить в соответствии с 1.8.17.</w:t>
      </w:r>
    </w:p>
    <w:p>
      <w:pPr>
        <w:pStyle w:val="Heading3"/>
        <w:rPr/>
      </w:pPr>
      <w:r>
        <w:rPr/>
        <w:t>1.8.17. Измерительные трансформаторы тока</w:t>
      </w:r>
    </w:p>
    <w:p>
      <w:pPr>
        <w:pStyle w:val="Normal"/>
        <w:ind w:firstLine="283"/>
        <w:jc w:val="both"/>
        <w:rPr>
          <w:b/>
          <w:b/>
          <w:bCs/>
        </w:rPr>
      </w:pPr>
      <w:r>
        <w:rPr>
          <w:b/>
          <w:bCs/>
        </w:rPr>
        <w:t>1. Измерение сопротивления изоляции.</w:t>
      </w:r>
    </w:p>
    <w:p>
      <w:pPr>
        <w:pStyle w:val="Normal"/>
        <w:ind w:firstLine="283"/>
        <w:jc w:val="both"/>
        <w:rPr/>
      </w:pPr>
      <w:r>
        <w:rPr/>
        <w:t>Измерение сопротивления основной изоляции трансформаторов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pPr>
        <w:pStyle w:val="Normal"/>
        <w:ind w:firstLine="283"/>
        <w:jc w:val="both"/>
        <w:rPr/>
      </w:pPr>
      <w:r>
        <w:rPr/>
        <w:t>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w:t>
      </w:r>
    </w:p>
    <w:p>
      <w:pPr>
        <w:pStyle w:val="Normal"/>
        <w:ind w:firstLine="283"/>
        <w:jc w:val="both"/>
        <w:rPr/>
      </w:pPr>
      <w:r>
        <w:rPr/>
        <w:t>Измеренные значения сопротивления изоляции должны быть не менее приведенных в табл. 1.8.13.</w:t>
      </w:r>
    </w:p>
    <w:p>
      <w:pPr>
        <w:pStyle w:val="Normal"/>
        <w:ind w:firstLine="283"/>
        <w:jc w:val="both"/>
        <w:rPr/>
      </w:pPr>
      <w:r>
        <w:rP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13</w:t>
      </w:r>
    </w:p>
    <w:p>
      <w:pPr>
        <w:pStyle w:val="Normal"/>
        <w:spacing w:before="0" w:after="120"/>
        <w:jc w:val="center"/>
        <w:rPr/>
      </w:pPr>
      <w:r>
        <w:rPr>
          <w:b/>
          <w:bCs/>
          <w:i/>
          <w:iCs/>
        </w:rPr>
        <w:t>Сопротивление</w:t>
      </w:r>
      <w:r>
        <w:rPr>
          <w:b/>
          <w:bCs/>
        </w:rPr>
        <w:t xml:space="preserve"> </w:t>
      </w:r>
      <w:r>
        <w:rPr>
          <w:b/>
          <w:bCs/>
          <w:i/>
          <w:iCs/>
        </w:rPr>
        <w:t>изоляции</w:t>
      </w:r>
      <w:r>
        <w:rPr>
          <w:b/>
          <w:bCs/>
        </w:rPr>
        <w:t xml:space="preserve"> </w:t>
      </w:r>
      <w:r>
        <w:rPr>
          <w:b/>
          <w:bCs/>
          <w:i/>
          <w:iCs/>
        </w:rPr>
        <w:t>каскадных</w:t>
      </w:r>
      <w:r>
        <w:rPr>
          <w:b/>
          <w:bCs/>
        </w:rPr>
        <w:t xml:space="preserve"> </w:t>
      </w:r>
      <w:r>
        <w:rPr>
          <w:b/>
          <w:bCs/>
          <w:i/>
          <w:iCs/>
        </w:rPr>
        <w:t>трансформаторов</w:t>
      </w:r>
      <w:r>
        <w:rPr>
          <w:b/>
          <w:bCs/>
        </w:rPr>
        <w:t xml:space="preserve"> </w:t>
      </w:r>
      <w:r>
        <w:rPr>
          <w:b/>
          <w:bCs/>
          <w:i/>
          <w:iCs/>
        </w:rPr>
        <w:t>тока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55"/>
        <w:gridCol w:w="1272"/>
        <w:gridCol w:w="1867"/>
        <w:gridCol w:w="1340"/>
        <w:gridCol w:w="1537"/>
        <w:gridCol w:w="1984"/>
      </w:tblGrid>
      <w:tr>
        <w:trPr>
          <w:tblHeader w:val="true"/>
        </w:trPr>
        <w:tc>
          <w:tcPr>
            <w:tcW w:w="1355"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кВ</w:t>
            </w:r>
          </w:p>
        </w:tc>
        <w:tc>
          <w:tcPr>
            <w:tcW w:w="8000"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Допустимые сопротивления изоляции, МОм, не менее</w:t>
            </w:r>
          </w:p>
        </w:tc>
      </w:tr>
      <w:tr>
        <w:trPr>
          <w:tblHeader w:val="true"/>
        </w:trPr>
        <w:tc>
          <w:tcPr>
            <w:tcW w:w="1355"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272" w:type="dxa"/>
            <w:tcBorders>
              <w:left w:val="single" w:sz="8" w:space="0" w:color="000000"/>
              <w:bottom w:val="single" w:sz="8" w:space="0" w:color="000000"/>
              <w:insideH w:val="single" w:sz="8" w:space="0" w:color="000000"/>
            </w:tcBorders>
            <w:shd w:fill="auto" w:val="clear"/>
            <w:vAlign w:val="center"/>
          </w:tcPr>
          <w:p>
            <w:pPr>
              <w:pStyle w:val="Normal"/>
              <w:jc w:val="center"/>
              <w:rPr/>
            </w:pPr>
            <w:r>
              <w:rPr/>
              <w:t>Основная изоляция</w:t>
            </w:r>
          </w:p>
        </w:tc>
        <w:tc>
          <w:tcPr>
            <w:tcW w:w="18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Измерительный вывод</w:t>
            </w:r>
          </w:p>
        </w:tc>
        <w:tc>
          <w:tcPr>
            <w:tcW w:w="1340"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Наружные слои</w:t>
            </w:r>
          </w:p>
        </w:tc>
        <w:tc>
          <w:tcPr>
            <w:tcW w:w="153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Вторичные обмотки*</w:t>
            </w:r>
          </w:p>
        </w:tc>
        <w:tc>
          <w:tcPr>
            <w:tcW w:w="19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Промежуточные обмотки</w:t>
            </w:r>
          </w:p>
        </w:tc>
      </w:tr>
      <w:tr>
        <w:trPr/>
        <w:tc>
          <w:tcPr>
            <w:tcW w:w="1355" w:type="dxa"/>
            <w:tcBorders>
              <w:left w:val="single" w:sz="8" w:space="0" w:color="000000"/>
              <w:bottom w:val="single" w:sz="8" w:space="0" w:color="000000"/>
              <w:insideH w:val="single" w:sz="8" w:space="0" w:color="000000"/>
            </w:tcBorders>
            <w:shd w:fill="auto" w:val="clear"/>
          </w:tcPr>
          <w:p>
            <w:pPr>
              <w:pStyle w:val="Normal"/>
              <w:jc w:val="center"/>
              <w:rPr/>
            </w:pPr>
            <w:r>
              <w:rPr/>
              <w:t>3 - 35</w:t>
            </w:r>
          </w:p>
        </w:tc>
        <w:tc>
          <w:tcPr>
            <w:tcW w:w="127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1000</w:t>
            </w:r>
          </w:p>
        </w:tc>
        <w:tc>
          <w:tcPr>
            <w:tcW w:w="186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34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53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 (1)</w:t>
            </w:r>
          </w:p>
        </w:tc>
        <w:tc>
          <w:tcPr>
            <w:tcW w:w="19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1355" w:type="dxa"/>
            <w:tcBorders>
              <w:left w:val="single" w:sz="8" w:space="0" w:color="000000"/>
              <w:bottom w:val="single" w:sz="8" w:space="0" w:color="000000"/>
              <w:insideH w:val="single" w:sz="8" w:space="0" w:color="000000"/>
            </w:tcBorders>
            <w:shd w:fill="auto" w:val="clear"/>
          </w:tcPr>
          <w:p>
            <w:pPr>
              <w:pStyle w:val="Normal"/>
              <w:jc w:val="center"/>
              <w:rPr/>
            </w:pPr>
            <w:r>
              <w:rPr/>
              <w:t>110 - 220</w:t>
            </w:r>
          </w:p>
        </w:tc>
        <w:tc>
          <w:tcPr>
            <w:tcW w:w="127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3000</w:t>
            </w:r>
          </w:p>
        </w:tc>
        <w:tc>
          <w:tcPr>
            <w:tcW w:w="186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34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53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 (1)</w:t>
            </w:r>
          </w:p>
        </w:tc>
        <w:tc>
          <w:tcPr>
            <w:tcW w:w="19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1355" w:type="dxa"/>
            <w:tcBorders>
              <w:left w:val="single" w:sz="8" w:space="0" w:color="000000"/>
              <w:bottom w:val="single" w:sz="8" w:space="0" w:color="000000"/>
              <w:insideH w:val="single" w:sz="8" w:space="0" w:color="000000"/>
            </w:tcBorders>
            <w:shd w:fill="auto" w:val="clear"/>
          </w:tcPr>
          <w:p>
            <w:pPr>
              <w:pStyle w:val="Normal"/>
              <w:jc w:val="center"/>
              <w:rPr/>
            </w:pPr>
            <w:r>
              <w:rPr/>
              <w:t>330 - 750</w:t>
            </w:r>
          </w:p>
        </w:tc>
        <w:tc>
          <w:tcPr>
            <w:tcW w:w="127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5000</w:t>
            </w:r>
          </w:p>
        </w:tc>
        <w:tc>
          <w:tcPr>
            <w:tcW w:w="186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3000</w:t>
            </w:r>
          </w:p>
        </w:tc>
        <w:tc>
          <w:tcPr>
            <w:tcW w:w="134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1000</w:t>
            </w:r>
          </w:p>
        </w:tc>
        <w:tc>
          <w:tcPr>
            <w:tcW w:w="153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 (1)</w:t>
            </w:r>
          </w:p>
        </w:tc>
        <w:tc>
          <w:tcPr>
            <w:tcW w:w="19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w:t>
            </w:r>
          </w:p>
        </w:tc>
      </w:tr>
      <w:tr>
        <w:trPr/>
        <w:tc>
          <w:tcPr>
            <w:tcW w:w="9355" w:type="dxa"/>
            <w:gridSpan w:val="6"/>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33"/>
              <w:jc w:val="both"/>
              <w:rPr/>
            </w:pPr>
            <w:r>
              <w:rPr/>
              <w:t>* Сопротивления изоляции вторичных обмоток приведены: без скобок - при отключенных вторичных цепях, в скобках - с подключенными вторичными цепями.</w:t>
            </w:r>
          </w:p>
        </w:tc>
      </w:tr>
    </w:tbl>
    <w:p>
      <w:pPr>
        <w:pStyle w:val="Normal"/>
        <w:spacing w:before="120" w:after="0"/>
        <w:ind w:firstLine="284"/>
        <w:jc w:val="both"/>
        <w:rPr/>
      </w:pPr>
      <w:r>
        <w:rPr>
          <w:b/>
          <w:bCs/>
        </w:rPr>
        <w:t xml:space="preserve">2. Измерение </w:t>
      </w:r>
      <w:r>
        <w:rPr>
          <w:b/>
          <w:bCs/>
          <w:i/>
          <w:iCs/>
        </w:rPr>
        <w:t>tg</w:t>
      </w:r>
      <w:r>
        <w:rPr>
          <w:b/>
          <w:bCs/>
        </w:rPr>
        <w:t>δ изоляции.</w:t>
      </w:r>
    </w:p>
    <w:p>
      <w:pPr>
        <w:pStyle w:val="Normal"/>
        <w:ind w:firstLine="283"/>
        <w:jc w:val="both"/>
        <w:rPr/>
      </w:pPr>
      <w:r>
        <w:rPr/>
        <w:t xml:space="preserve">Измерения </w:t>
      </w:r>
      <w:r>
        <w:rPr>
          <w:i/>
          <w:iCs/>
        </w:rPr>
        <w:t>tg</w:t>
      </w:r>
      <w:r>
        <w:rPr/>
        <w:t>δ трансформаторов тока с основной бумажно-масляной изоляцией производятся при напряжении 10 кВ.</w:t>
      </w:r>
    </w:p>
    <w:p>
      <w:pPr>
        <w:pStyle w:val="Normal"/>
        <w:ind w:firstLine="283"/>
        <w:jc w:val="both"/>
        <w:rPr/>
      </w:pPr>
      <w:r>
        <w:rPr/>
        <w:t>Измеренные значения, приведенные к температуре 20 °С, должны быть не более указанных в табл. 1.8.14.</w:t>
      </w:r>
    </w:p>
    <w:p>
      <w:pPr>
        <w:pStyle w:val="Normal"/>
        <w:ind w:firstLine="283"/>
        <w:jc w:val="both"/>
        <w:rPr/>
      </w:pPr>
      <w:r>
        <w:rPr/>
        <w:t xml:space="preserve">У каскадных трансформаторов тока </w:t>
      </w:r>
      <w:r>
        <w:rPr>
          <w:i/>
          <w:iCs/>
        </w:rPr>
        <w:t>tg</w:t>
      </w:r>
      <w:r>
        <w:rPr/>
        <w:t xml:space="preserve">δ основной изоляции измеряется для трансформатора тока в целом. При неудовлетворительных результатах таких измерений </w:t>
      </w:r>
      <w:r>
        <w:rPr>
          <w:i/>
          <w:iCs/>
        </w:rPr>
        <w:t>tg</w:t>
      </w:r>
      <w:r>
        <w:rPr/>
        <w:t>δ основной изоляции дополнительно производится измерение по ступеням.</w:t>
      </w:r>
    </w:p>
    <w:p>
      <w:pPr>
        <w:pStyle w:val="Normal"/>
        <w:ind w:firstLine="283"/>
        <w:jc w:val="both"/>
        <w:rPr>
          <w:b/>
          <w:b/>
          <w:bCs/>
        </w:rPr>
      </w:pPr>
      <w:r>
        <w:rPr>
          <w:b/>
          <w:bCs/>
        </w:rPr>
        <w:t>3. Испытание повышенным напряжением промышленной частоты 50 Гц.</w:t>
      </w:r>
    </w:p>
    <w:p>
      <w:pPr>
        <w:pStyle w:val="Normal"/>
        <w:ind w:firstLine="283"/>
        <w:jc w:val="both"/>
        <w:rPr>
          <w:b/>
          <w:b/>
          <w:bCs/>
        </w:rPr>
      </w:pPr>
      <w:r>
        <w:rPr>
          <w:b/>
          <w:bCs/>
        </w:rPr>
        <w:t>3.1. Испытание повышенным напряжением основной изоляции.</w:t>
      </w:r>
    </w:p>
    <w:p>
      <w:pPr>
        <w:pStyle w:val="Normal"/>
        <w:ind w:firstLine="283"/>
        <w:jc w:val="both"/>
        <w:rPr/>
      </w:pPr>
      <w:r>
        <w:rPr/>
        <w:t>Значения испытательного напряжения основной изоляции приведены в табл. 1.8.16. Длительность испытания трансформаторов тока - 1 мин.</w:t>
      </w:r>
    </w:p>
    <w:p>
      <w:pPr>
        <w:pStyle w:val="Normal"/>
        <w:ind w:firstLine="283"/>
        <w:jc w:val="both"/>
        <w:rPr/>
      </w:pPr>
      <w:r>
        <w:rPr/>
        <w:t>Допускается проведение испытаний трансформаторов тока совместно с ошиновкой. Трансформаторы тока напряжением более 35 кВ не подвергаются испытаниям повышенным напряжением.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14</w:t>
      </w:r>
    </w:p>
    <w:p>
      <w:pPr>
        <w:pStyle w:val="Normal"/>
        <w:spacing w:before="0" w:after="120"/>
        <w:jc w:val="center"/>
        <w:rPr/>
      </w:pPr>
      <w:r>
        <w:rPr>
          <w:b/>
          <w:bCs/>
          <w:i/>
          <w:iCs/>
        </w:rPr>
        <w:t>Значения</w:t>
      </w:r>
      <w:r>
        <w:rPr>
          <w:b/>
          <w:bCs/>
        </w:rPr>
        <w:t xml:space="preserve"> </w:t>
      </w:r>
      <w:r>
        <w:rPr>
          <w:b/>
          <w:bCs/>
          <w:i/>
          <w:iCs/>
        </w:rPr>
        <w:t>tg</w:t>
      </w:r>
      <w:r>
        <w:rPr>
          <w:b/>
          <w:bCs/>
        </w:rPr>
        <w:t xml:space="preserve">δ </w:t>
      </w:r>
      <w:r>
        <w:rPr>
          <w:b/>
          <w:bCs/>
          <w:i/>
          <w:iCs/>
        </w:rPr>
        <w:t>основной</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тока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980"/>
        <w:gridCol w:w="835"/>
        <w:gridCol w:w="834"/>
        <w:gridCol w:w="834"/>
        <w:gridCol w:w="834"/>
        <w:gridCol w:w="982"/>
        <w:gridCol w:w="997"/>
        <w:gridCol w:w="1059"/>
      </w:tblGrid>
      <w:tr>
        <w:trPr>
          <w:tblHeader w:val="true"/>
        </w:trPr>
        <w:tc>
          <w:tcPr>
            <w:tcW w:w="2980"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изоляции</w:t>
            </w:r>
          </w:p>
        </w:tc>
        <w:tc>
          <w:tcPr>
            <w:tcW w:w="6375"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 xml:space="preserve">Предельные значения </w:t>
            </w:r>
            <w:r>
              <w:rPr>
                <w:i/>
                <w:iCs/>
              </w:rPr>
              <w:t>tg</w:t>
            </w:r>
            <w:r>
              <w:rPr/>
              <w:t>δ %, основной изоляции трансформаторов тока на номинальное</w:t>
            </w:r>
          </w:p>
        </w:tc>
      </w:tr>
      <w:tr>
        <w:trPr>
          <w:tblHeader w:val="true"/>
        </w:trPr>
        <w:tc>
          <w:tcPr>
            <w:tcW w:w="2980"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835" w:type="dxa"/>
            <w:tcBorders>
              <w:left w:val="single" w:sz="8" w:space="0" w:color="000000"/>
              <w:bottom w:val="single" w:sz="8" w:space="0" w:color="000000"/>
              <w:insideH w:val="single" w:sz="8" w:space="0" w:color="000000"/>
            </w:tcBorders>
            <w:shd w:fill="auto" w:val="clear"/>
            <w:vAlign w:val="center"/>
          </w:tcPr>
          <w:p>
            <w:pPr>
              <w:pStyle w:val="Normal"/>
              <w:jc w:val="center"/>
              <w:rPr/>
            </w:pPr>
            <w:r>
              <w:rPr/>
              <w:t>3 - 15</w:t>
            </w:r>
          </w:p>
        </w:tc>
        <w:tc>
          <w:tcPr>
            <w:tcW w:w="83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20 - 35</w:t>
            </w:r>
          </w:p>
        </w:tc>
        <w:tc>
          <w:tcPr>
            <w:tcW w:w="83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110</w:t>
            </w:r>
          </w:p>
        </w:tc>
        <w:tc>
          <w:tcPr>
            <w:tcW w:w="83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220</w:t>
            </w:r>
          </w:p>
        </w:tc>
        <w:tc>
          <w:tcPr>
            <w:tcW w:w="982"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330</w:t>
            </w:r>
          </w:p>
        </w:tc>
        <w:tc>
          <w:tcPr>
            <w:tcW w:w="99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w:t>
            </w:r>
          </w:p>
        </w:tc>
        <w:tc>
          <w:tcPr>
            <w:tcW w:w="1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750</w:t>
            </w:r>
          </w:p>
        </w:tc>
      </w:tr>
      <w:tr>
        <w:trPr/>
        <w:tc>
          <w:tcPr>
            <w:tcW w:w="2980" w:type="dxa"/>
            <w:tcBorders>
              <w:left w:val="single" w:sz="8" w:space="0" w:color="000000"/>
            </w:tcBorders>
            <w:shd w:fill="auto" w:val="clear"/>
          </w:tcPr>
          <w:p>
            <w:pPr>
              <w:pStyle w:val="Normal"/>
              <w:jc w:val="both"/>
              <w:rPr/>
            </w:pPr>
            <w:r>
              <w:rPr/>
              <w:t>Бумажно-бакелитовая</w:t>
            </w:r>
          </w:p>
        </w:tc>
        <w:tc>
          <w:tcPr>
            <w:tcW w:w="835" w:type="dxa"/>
            <w:tcBorders>
              <w:left w:val="single" w:sz="8" w:space="0" w:color="000000"/>
            </w:tcBorders>
            <w:shd w:fill="auto" w:val="clear"/>
            <w:tcMar>
              <w:left w:w="0" w:type="dxa"/>
              <w:right w:w="0" w:type="dxa"/>
            </w:tcMar>
          </w:tcPr>
          <w:p>
            <w:pPr>
              <w:pStyle w:val="Normal"/>
              <w:jc w:val="center"/>
              <w:rPr/>
            </w:pPr>
            <w:r>
              <w:rPr/>
              <w:t>3,0</w:t>
            </w:r>
          </w:p>
        </w:tc>
        <w:tc>
          <w:tcPr>
            <w:tcW w:w="834" w:type="dxa"/>
            <w:tcBorders>
              <w:left w:val="single" w:sz="8" w:space="0" w:color="000000"/>
            </w:tcBorders>
            <w:shd w:fill="auto" w:val="clear"/>
            <w:tcMar>
              <w:left w:w="0" w:type="dxa"/>
              <w:right w:w="0" w:type="dxa"/>
            </w:tcMar>
          </w:tcPr>
          <w:p>
            <w:pPr>
              <w:pStyle w:val="Normal"/>
              <w:jc w:val="center"/>
              <w:rPr/>
            </w:pPr>
            <w:r>
              <w:rPr/>
              <w:t>2,5</w:t>
            </w:r>
          </w:p>
        </w:tc>
        <w:tc>
          <w:tcPr>
            <w:tcW w:w="834" w:type="dxa"/>
            <w:tcBorders>
              <w:left w:val="single" w:sz="8" w:space="0" w:color="000000"/>
            </w:tcBorders>
            <w:shd w:fill="auto" w:val="clear"/>
            <w:tcMar>
              <w:left w:w="0" w:type="dxa"/>
              <w:right w:w="0" w:type="dxa"/>
            </w:tcMar>
          </w:tcPr>
          <w:p>
            <w:pPr>
              <w:pStyle w:val="Normal"/>
              <w:jc w:val="center"/>
              <w:rPr/>
            </w:pPr>
            <w:r>
              <w:rPr/>
              <w:t>2,0</w:t>
            </w:r>
          </w:p>
        </w:tc>
        <w:tc>
          <w:tcPr>
            <w:tcW w:w="834" w:type="dxa"/>
            <w:tcBorders>
              <w:left w:val="single" w:sz="8" w:space="0" w:color="000000"/>
            </w:tcBorders>
            <w:shd w:fill="auto" w:val="clear"/>
            <w:tcMar>
              <w:left w:w="0" w:type="dxa"/>
              <w:right w:w="0" w:type="dxa"/>
            </w:tcMar>
          </w:tcPr>
          <w:p>
            <w:pPr>
              <w:pStyle w:val="Normal"/>
              <w:jc w:val="center"/>
              <w:rPr/>
            </w:pPr>
            <w:r>
              <w:rPr/>
              <w:t>-</w:t>
            </w:r>
          </w:p>
        </w:tc>
        <w:tc>
          <w:tcPr>
            <w:tcW w:w="982" w:type="dxa"/>
            <w:tcBorders>
              <w:left w:val="single" w:sz="8" w:space="0" w:color="000000"/>
            </w:tcBorders>
            <w:shd w:fill="auto" w:val="clear"/>
            <w:tcMar>
              <w:left w:w="0" w:type="dxa"/>
              <w:right w:w="0" w:type="dxa"/>
            </w:tcMar>
          </w:tcPr>
          <w:p>
            <w:pPr>
              <w:pStyle w:val="Normal"/>
              <w:jc w:val="center"/>
              <w:rPr/>
            </w:pPr>
            <w:r>
              <w:rPr/>
              <w:t>-</w:t>
            </w:r>
          </w:p>
        </w:tc>
        <w:tc>
          <w:tcPr>
            <w:tcW w:w="997" w:type="dxa"/>
            <w:tcBorders>
              <w:left w:val="single" w:sz="8" w:space="0" w:color="000000"/>
            </w:tcBorders>
            <w:shd w:fill="auto" w:val="clear"/>
            <w:tcMar>
              <w:left w:w="0" w:type="dxa"/>
              <w:right w:w="0" w:type="dxa"/>
            </w:tcMar>
          </w:tcPr>
          <w:p>
            <w:pPr>
              <w:pStyle w:val="Normal"/>
              <w:jc w:val="center"/>
              <w:rPr/>
            </w:pPr>
            <w:r>
              <w:rPr/>
              <w:t>-</w:t>
            </w:r>
          </w:p>
        </w:tc>
        <w:tc>
          <w:tcPr>
            <w:tcW w:w="10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2980" w:type="dxa"/>
            <w:tcBorders>
              <w:left w:val="single" w:sz="8" w:space="0" w:color="000000"/>
              <w:bottom w:val="single" w:sz="8" w:space="0" w:color="000000"/>
              <w:insideH w:val="single" w:sz="8" w:space="0" w:color="000000"/>
            </w:tcBorders>
            <w:shd w:fill="auto" w:val="clear"/>
          </w:tcPr>
          <w:p>
            <w:pPr>
              <w:pStyle w:val="Normal"/>
              <w:jc w:val="both"/>
              <w:rPr/>
            </w:pPr>
            <w:r>
              <w:rPr/>
              <w:t>Основная бумажно-масляная и конденсаторная изоляция</w:t>
            </w:r>
          </w:p>
        </w:tc>
        <w:tc>
          <w:tcPr>
            <w:tcW w:w="835" w:type="dxa"/>
            <w:tcBorders>
              <w:left w:val="single" w:sz="8" w:space="0" w:color="000000"/>
              <w:bottom w:val="single" w:sz="8" w:space="0" w:color="000000"/>
              <w:insideH w:val="single" w:sz="8" w:space="0" w:color="000000"/>
            </w:tcBorders>
            <w:shd w:fill="auto" w:val="clear"/>
            <w:tcMar>
              <w:left w:w="0" w:type="dxa"/>
              <w:right w:w="0" w:type="dxa"/>
            </w:tcMar>
          </w:tcPr>
          <w:p>
            <w:pPr>
              <w:pStyle w:val="Normal"/>
              <w:snapToGrid w:val="false"/>
              <w:rPr/>
            </w:pPr>
            <w:r>
              <w:rPr/>
            </w:r>
          </w:p>
        </w:tc>
        <w:tc>
          <w:tcPr>
            <w:tcW w:w="834"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2,5</w:t>
            </w:r>
          </w:p>
        </w:tc>
        <w:tc>
          <w:tcPr>
            <w:tcW w:w="834"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2,0</w:t>
            </w:r>
          </w:p>
        </w:tc>
        <w:tc>
          <w:tcPr>
            <w:tcW w:w="834"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3038" w:type="dxa"/>
            <w:gridSpan w:val="3"/>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Не более 150 % от измеренного на заводе, но не выше 0,8</w:t>
            </w:r>
          </w:p>
        </w:tc>
      </w:tr>
    </w:tbl>
    <w:p>
      <w:pPr>
        <w:pStyle w:val="Normal"/>
        <w:spacing w:before="120" w:after="0"/>
        <w:ind w:firstLine="283"/>
        <w:jc w:val="both"/>
        <w:rPr>
          <w:b/>
          <w:b/>
          <w:bCs/>
        </w:rPr>
      </w:pPr>
      <w:r>
        <w:rPr>
          <w:b/>
          <w:bCs/>
        </w:rPr>
        <w:t>3.2. Испытание повышенным напряжением изоляции вторичных обмоток.</w:t>
      </w:r>
    </w:p>
    <w:p>
      <w:pPr>
        <w:pStyle w:val="Normal"/>
        <w:ind w:firstLine="283"/>
        <w:jc w:val="both"/>
        <w:rPr/>
      </w:pPr>
      <w:r>
        <w:rPr/>
        <w:t>Значение испытательного напряжения для изоляции вторичных обмоток вместе с присоединенными к ним цепями принимается равным 1 кВ.</w:t>
      </w:r>
    </w:p>
    <w:p>
      <w:pPr>
        <w:pStyle w:val="Normal"/>
        <w:ind w:firstLine="283"/>
        <w:jc w:val="both"/>
        <w:rPr/>
      </w:pPr>
      <w:r>
        <w:rPr/>
        <w:t>Продолжительность приложения испытательного напряжения - 1 мин.</w:t>
      </w:r>
    </w:p>
    <w:p>
      <w:pPr>
        <w:pStyle w:val="Normal"/>
        <w:ind w:firstLine="283"/>
        <w:jc w:val="both"/>
        <w:rPr>
          <w:b/>
          <w:b/>
          <w:bCs/>
        </w:rPr>
      </w:pPr>
      <w:r>
        <w:rPr>
          <w:b/>
          <w:bCs/>
        </w:rPr>
        <w:t>4. Снятие характеристик намагничивания.</w:t>
      </w:r>
    </w:p>
    <w:p>
      <w:pPr>
        <w:pStyle w:val="Normal"/>
        <w:ind w:firstLine="283"/>
        <w:jc w:val="both"/>
        <w:rPr/>
      </w:pPr>
      <w:r>
        <w:rPr/>
        <w:t>Характеристика снимается повышением напряжения на одной из вторичных обмоток до начала насыщения, но не выше 1800 В.</w:t>
      </w:r>
    </w:p>
    <w:p>
      <w:pPr>
        <w:pStyle w:val="Normal"/>
        <w:ind w:firstLine="283"/>
        <w:jc w:val="both"/>
        <w:rPr/>
      </w:pPr>
      <w:r>
        <w:rPr/>
        <w:t>При наличии у обмоток ответвлений характеристика снимается на рабочем ответвлении.</w:t>
      </w:r>
    </w:p>
    <w:p>
      <w:pPr>
        <w:pStyle w:val="Normal"/>
        <w:ind w:firstLine="283"/>
        <w:jc w:val="both"/>
        <w:rPr/>
      </w:pPr>
      <w:r>
        <w:rPr/>
        <w:t>Снятая характеристика сопоставляется с типовой характеристикой намагничивания или с характеристиками намагничивания исправных трансформаторов тока, однотипных с проверяемыми.</w:t>
      </w:r>
    </w:p>
    <w:p>
      <w:pPr>
        <w:pStyle w:val="Normal"/>
        <w:ind w:firstLine="283"/>
        <w:jc w:val="both"/>
        <w:rPr/>
      </w:pPr>
      <w:r>
        <w:rPr/>
        <w:t>Отличия от значений, измеренных на заводе-изготовителе, или от измеренных на исправном трансформаторе тока, однотипном с проверяемым, не должны превышать 10 %.</w:t>
      </w:r>
    </w:p>
    <w:p>
      <w:pPr>
        <w:pStyle w:val="Normal"/>
        <w:ind w:firstLine="283"/>
        <w:jc w:val="both"/>
        <w:rPr/>
      </w:pPr>
      <w:r>
        <w:rPr/>
        <w:t>Допускается снятие только трёх контрольных точек.</w:t>
      </w:r>
    </w:p>
    <w:p>
      <w:pPr>
        <w:pStyle w:val="Normal"/>
        <w:ind w:firstLine="283"/>
        <w:jc w:val="both"/>
        <w:rPr>
          <w:b/>
          <w:b/>
          <w:bCs/>
        </w:rPr>
      </w:pPr>
      <w:r>
        <w:rPr>
          <w:b/>
          <w:bCs/>
        </w:rPr>
        <w:t>5. Измерение коэффициента трансформации.</w:t>
      </w:r>
    </w:p>
    <w:p>
      <w:pPr>
        <w:pStyle w:val="Normal"/>
        <w:ind w:firstLine="283"/>
        <w:jc w:val="both"/>
        <w:rPr/>
      </w:pPr>
      <w:r>
        <w:rPr/>
        <w:t>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2 %.</w:t>
      </w:r>
    </w:p>
    <w:p>
      <w:pPr>
        <w:pStyle w:val="Normal"/>
        <w:ind w:firstLine="283"/>
        <w:jc w:val="both"/>
        <w:rPr>
          <w:b/>
          <w:b/>
          <w:bCs/>
        </w:rPr>
      </w:pPr>
      <w:r>
        <w:rPr>
          <w:b/>
          <w:bCs/>
        </w:rPr>
        <w:t>6. Измерение сопротивления вторичных обмоток постоянному току.</w:t>
      </w:r>
    </w:p>
    <w:p>
      <w:pPr>
        <w:pStyle w:val="Normal"/>
        <w:ind w:firstLine="283"/>
        <w:jc w:val="both"/>
        <w:rPr/>
      </w:pPr>
      <w:r>
        <w:rPr/>
        <w:t>Измерение проводится у трансформаторов тока на напряжение 110 кВ и выше.</w:t>
      </w:r>
    </w:p>
    <w:p>
      <w:pPr>
        <w:pStyle w:val="Normal"/>
        <w:ind w:firstLine="283"/>
        <w:jc w:val="both"/>
        <w:rPr/>
      </w:pPr>
      <w:r>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pPr>
        <w:pStyle w:val="Normal"/>
        <w:ind w:firstLine="283"/>
        <w:jc w:val="both"/>
        <w:rPr>
          <w:b/>
          <w:b/>
          <w:bCs/>
        </w:rPr>
      </w:pPr>
      <w:r>
        <w:rPr>
          <w:b/>
          <w:bCs/>
        </w:rPr>
        <w:t>7. Испытания трансформаторного масла.</w:t>
      </w:r>
    </w:p>
    <w:p>
      <w:pPr>
        <w:pStyle w:val="Normal"/>
        <w:ind w:firstLine="283"/>
        <w:jc w:val="both"/>
        <w:rPr/>
      </w:pPr>
      <w:r>
        <w:rPr/>
        <w:t>При вводе в эксплуатацию трансформаторов тока трансформаторное масло должно быть испытано в соответствии с требованиями табл. 1.8.33 пп. 1 ÷ 6, а у герметичных и по п. 10.</w:t>
      </w:r>
    </w:p>
    <w:p>
      <w:pPr>
        <w:pStyle w:val="Normal"/>
        <w:ind w:firstLine="283"/>
        <w:jc w:val="both"/>
        <w:rPr/>
      </w:pPr>
      <w:r>
        <w:rPr/>
        <w:t>У маслонаполненных каскадных трансформаторов тока оценка состояния трансформаторного масла в каждой ступени проводится по нормам, соответствующим рабочему напряжению ступени.</w:t>
      </w:r>
    </w:p>
    <w:p>
      <w:pPr>
        <w:pStyle w:val="Normal"/>
        <w:ind w:firstLine="312"/>
        <w:jc w:val="both"/>
        <w:rPr>
          <w:b/>
          <w:b/>
          <w:bCs/>
        </w:rPr>
      </w:pPr>
      <w:r>
        <w:rPr>
          <w:b/>
          <w:bCs/>
        </w:rPr>
        <w:t>8. Испытание встроенных трансформаторов тока.</w:t>
      </w:r>
    </w:p>
    <w:p>
      <w:pPr>
        <w:pStyle w:val="Normal"/>
        <w:ind w:firstLine="312"/>
        <w:jc w:val="both"/>
        <w:rPr/>
      </w:pPr>
      <w:r>
        <w:rPr/>
        <w:t>Производится по пп. 1, 3.2, 4 ÷ 6. Измерение сопротивления изоляции встроенных трансформаторов тока производится мегаомметром на напряжение 1000 В.</w:t>
      </w:r>
    </w:p>
    <w:p>
      <w:pPr>
        <w:pStyle w:val="Normal"/>
        <w:ind w:firstLine="283"/>
        <w:jc w:val="both"/>
        <w:rPr/>
      </w:pPr>
      <w:r>
        <w:rPr/>
        <w:t>Измеренное сопротивление изоляции без вторичных цепей должно быть не менее 10 МОм.</w:t>
      </w:r>
    </w:p>
    <w:p>
      <w:pPr>
        <w:pStyle w:val="Normal"/>
        <w:ind w:firstLine="283"/>
        <w:jc w:val="both"/>
        <w:rPr/>
      </w:pPr>
      <w:r>
        <w:rPr/>
        <w:t>Допускается измерение сопротивления изоляции встроенных трансформаторов тока вместе со вторичными цепями. Измеренное сопротивление изоляции должно быть не менее 1 МОм.</w:t>
      </w:r>
    </w:p>
    <w:p>
      <w:pPr>
        <w:pStyle w:val="Heading3"/>
        <w:rPr/>
      </w:pPr>
      <w:r>
        <w:rPr/>
        <w:t>1.8.18. Измерительные трансформаторы напряжения</w:t>
      </w:r>
    </w:p>
    <w:p>
      <w:pPr>
        <w:pStyle w:val="Normal"/>
        <w:ind w:firstLine="283"/>
        <w:jc w:val="both"/>
        <w:rPr>
          <w:b/>
          <w:b/>
          <w:bCs/>
        </w:rPr>
      </w:pPr>
      <w:r>
        <w:rPr>
          <w:b/>
          <w:bCs/>
        </w:rPr>
        <w:t>1. Электромагнитные трансформаторы напряжения.</w:t>
      </w:r>
    </w:p>
    <w:p>
      <w:pPr>
        <w:pStyle w:val="Normal"/>
        <w:ind w:firstLine="283"/>
        <w:jc w:val="both"/>
        <w:rPr>
          <w:b/>
          <w:b/>
          <w:bCs/>
        </w:rPr>
      </w:pPr>
      <w:r>
        <w:rPr>
          <w:b/>
          <w:bCs/>
        </w:rPr>
        <w:t>1.1. Измерение сопротивления изоляции обмоток.</w:t>
      </w:r>
    </w:p>
    <w:p>
      <w:pPr>
        <w:pStyle w:val="Normal"/>
        <w:ind w:firstLine="283"/>
        <w:jc w:val="both"/>
        <w:rPr/>
      </w:pPr>
      <w:r>
        <w:rPr/>
        <w:t>Измерение сопротивления изоляции обмотки ВН трансформаторов напряжения производится мегаомметром на напряжение 2500 В.</w:t>
      </w:r>
    </w:p>
    <w:p>
      <w:pPr>
        <w:pStyle w:val="Normal"/>
        <w:ind w:firstLine="283"/>
        <w:jc w:val="both"/>
        <w:rPr/>
      </w:pPr>
      <w:r>
        <w:rPr/>
        <w:t>Измерение сопротивления изоляции вторичных обмоток, а также связующих обмоток каскадных трансформаторов напряжения производится мегаомметром на напряжение 1000 В.</w:t>
      </w:r>
    </w:p>
    <w:p>
      <w:pPr>
        <w:pStyle w:val="Normal"/>
        <w:ind w:firstLine="283"/>
        <w:jc w:val="both"/>
        <w:rPr/>
      </w:pPr>
      <w:r>
        <w:rPr/>
        <w:t>Измеренные значения сопротивления изоляции должны быть не менее приведенных в табл. 1.8.15.</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15</w:t>
      </w:r>
    </w:p>
    <w:p>
      <w:pPr>
        <w:pStyle w:val="Normal"/>
        <w:spacing w:before="0" w:after="120"/>
        <w:jc w:val="center"/>
        <w:rPr/>
      </w:pPr>
      <w:r>
        <w:rPr>
          <w:b/>
          <w:bCs/>
          <w:i/>
          <w:iCs/>
        </w:rPr>
        <w:t>Сопротивление</w:t>
      </w:r>
      <w:r>
        <w:rPr>
          <w:b/>
          <w:bCs/>
        </w:rPr>
        <w:t xml:space="preserve"> </w:t>
      </w:r>
      <w:r>
        <w:rPr>
          <w:b/>
          <w:bCs/>
          <w:i/>
          <w:iCs/>
        </w:rPr>
        <w:t>изоляции</w:t>
      </w:r>
      <w:r>
        <w:rPr>
          <w:b/>
          <w:bCs/>
        </w:rPr>
        <w:t xml:space="preserve"> </w:t>
      </w:r>
      <w:r>
        <w:rPr>
          <w:b/>
          <w:bCs/>
          <w:i/>
          <w:iCs/>
        </w:rPr>
        <w:t>трансформаторов</w:t>
      </w:r>
      <w:r>
        <w:rPr>
          <w:b/>
          <w:bCs/>
        </w:rPr>
        <w:t xml:space="preserve"> </w:t>
      </w:r>
      <w:r>
        <w:rPr>
          <w:b/>
          <w:bCs/>
          <w:i/>
          <w:iCs/>
        </w:rPr>
        <w:t>напряжения</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043"/>
        <w:gridCol w:w="2116"/>
        <w:gridCol w:w="2131"/>
        <w:gridCol w:w="2065"/>
      </w:tblGrid>
      <w:tr>
        <w:trPr>
          <w:tblHeader w:val="true"/>
        </w:trPr>
        <w:tc>
          <w:tcPr>
            <w:tcW w:w="3043"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кВ</w:t>
            </w:r>
          </w:p>
        </w:tc>
        <w:tc>
          <w:tcPr>
            <w:tcW w:w="6312"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Допустимые сопротивления изоляции, МОм, не менее</w:t>
            </w:r>
          </w:p>
        </w:tc>
      </w:tr>
      <w:tr>
        <w:trPr>
          <w:tblHeader w:val="true"/>
        </w:trPr>
        <w:tc>
          <w:tcPr>
            <w:tcW w:w="3043"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2116" w:type="dxa"/>
            <w:tcBorders>
              <w:left w:val="single" w:sz="8" w:space="0" w:color="000000"/>
              <w:bottom w:val="single" w:sz="8" w:space="0" w:color="000000"/>
              <w:insideH w:val="single" w:sz="8" w:space="0" w:color="000000"/>
            </w:tcBorders>
            <w:shd w:fill="auto" w:val="clear"/>
            <w:vAlign w:val="center"/>
          </w:tcPr>
          <w:p>
            <w:pPr>
              <w:pStyle w:val="Normal"/>
              <w:jc w:val="center"/>
              <w:rPr/>
            </w:pPr>
            <w:r>
              <w:rPr/>
              <w:t>Основная изоляция</w:t>
            </w:r>
          </w:p>
        </w:tc>
        <w:tc>
          <w:tcPr>
            <w:tcW w:w="213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Вторичные обмотки*</w:t>
            </w:r>
          </w:p>
        </w:tc>
        <w:tc>
          <w:tcPr>
            <w:tcW w:w="206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Связующие обмотки*</w:t>
            </w:r>
          </w:p>
        </w:tc>
      </w:tr>
      <w:tr>
        <w:trPr/>
        <w:tc>
          <w:tcPr>
            <w:tcW w:w="3043" w:type="dxa"/>
            <w:tcBorders>
              <w:left w:val="single" w:sz="8" w:space="0" w:color="000000"/>
            </w:tcBorders>
            <w:shd w:fill="auto" w:val="clear"/>
          </w:tcPr>
          <w:p>
            <w:pPr>
              <w:pStyle w:val="Normal"/>
              <w:jc w:val="center"/>
              <w:rPr/>
            </w:pPr>
            <w:r>
              <w:rPr/>
              <w:t>3 - 35</w:t>
            </w:r>
          </w:p>
        </w:tc>
        <w:tc>
          <w:tcPr>
            <w:tcW w:w="2116" w:type="dxa"/>
            <w:tcBorders>
              <w:left w:val="single" w:sz="8" w:space="0" w:color="000000"/>
            </w:tcBorders>
            <w:shd w:fill="auto" w:val="clear"/>
            <w:tcMar>
              <w:left w:w="0" w:type="dxa"/>
              <w:right w:w="0" w:type="dxa"/>
            </w:tcMar>
          </w:tcPr>
          <w:p>
            <w:pPr>
              <w:pStyle w:val="Normal"/>
              <w:jc w:val="center"/>
              <w:rPr/>
            </w:pPr>
            <w:r>
              <w:rPr/>
              <w:t>100</w:t>
            </w:r>
          </w:p>
        </w:tc>
        <w:tc>
          <w:tcPr>
            <w:tcW w:w="2131" w:type="dxa"/>
            <w:tcBorders>
              <w:left w:val="single" w:sz="8" w:space="0" w:color="000000"/>
            </w:tcBorders>
            <w:shd w:fill="auto" w:val="clear"/>
            <w:tcMar>
              <w:left w:w="0" w:type="dxa"/>
              <w:right w:w="0" w:type="dxa"/>
            </w:tcMar>
          </w:tcPr>
          <w:p>
            <w:pPr>
              <w:pStyle w:val="Normal"/>
              <w:jc w:val="center"/>
              <w:rPr/>
            </w:pPr>
            <w:r>
              <w:rPr/>
              <w:t>50 (1)</w:t>
            </w:r>
          </w:p>
        </w:tc>
        <w:tc>
          <w:tcPr>
            <w:tcW w:w="206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w:t>
            </w:r>
          </w:p>
        </w:tc>
      </w:tr>
      <w:tr>
        <w:trPr/>
        <w:tc>
          <w:tcPr>
            <w:tcW w:w="3043" w:type="dxa"/>
            <w:tcBorders>
              <w:left w:val="single" w:sz="8" w:space="0" w:color="000000"/>
              <w:bottom w:val="single" w:sz="8" w:space="0" w:color="000000"/>
              <w:insideH w:val="single" w:sz="8" w:space="0" w:color="000000"/>
            </w:tcBorders>
            <w:shd w:fill="auto" w:val="clear"/>
          </w:tcPr>
          <w:p>
            <w:pPr>
              <w:pStyle w:val="Normal"/>
              <w:jc w:val="center"/>
              <w:rPr/>
            </w:pPr>
            <w:r>
              <w:rPr/>
              <w:t>110 - 500</w:t>
            </w:r>
          </w:p>
        </w:tc>
        <w:tc>
          <w:tcPr>
            <w:tcW w:w="211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300</w:t>
            </w:r>
          </w:p>
        </w:tc>
        <w:tc>
          <w:tcPr>
            <w:tcW w:w="213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 (1)</w:t>
            </w:r>
          </w:p>
        </w:tc>
        <w:tc>
          <w:tcPr>
            <w:tcW w:w="206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300"/>
              <w:jc w:val="both"/>
              <w:rPr/>
            </w:pPr>
            <w:r>
              <w:rPr/>
              <w:t>* Сопротивления изоляции вторичных обмоток приведены:</w:t>
            </w:r>
          </w:p>
          <w:p>
            <w:pPr>
              <w:pStyle w:val="Normal"/>
              <w:ind w:firstLine="300"/>
              <w:jc w:val="both"/>
              <w:rPr/>
            </w:pPr>
            <w:r>
              <w:rPr/>
              <w:t>без скобок - при отключенных вторичных цепях;</w:t>
            </w:r>
          </w:p>
          <w:p>
            <w:pPr>
              <w:pStyle w:val="Normal"/>
              <w:ind w:firstLine="233"/>
              <w:jc w:val="both"/>
              <w:rPr/>
            </w:pPr>
            <w:r>
              <w:rPr/>
              <w:t>в скобках - совместно с подключенными вторичными цепями.</w:t>
            </w:r>
          </w:p>
        </w:tc>
      </w:tr>
    </w:tbl>
    <w:p>
      <w:pPr>
        <w:pStyle w:val="Normal"/>
        <w:spacing w:before="120" w:after="0"/>
        <w:ind w:firstLine="284"/>
        <w:jc w:val="both"/>
        <w:rPr>
          <w:b/>
          <w:b/>
          <w:bCs/>
        </w:rPr>
      </w:pPr>
      <w:r>
        <w:rPr>
          <w:b/>
          <w:bCs/>
        </w:rPr>
        <w:t>1.2. Испытание повышенным напряжением частоты 50 Гц.</w:t>
      </w:r>
    </w:p>
    <w:p>
      <w:pPr>
        <w:pStyle w:val="Normal"/>
        <w:ind w:firstLine="283"/>
        <w:jc w:val="both"/>
        <w:rPr/>
      </w:pPr>
      <w:r>
        <w:rPr/>
        <w:t>Испытание изоляции обмотки ВН повышенным напряжением частоты 50 Гц проводятся для трансформаторов напряжения с изоляцией всех выводов обмотки ВН этих трансформаторов на номинальное напряжение.</w:t>
      </w:r>
    </w:p>
    <w:p>
      <w:pPr>
        <w:pStyle w:val="Normal"/>
        <w:ind w:firstLine="283"/>
        <w:jc w:val="both"/>
        <w:rPr/>
      </w:pPr>
      <w:r>
        <w:rPr/>
        <w:t>Значения испытательного напряжения основной изоляции приведены в табл. 1.8.15.</w:t>
      </w:r>
    </w:p>
    <w:p>
      <w:pPr>
        <w:pStyle w:val="Normal"/>
        <w:ind w:firstLine="283"/>
        <w:jc w:val="both"/>
        <w:rPr/>
      </w:pPr>
      <w:r>
        <w:rPr/>
        <w:t>Длительность испытания трансформаторов напряжения - 1 мин.</w:t>
      </w:r>
    </w:p>
    <w:p>
      <w:pPr>
        <w:pStyle w:val="Normal"/>
        <w:ind w:firstLine="283"/>
        <w:jc w:val="both"/>
        <w:rPr/>
      </w:pPr>
      <w:r>
        <w:rPr/>
        <w:t>Значение испытательного напряжения для изоляции вторичных обмоток вместе с присоединёнными к ним цепями принимается равным 1 кВ.</w:t>
      </w:r>
    </w:p>
    <w:p>
      <w:pPr>
        <w:pStyle w:val="Normal"/>
        <w:ind w:firstLine="283"/>
        <w:jc w:val="both"/>
        <w:rPr/>
      </w:pPr>
      <w:r>
        <w:rPr/>
        <w:t>Продолжительность приложения испытательного напряжения - 1 мин.</w:t>
      </w:r>
    </w:p>
    <w:p>
      <w:pPr>
        <w:pStyle w:val="Normal"/>
        <w:ind w:firstLine="283"/>
        <w:jc w:val="both"/>
        <w:rPr>
          <w:b/>
          <w:b/>
          <w:bCs/>
        </w:rPr>
      </w:pPr>
      <w:r>
        <w:rPr>
          <w:b/>
          <w:bCs/>
        </w:rPr>
        <w:t>1.3. Измерение сопротивления обмоток постоянному току.</w:t>
      </w:r>
    </w:p>
    <w:p>
      <w:pPr>
        <w:pStyle w:val="Normal"/>
        <w:ind w:firstLine="283"/>
        <w:jc w:val="both"/>
        <w:rPr/>
      </w:pPr>
      <w:r>
        <w:rPr/>
        <w:t>Измерение сопротивления обмоток постоянному току производится у связующих обмоток каскадных трансформаторов напряжения.</w:t>
      </w:r>
    </w:p>
    <w:p>
      <w:pPr>
        <w:pStyle w:val="Normal"/>
        <w:ind w:firstLine="283"/>
        <w:jc w:val="both"/>
        <w:rPr/>
      </w:pPr>
      <w:r>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проводиться при одной и той же температуре.</w:t>
      </w:r>
    </w:p>
    <w:p>
      <w:pPr>
        <w:pStyle w:val="Normal"/>
        <w:ind w:firstLine="283"/>
        <w:jc w:val="both"/>
        <w:rPr>
          <w:b/>
          <w:b/>
          <w:bCs/>
        </w:rPr>
      </w:pPr>
      <w:r>
        <w:rPr>
          <w:b/>
          <w:bCs/>
        </w:rPr>
        <w:t>1.4. Испытание трансформаторного масла.</w:t>
      </w:r>
    </w:p>
    <w:p>
      <w:pPr>
        <w:pStyle w:val="Normal"/>
        <w:ind w:firstLine="283"/>
        <w:jc w:val="both"/>
        <w:rPr/>
      </w:pPr>
      <w:r>
        <w:rPr/>
        <w:t>При вводе в эксплуатацию трансформаторов напряжения масло должно быть испытано в соответствии с требованиями табл. 1.8.32 пп. 1 ÷ 6.</w:t>
      </w:r>
    </w:p>
    <w:p>
      <w:pPr>
        <w:pStyle w:val="Normal"/>
        <w:ind w:firstLine="283"/>
        <w:jc w:val="both"/>
        <w:rPr/>
      </w:pPr>
      <w:r>
        <w:rPr/>
        <w:t>У маслонаполненных каскадных трансформаторов напряжения оценка состояния масла в отдельных ступенях проводится по нормам, соответствующим рабочему напряжению ступени.</w:t>
      </w:r>
    </w:p>
    <w:p>
      <w:pPr>
        <w:pStyle w:val="Normal"/>
        <w:ind w:firstLine="283"/>
        <w:jc w:val="both"/>
        <w:rPr>
          <w:b/>
          <w:b/>
          <w:bCs/>
        </w:rPr>
      </w:pPr>
      <w:r>
        <w:rPr>
          <w:b/>
          <w:bCs/>
        </w:rPr>
        <w:t>2. Емкостные трансформаторы напряжения.</w:t>
      </w:r>
    </w:p>
    <w:p>
      <w:pPr>
        <w:pStyle w:val="Normal"/>
        <w:ind w:firstLine="283"/>
        <w:jc w:val="both"/>
        <w:rPr>
          <w:b/>
          <w:b/>
          <w:bCs/>
        </w:rPr>
      </w:pPr>
      <w:r>
        <w:rPr>
          <w:b/>
          <w:bCs/>
        </w:rPr>
        <w:t>2.1. Испытание конденсаторов делителей напряжения.</w:t>
      </w:r>
    </w:p>
    <w:p>
      <w:pPr>
        <w:pStyle w:val="Normal"/>
        <w:ind w:firstLine="283"/>
        <w:jc w:val="both"/>
        <w:rPr/>
      </w:pPr>
      <w:r>
        <w:rPr/>
        <w:t>Испытание конденсаторов делителей напряжения проводятся в соответствии с требованиями раздела 1.8.27.</w:t>
      </w:r>
    </w:p>
    <w:p>
      <w:pPr>
        <w:pStyle w:val="Normal"/>
        <w:ind w:firstLine="283"/>
        <w:jc w:val="both"/>
        <w:rPr>
          <w:b/>
          <w:b/>
          <w:bCs/>
        </w:rPr>
      </w:pPr>
      <w:r>
        <w:rPr>
          <w:b/>
          <w:bCs/>
        </w:rPr>
        <w:t>2.2. Измерение сопротивления изоляция электромагнитного устройства.</w:t>
      </w:r>
    </w:p>
    <w:p>
      <w:pPr>
        <w:pStyle w:val="Normal"/>
        <w:ind w:firstLine="283"/>
        <w:jc w:val="both"/>
        <w:rPr/>
      </w:pPr>
      <w:r>
        <w:rPr/>
        <w:t>Измерение сопротивления изоляции обмоток проводится мегаомметром на 2500 В.</w:t>
      </w:r>
    </w:p>
    <w:p>
      <w:pPr>
        <w:pStyle w:val="Normal"/>
        <w:ind w:firstLine="283"/>
        <w:jc w:val="both"/>
        <w:rPr/>
      </w:pPr>
      <w:r>
        <w:rPr/>
        <w:t>Сопротивление изоляции не должно отличаться от указанного в паспорте более чем на 30 % в худшую сторону, но составлять не менее 300 МОм.</w:t>
      </w:r>
    </w:p>
    <w:p>
      <w:pPr>
        <w:pStyle w:val="Normal"/>
        <w:ind w:firstLine="283"/>
        <w:jc w:val="both"/>
        <w:rPr>
          <w:b/>
          <w:b/>
          <w:bCs/>
        </w:rPr>
      </w:pPr>
      <w:r>
        <w:rPr>
          <w:b/>
          <w:bCs/>
        </w:rPr>
        <w:t>2.3. Испытание электромагнитного устройства повышенным напряжением частоты 50 Гц.</w:t>
      </w:r>
    </w:p>
    <w:p>
      <w:pPr>
        <w:pStyle w:val="Normal"/>
        <w:ind w:firstLine="283"/>
        <w:jc w:val="both"/>
        <w:rPr/>
      </w:pPr>
      <w:r>
        <w:rPr/>
        <w:t>Испытаниям подвергается изоляция вторичных обмоток электромагнитного устройства.</w:t>
      </w:r>
    </w:p>
    <w:p>
      <w:pPr>
        <w:pStyle w:val="Normal"/>
        <w:ind w:firstLine="283"/>
        <w:jc w:val="both"/>
        <w:rPr/>
      </w:pPr>
      <w:r>
        <w:rPr/>
        <w:t>Испытательное напряжение - 1,8 кВ. Длительность приложения напряжения - 1 мин.</w:t>
      </w:r>
    </w:p>
    <w:p>
      <w:pPr>
        <w:pStyle w:val="Normal"/>
        <w:ind w:firstLine="283"/>
        <w:jc w:val="both"/>
        <w:rPr>
          <w:b/>
          <w:b/>
          <w:bCs/>
        </w:rPr>
      </w:pPr>
      <w:r>
        <w:rPr>
          <w:b/>
          <w:bCs/>
        </w:rPr>
        <w:t>2.4. Измерение сопротивления обмоток постоянному току.</w:t>
      </w:r>
    </w:p>
    <w:p>
      <w:pPr>
        <w:pStyle w:val="Normal"/>
        <w:ind w:firstLine="283"/>
        <w:jc w:val="both"/>
        <w:rPr/>
      </w:pPr>
      <w:r>
        <w:rPr/>
        <w:t>При вводе в эксплуатацию измерение сопротивления обмоток постоянному току производится на всех положениях переключающего устройства.</w:t>
      </w:r>
    </w:p>
    <w:p>
      <w:pPr>
        <w:pStyle w:val="Normal"/>
        <w:ind w:firstLine="283"/>
        <w:jc w:val="both"/>
        <w:rPr/>
      </w:pPr>
      <w:r>
        <w:rPr/>
        <w:t>Измеренные значения, приведенные к температуре при заводских испытаниях, не должны отличаться от указанных в паспорте более чем на 5 %.</w:t>
      </w:r>
    </w:p>
    <w:p>
      <w:pPr>
        <w:pStyle w:val="Normal"/>
        <w:ind w:firstLine="283"/>
        <w:jc w:val="both"/>
        <w:rPr>
          <w:b/>
          <w:b/>
          <w:bCs/>
        </w:rPr>
      </w:pPr>
      <w:r>
        <w:rPr>
          <w:b/>
          <w:bCs/>
        </w:rPr>
        <w:t>2.5. Измерение тока и потерь холостого хода.</w:t>
      </w:r>
    </w:p>
    <w:p>
      <w:pPr>
        <w:pStyle w:val="Normal"/>
        <w:ind w:firstLine="283"/>
        <w:jc w:val="both"/>
        <w:rPr/>
      </w:pPr>
      <w:r>
        <w:rPr/>
        <w:t>Измерение тока и потерь холостого хода производится при напряжениях, указанных в заводской документации.</w:t>
      </w:r>
    </w:p>
    <w:p>
      <w:pPr>
        <w:pStyle w:val="Normal"/>
        <w:ind w:firstLine="283"/>
        <w:jc w:val="both"/>
        <w:rPr/>
      </w:pPr>
      <w:r>
        <w:rPr/>
        <w:t>Измеренные значения не должны отличаться от указанных в паспорте более чем на 10 %.</w:t>
      </w:r>
    </w:p>
    <w:p>
      <w:pPr>
        <w:pStyle w:val="Normal"/>
        <w:ind w:firstLine="283"/>
        <w:jc w:val="both"/>
        <w:rPr>
          <w:b/>
          <w:b/>
          <w:bCs/>
        </w:rPr>
      </w:pPr>
      <w:r>
        <w:rPr>
          <w:b/>
          <w:bCs/>
        </w:rPr>
        <w:t>2.6. Испытание трансформаторного масла из электромагнитного устройства.</w:t>
      </w:r>
    </w:p>
    <w:p>
      <w:pPr>
        <w:pStyle w:val="Normal"/>
        <w:ind w:firstLine="283"/>
        <w:jc w:val="both"/>
        <w:rPr/>
      </w:pPr>
      <w:r>
        <w:rPr/>
        <w:t>Значение пробивного напряжения масла должно быть не менее 30 кВ.</w:t>
      </w:r>
    </w:p>
    <w:p>
      <w:pPr>
        <w:pStyle w:val="Normal"/>
        <w:ind w:firstLine="283"/>
        <w:jc w:val="both"/>
        <w:rPr/>
      </w:pPr>
      <w:r>
        <w:rPr/>
        <w:t>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1.8.33 пп. 1 ÷ 6</w:t>
      </w:r>
      <w:r>
        <w:rPr>
          <w:color w:val="000000"/>
        </w:rPr>
        <w:t>).</w:t>
      </w:r>
    </w:p>
    <w:p>
      <w:pPr>
        <w:pStyle w:val="Normal"/>
        <w:ind w:firstLine="283"/>
        <w:jc w:val="both"/>
        <w:rPr>
          <w:b/>
          <w:b/>
          <w:bCs/>
        </w:rPr>
      </w:pPr>
      <w:r>
        <w:rPr>
          <w:b/>
          <w:bCs/>
        </w:rPr>
        <w:t>2.7. Испытание вентильных разрядников.</w:t>
      </w:r>
    </w:p>
    <w:p>
      <w:pPr>
        <w:pStyle w:val="Normal"/>
        <w:ind w:firstLine="283"/>
        <w:jc w:val="both"/>
        <w:rPr/>
      </w:pPr>
      <w:r>
        <w:rPr/>
        <w:t>Проводятся согласно указаниям раздела 1.8.31.</w:t>
      </w:r>
    </w:p>
    <w:p>
      <w:pPr>
        <w:pStyle w:val="Heading3"/>
        <w:rPr/>
      </w:pPr>
      <w:r>
        <w:rPr/>
        <w:t>1.8.19. Масляные выключатели</w:t>
      </w:r>
    </w:p>
    <w:p>
      <w:pPr>
        <w:pStyle w:val="Normal"/>
        <w:ind w:firstLine="283"/>
        <w:jc w:val="both"/>
        <w:rPr>
          <w:b/>
          <w:b/>
          <w:bCs/>
        </w:rPr>
      </w:pPr>
      <w:r>
        <w:rPr>
          <w:b/>
          <w:bCs/>
        </w:rPr>
        <w:t>1. Измерение сопротивления изоляции:</w:t>
      </w:r>
    </w:p>
    <w:p>
      <w:pPr>
        <w:pStyle w:val="Normal"/>
        <w:ind w:firstLine="283"/>
        <w:jc w:val="both"/>
        <w:rPr/>
      </w:pPr>
      <w:r>
        <w:rPr/>
        <w:t>а) подвижных и направляющих частей, выполненных из органических материалов. Производится мегаомметром на напряжение 2500 В.</w:t>
      </w:r>
    </w:p>
    <w:p>
      <w:pPr>
        <w:pStyle w:val="Normal"/>
        <w:ind w:firstLine="283"/>
        <w:jc w:val="both"/>
        <w:rPr/>
      </w:pPr>
      <w:r>
        <w:rPr/>
        <w:t>Сопротивление изоляции не должно быть меньше значений, приведенных ниже:</w:t>
      </w:r>
    </w:p>
    <w:p>
      <w:pPr>
        <w:pStyle w:val="Normal"/>
        <w:ind w:firstLine="283"/>
        <w:jc w:val="both"/>
        <w:rPr/>
      </w:pPr>
      <w:r>
        <w:rPr/>
        <w:t>Номинальное напряжение выключателя, кВ          3 - 10         15 - 150       220 - 500</w:t>
      </w:r>
    </w:p>
    <w:p>
      <w:pPr>
        <w:pStyle w:val="Normal"/>
        <w:ind w:firstLine="283"/>
        <w:jc w:val="both"/>
        <w:rPr/>
      </w:pPr>
      <w:r>
        <w:rPr/>
        <w:t>Сопротивление изоляции, МОм                               1000             3000              5000</w:t>
      </w:r>
    </w:p>
    <w:p>
      <w:pPr>
        <w:pStyle w:val="Normal"/>
        <w:ind w:firstLine="283"/>
        <w:jc w:val="both"/>
        <w:rPr/>
      </w:pPr>
      <w:r>
        <w:rPr/>
        <w:t>б) вторичных цепей, электромагнитов включения и отключения и т.п. Производится в соответствии с 1.8.37.</w:t>
      </w:r>
    </w:p>
    <w:p>
      <w:pPr>
        <w:pStyle w:val="Normal"/>
        <w:ind w:firstLine="283"/>
        <w:jc w:val="both"/>
        <w:rPr>
          <w:b/>
          <w:b/>
          <w:bCs/>
        </w:rPr>
      </w:pPr>
      <w:r>
        <w:rPr>
          <w:b/>
          <w:bCs/>
        </w:rPr>
        <w:t>2. Испытание вводов.</w:t>
      </w:r>
    </w:p>
    <w:p>
      <w:pPr>
        <w:pStyle w:val="Normal"/>
        <w:ind w:firstLine="283"/>
        <w:jc w:val="both"/>
        <w:rPr/>
      </w:pPr>
      <w:r>
        <w:rPr/>
        <w:t>Производится в соответствии с 1.8.34.</w:t>
      </w:r>
    </w:p>
    <w:p>
      <w:pPr>
        <w:pStyle w:val="Normal"/>
        <w:ind w:firstLine="283"/>
        <w:jc w:val="both"/>
        <w:rPr>
          <w:b/>
          <w:b/>
          <w:bCs/>
        </w:rPr>
      </w:pPr>
      <w:r>
        <w:rPr>
          <w:b/>
          <w:bCs/>
        </w:rPr>
        <w:t>3. Оценка состояния внутрибаковой изоляции и изоляции дугогасительных устройств.</w:t>
      </w:r>
    </w:p>
    <w:p>
      <w:pPr>
        <w:pStyle w:val="Normal"/>
        <w:ind w:firstLine="283"/>
        <w:jc w:val="both"/>
        <w:rPr/>
      </w:pPr>
      <w:r>
        <w:rPr/>
        <w:t xml:space="preserve">Оценка производится у баковых масляных выключателей на напряжение 35 кВ в том случае, если при измерении </w:t>
      </w:r>
      <w:r>
        <w:rPr>
          <w:i/>
          <w:iCs/>
        </w:rPr>
        <w:t>tg</w:t>
      </w:r>
      <w:r>
        <w:rPr/>
        <w:t>δ вводов на полностью собранном выключателе получены повышенные значения по сравнению с нормами, приведёнными в табл. 1.8.30.</w:t>
      </w:r>
    </w:p>
    <w:p>
      <w:pPr>
        <w:pStyle w:val="Normal"/>
        <w:ind w:firstLine="283"/>
        <w:jc w:val="both"/>
        <w:rPr/>
      </w:pPr>
      <w:r>
        <w:rPr/>
        <w:t xml:space="preserve">Внутрибаковая изоляция и изоляция дугогасительных устройств подлежат сушке, если исключение влияния этой изоляции снижает измеренный </w:t>
      </w:r>
      <w:r>
        <w:rPr>
          <w:i/>
          <w:iCs/>
        </w:rPr>
        <w:t>tg</w:t>
      </w:r>
      <w:r>
        <w:rPr/>
        <w:t>δ более чем на 4 % (абсолютное значение).</w:t>
      </w:r>
    </w:p>
    <w:p>
      <w:pPr>
        <w:pStyle w:val="Normal"/>
        <w:ind w:firstLine="283"/>
        <w:jc w:val="both"/>
        <w:rPr>
          <w:b/>
          <w:b/>
          <w:bCs/>
        </w:rPr>
      </w:pPr>
      <w:r>
        <w:rPr>
          <w:b/>
          <w:bCs/>
        </w:rPr>
        <w:t>4. Испытание изоляции повышенным напряжением промышленной частоты:</w:t>
      </w:r>
    </w:p>
    <w:p>
      <w:pPr>
        <w:pStyle w:val="Normal"/>
        <w:ind w:firstLine="283"/>
        <w:jc w:val="both"/>
        <w:rPr/>
      </w:pPr>
      <w:r>
        <w:rPr/>
        <w:t>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 1.8.16. Продолжительность приложения нормированного испытательного напряжения 1 мин.</w:t>
      </w:r>
    </w:p>
    <w:p>
      <w:pPr>
        <w:pStyle w:val="Normal"/>
        <w:ind w:firstLine="283"/>
        <w:jc w:val="both"/>
        <w:rPr/>
      </w:pPr>
      <w:r>
        <w:rPr/>
        <w:t>Аналогичному испытанию должна подвергаться изоляция межконтактных разрывов масляных выключателей 6 - 10 кВ.</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16</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для</w:t>
      </w:r>
      <w:r>
        <w:rPr>
          <w:b/>
          <w:bCs/>
        </w:rPr>
        <w:t xml:space="preserve"> </w:t>
      </w:r>
      <w:r>
        <w:rPr>
          <w:b/>
          <w:bCs/>
          <w:i/>
          <w:iCs/>
        </w:rPr>
        <w:t>внешней</w:t>
      </w:r>
      <w:r>
        <w:rPr>
          <w:b/>
          <w:bCs/>
        </w:rPr>
        <w:t xml:space="preserve"> </w:t>
      </w:r>
      <w:r>
        <w:rPr>
          <w:b/>
          <w:bCs/>
          <w:i/>
          <w:iCs/>
        </w:rPr>
        <w:t>изоляции</w:t>
      </w:r>
      <w:r>
        <w:rPr>
          <w:b/>
          <w:bCs/>
        </w:rPr>
        <w:t xml:space="preserve"> </w:t>
      </w:r>
      <w:r>
        <w:rPr>
          <w:b/>
          <w:bCs/>
          <w:i/>
          <w:iCs/>
        </w:rPr>
        <w:t>аппаратов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17"/>
        <w:gridCol w:w="1883"/>
        <w:gridCol w:w="1856"/>
        <w:gridCol w:w="1884"/>
        <w:gridCol w:w="1915"/>
      </w:tblGrid>
      <w:tr>
        <w:trPr>
          <w:tblHeader w:val="true"/>
        </w:trPr>
        <w:tc>
          <w:tcPr>
            <w:tcW w:w="1817"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кВ</w:t>
            </w:r>
          </w:p>
        </w:tc>
        <w:tc>
          <w:tcPr>
            <w:tcW w:w="7538"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 для аппаратов с изоляцией</w:t>
            </w:r>
          </w:p>
        </w:tc>
      </w:tr>
      <w:tr>
        <w:trPr>
          <w:tblHeader w:val="true"/>
        </w:trPr>
        <w:tc>
          <w:tcPr>
            <w:tcW w:w="1817"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883" w:type="dxa"/>
            <w:tcBorders>
              <w:left w:val="single" w:sz="8" w:space="0" w:color="000000"/>
              <w:bottom w:val="single" w:sz="8" w:space="0" w:color="000000"/>
              <w:insideH w:val="single" w:sz="8" w:space="0" w:color="000000"/>
            </w:tcBorders>
            <w:shd w:fill="auto" w:val="clear"/>
            <w:vAlign w:val="center"/>
          </w:tcPr>
          <w:p>
            <w:pPr>
              <w:pStyle w:val="Normal"/>
              <w:jc w:val="center"/>
              <w:rPr/>
            </w:pPr>
            <w:r>
              <w:rPr/>
              <w:t>нормальной керамической</w:t>
            </w:r>
          </w:p>
        </w:tc>
        <w:tc>
          <w:tcPr>
            <w:tcW w:w="1856"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нормальной органической</w:t>
            </w:r>
          </w:p>
        </w:tc>
        <w:tc>
          <w:tcPr>
            <w:tcW w:w="188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облегченной керамической</w:t>
            </w:r>
          </w:p>
        </w:tc>
        <w:tc>
          <w:tcPr>
            <w:tcW w:w="191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облегченной органической</w:t>
            </w:r>
          </w:p>
        </w:tc>
      </w:tr>
      <w:tr>
        <w:trPr/>
        <w:tc>
          <w:tcPr>
            <w:tcW w:w="1817" w:type="dxa"/>
            <w:tcBorders>
              <w:left w:val="single" w:sz="8" w:space="0" w:color="000000"/>
            </w:tcBorders>
            <w:shd w:fill="auto" w:val="clear"/>
          </w:tcPr>
          <w:p>
            <w:pPr>
              <w:pStyle w:val="Normal"/>
              <w:jc w:val="center"/>
              <w:rPr/>
            </w:pPr>
            <w:r>
              <w:rPr/>
              <w:t>3</w:t>
            </w:r>
          </w:p>
        </w:tc>
        <w:tc>
          <w:tcPr>
            <w:tcW w:w="1883" w:type="dxa"/>
            <w:tcBorders>
              <w:left w:val="single" w:sz="8" w:space="0" w:color="000000"/>
            </w:tcBorders>
            <w:shd w:fill="auto" w:val="clear"/>
            <w:tcMar>
              <w:left w:w="0" w:type="dxa"/>
              <w:right w:w="0" w:type="dxa"/>
            </w:tcMar>
          </w:tcPr>
          <w:p>
            <w:pPr>
              <w:pStyle w:val="Normal"/>
              <w:jc w:val="center"/>
              <w:rPr/>
            </w:pPr>
            <w:r>
              <w:rPr/>
              <w:t>24</w:t>
            </w:r>
          </w:p>
        </w:tc>
        <w:tc>
          <w:tcPr>
            <w:tcW w:w="1856" w:type="dxa"/>
            <w:tcBorders>
              <w:left w:val="single" w:sz="8" w:space="0" w:color="000000"/>
            </w:tcBorders>
            <w:shd w:fill="auto" w:val="clear"/>
            <w:tcMar>
              <w:left w:w="0" w:type="dxa"/>
              <w:right w:w="0" w:type="dxa"/>
            </w:tcMar>
          </w:tcPr>
          <w:p>
            <w:pPr>
              <w:pStyle w:val="Normal"/>
              <w:jc w:val="center"/>
              <w:rPr/>
            </w:pPr>
            <w:r>
              <w:rPr/>
              <w:t>21,6</w:t>
            </w:r>
          </w:p>
        </w:tc>
        <w:tc>
          <w:tcPr>
            <w:tcW w:w="1884" w:type="dxa"/>
            <w:tcBorders>
              <w:left w:val="single" w:sz="8" w:space="0" w:color="000000"/>
            </w:tcBorders>
            <w:shd w:fill="auto" w:val="clear"/>
            <w:tcMar>
              <w:left w:w="0" w:type="dxa"/>
              <w:right w:w="0" w:type="dxa"/>
            </w:tcMar>
          </w:tcPr>
          <w:p>
            <w:pPr>
              <w:pStyle w:val="Normal"/>
              <w:jc w:val="center"/>
              <w:rPr/>
            </w:pPr>
            <w:r>
              <w:rPr/>
              <w:t>13</w:t>
            </w:r>
          </w:p>
        </w:tc>
        <w:tc>
          <w:tcPr>
            <w:tcW w:w="191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11,7</w:t>
            </w:r>
          </w:p>
        </w:tc>
      </w:tr>
      <w:tr>
        <w:trPr/>
        <w:tc>
          <w:tcPr>
            <w:tcW w:w="1817" w:type="dxa"/>
            <w:tcBorders>
              <w:left w:val="single" w:sz="8" w:space="0" w:color="000000"/>
            </w:tcBorders>
            <w:shd w:fill="auto" w:val="clear"/>
          </w:tcPr>
          <w:p>
            <w:pPr>
              <w:pStyle w:val="Normal"/>
              <w:jc w:val="center"/>
              <w:rPr/>
            </w:pPr>
            <w:r>
              <w:rPr/>
              <w:t>6</w:t>
            </w:r>
          </w:p>
        </w:tc>
        <w:tc>
          <w:tcPr>
            <w:tcW w:w="1883" w:type="dxa"/>
            <w:tcBorders>
              <w:left w:val="single" w:sz="8" w:space="0" w:color="000000"/>
            </w:tcBorders>
            <w:shd w:fill="auto" w:val="clear"/>
            <w:tcMar>
              <w:left w:w="0" w:type="dxa"/>
              <w:right w:w="0" w:type="dxa"/>
            </w:tcMar>
          </w:tcPr>
          <w:p>
            <w:pPr>
              <w:pStyle w:val="Normal"/>
              <w:jc w:val="center"/>
              <w:rPr/>
            </w:pPr>
            <w:r>
              <w:rPr/>
              <w:t>32</w:t>
            </w:r>
          </w:p>
        </w:tc>
        <w:tc>
          <w:tcPr>
            <w:tcW w:w="1856" w:type="dxa"/>
            <w:tcBorders>
              <w:left w:val="single" w:sz="8" w:space="0" w:color="000000"/>
            </w:tcBorders>
            <w:shd w:fill="auto" w:val="clear"/>
            <w:tcMar>
              <w:left w:w="0" w:type="dxa"/>
              <w:right w:w="0" w:type="dxa"/>
            </w:tcMar>
          </w:tcPr>
          <w:p>
            <w:pPr>
              <w:pStyle w:val="Normal"/>
              <w:jc w:val="center"/>
              <w:rPr/>
            </w:pPr>
            <w:r>
              <w:rPr/>
              <w:t>28,8</w:t>
            </w:r>
          </w:p>
        </w:tc>
        <w:tc>
          <w:tcPr>
            <w:tcW w:w="1884" w:type="dxa"/>
            <w:tcBorders>
              <w:left w:val="single" w:sz="8" w:space="0" w:color="000000"/>
            </w:tcBorders>
            <w:shd w:fill="auto" w:val="clear"/>
            <w:tcMar>
              <w:left w:w="0" w:type="dxa"/>
              <w:right w:w="0" w:type="dxa"/>
            </w:tcMar>
          </w:tcPr>
          <w:p>
            <w:pPr>
              <w:pStyle w:val="Normal"/>
              <w:jc w:val="center"/>
              <w:rPr/>
            </w:pPr>
            <w:r>
              <w:rPr/>
              <w:t>21</w:t>
            </w:r>
          </w:p>
        </w:tc>
        <w:tc>
          <w:tcPr>
            <w:tcW w:w="191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18,9</w:t>
            </w:r>
          </w:p>
        </w:tc>
      </w:tr>
      <w:tr>
        <w:trPr/>
        <w:tc>
          <w:tcPr>
            <w:tcW w:w="1817" w:type="dxa"/>
            <w:tcBorders>
              <w:left w:val="single" w:sz="8" w:space="0" w:color="000000"/>
            </w:tcBorders>
            <w:shd w:fill="auto" w:val="clear"/>
          </w:tcPr>
          <w:p>
            <w:pPr>
              <w:pStyle w:val="Normal"/>
              <w:jc w:val="center"/>
              <w:rPr/>
            </w:pPr>
            <w:r>
              <w:rPr/>
              <w:t>10</w:t>
            </w:r>
          </w:p>
        </w:tc>
        <w:tc>
          <w:tcPr>
            <w:tcW w:w="1883" w:type="dxa"/>
            <w:tcBorders>
              <w:left w:val="single" w:sz="8" w:space="0" w:color="000000"/>
            </w:tcBorders>
            <w:shd w:fill="auto" w:val="clear"/>
            <w:tcMar>
              <w:left w:w="0" w:type="dxa"/>
              <w:right w:w="0" w:type="dxa"/>
            </w:tcMar>
          </w:tcPr>
          <w:p>
            <w:pPr>
              <w:pStyle w:val="Normal"/>
              <w:jc w:val="center"/>
              <w:rPr/>
            </w:pPr>
            <w:r>
              <w:rPr/>
              <w:t>42</w:t>
            </w:r>
          </w:p>
        </w:tc>
        <w:tc>
          <w:tcPr>
            <w:tcW w:w="1856" w:type="dxa"/>
            <w:tcBorders>
              <w:left w:val="single" w:sz="8" w:space="0" w:color="000000"/>
            </w:tcBorders>
            <w:shd w:fill="auto" w:val="clear"/>
            <w:tcMar>
              <w:left w:w="0" w:type="dxa"/>
              <w:right w:w="0" w:type="dxa"/>
            </w:tcMar>
          </w:tcPr>
          <w:p>
            <w:pPr>
              <w:pStyle w:val="Normal"/>
              <w:jc w:val="center"/>
              <w:rPr/>
            </w:pPr>
            <w:r>
              <w:rPr/>
              <w:t>37,8</w:t>
            </w:r>
          </w:p>
        </w:tc>
        <w:tc>
          <w:tcPr>
            <w:tcW w:w="1884" w:type="dxa"/>
            <w:tcBorders>
              <w:left w:val="single" w:sz="8" w:space="0" w:color="000000"/>
            </w:tcBorders>
            <w:shd w:fill="auto" w:val="clear"/>
            <w:tcMar>
              <w:left w:w="0" w:type="dxa"/>
              <w:right w:w="0" w:type="dxa"/>
            </w:tcMar>
          </w:tcPr>
          <w:p>
            <w:pPr>
              <w:pStyle w:val="Normal"/>
              <w:jc w:val="center"/>
              <w:rPr/>
            </w:pPr>
            <w:r>
              <w:rPr/>
              <w:t>32</w:t>
            </w:r>
          </w:p>
        </w:tc>
        <w:tc>
          <w:tcPr>
            <w:tcW w:w="191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28,8</w:t>
            </w:r>
          </w:p>
        </w:tc>
      </w:tr>
      <w:tr>
        <w:trPr/>
        <w:tc>
          <w:tcPr>
            <w:tcW w:w="1817" w:type="dxa"/>
            <w:tcBorders>
              <w:left w:val="single" w:sz="8" w:space="0" w:color="000000"/>
            </w:tcBorders>
            <w:shd w:fill="auto" w:val="clear"/>
          </w:tcPr>
          <w:p>
            <w:pPr>
              <w:pStyle w:val="Normal"/>
              <w:jc w:val="center"/>
              <w:rPr/>
            </w:pPr>
            <w:r>
              <w:rPr/>
              <w:t>15</w:t>
            </w:r>
          </w:p>
        </w:tc>
        <w:tc>
          <w:tcPr>
            <w:tcW w:w="1883" w:type="dxa"/>
            <w:tcBorders>
              <w:left w:val="single" w:sz="8" w:space="0" w:color="000000"/>
            </w:tcBorders>
            <w:shd w:fill="auto" w:val="clear"/>
            <w:tcMar>
              <w:left w:w="0" w:type="dxa"/>
              <w:right w:w="0" w:type="dxa"/>
            </w:tcMar>
          </w:tcPr>
          <w:p>
            <w:pPr>
              <w:pStyle w:val="Normal"/>
              <w:jc w:val="center"/>
              <w:rPr/>
            </w:pPr>
            <w:r>
              <w:rPr/>
              <w:t>55</w:t>
            </w:r>
          </w:p>
        </w:tc>
        <w:tc>
          <w:tcPr>
            <w:tcW w:w="1856" w:type="dxa"/>
            <w:tcBorders>
              <w:left w:val="single" w:sz="8" w:space="0" w:color="000000"/>
            </w:tcBorders>
            <w:shd w:fill="auto" w:val="clear"/>
            <w:tcMar>
              <w:left w:w="0" w:type="dxa"/>
              <w:right w:w="0" w:type="dxa"/>
            </w:tcMar>
          </w:tcPr>
          <w:p>
            <w:pPr>
              <w:pStyle w:val="Normal"/>
              <w:jc w:val="center"/>
              <w:rPr/>
            </w:pPr>
            <w:r>
              <w:rPr/>
              <w:t>49,5</w:t>
            </w:r>
          </w:p>
        </w:tc>
        <w:tc>
          <w:tcPr>
            <w:tcW w:w="1884" w:type="dxa"/>
            <w:tcBorders>
              <w:left w:val="single" w:sz="8" w:space="0" w:color="000000"/>
            </w:tcBorders>
            <w:shd w:fill="auto" w:val="clear"/>
            <w:tcMar>
              <w:left w:w="0" w:type="dxa"/>
              <w:right w:w="0" w:type="dxa"/>
            </w:tcMar>
          </w:tcPr>
          <w:p>
            <w:pPr>
              <w:pStyle w:val="Normal"/>
              <w:jc w:val="center"/>
              <w:rPr/>
            </w:pPr>
            <w:r>
              <w:rPr/>
              <w:t>48</w:t>
            </w:r>
          </w:p>
        </w:tc>
        <w:tc>
          <w:tcPr>
            <w:tcW w:w="191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43,2</w:t>
            </w:r>
          </w:p>
        </w:tc>
      </w:tr>
      <w:tr>
        <w:trPr/>
        <w:tc>
          <w:tcPr>
            <w:tcW w:w="1817" w:type="dxa"/>
            <w:tcBorders>
              <w:left w:val="single" w:sz="8" w:space="0" w:color="000000"/>
            </w:tcBorders>
            <w:shd w:fill="auto" w:val="clear"/>
          </w:tcPr>
          <w:p>
            <w:pPr>
              <w:pStyle w:val="Normal"/>
              <w:jc w:val="center"/>
              <w:rPr/>
            </w:pPr>
            <w:r>
              <w:rPr/>
              <w:t>20</w:t>
            </w:r>
          </w:p>
        </w:tc>
        <w:tc>
          <w:tcPr>
            <w:tcW w:w="1883" w:type="dxa"/>
            <w:tcBorders>
              <w:left w:val="single" w:sz="8" w:space="0" w:color="000000"/>
            </w:tcBorders>
            <w:shd w:fill="auto" w:val="clear"/>
            <w:tcMar>
              <w:left w:w="0" w:type="dxa"/>
              <w:right w:w="0" w:type="dxa"/>
            </w:tcMar>
          </w:tcPr>
          <w:p>
            <w:pPr>
              <w:pStyle w:val="Normal"/>
              <w:jc w:val="center"/>
              <w:rPr/>
            </w:pPr>
            <w:r>
              <w:rPr/>
              <w:t>65</w:t>
            </w:r>
          </w:p>
        </w:tc>
        <w:tc>
          <w:tcPr>
            <w:tcW w:w="1856" w:type="dxa"/>
            <w:tcBorders>
              <w:left w:val="single" w:sz="8" w:space="0" w:color="000000"/>
            </w:tcBorders>
            <w:shd w:fill="auto" w:val="clear"/>
            <w:tcMar>
              <w:left w:w="0" w:type="dxa"/>
              <w:right w:w="0" w:type="dxa"/>
            </w:tcMar>
          </w:tcPr>
          <w:p>
            <w:pPr>
              <w:pStyle w:val="Normal"/>
              <w:jc w:val="center"/>
              <w:rPr/>
            </w:pPr>
            <w:r>
              <w:rPr/>
              <w:t>58,5</w:t>
            </w:r>
          </w:p>
        </w:tc>
        <w:tc>
          <w:tcPr>
            <w:tcW w:w="1884" w:type="dxa"/>
            <w:tcBorders>
              <w:left w:val="single" w:sz="8" w:space="0" w:color="000000"/>
            </w:tcBorders>
            <w:shd w:fill="auto" w:val="clear"/>
            <w:tcMar>
              <w:left w:w="0" w:type="dxa"/>
              <w:right w:w="0" w:type="dxa"/>
            </w:tcMar>
          </w:tcPr>
          <w:p>
            <w:pPr>
              <w:pStyle w:val="Normal"/>
              <w:jc w:val="center"/>
              <w:rPr/>
            </w:pPr>
            <w:r>
              <w:rPr/>
              <w:t>-</w:t>
            </w:r>
          </w:p>
        </w:tc>
        <w:tc>
          <w:tcPr>
            <w:tcW w:w="191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1817"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188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95</w:t>
            </w:r>
          </w:p>
        </w:tc>
        <w:tc>
          <w:tcPr>
            <w:tcW w:w="185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85,5</w:t>
            </w:r>
          </w:p>
        </w:tc>
        <w:tc>
          <w:tcPr>
            <w:tcW w:w="1884"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1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bl>
    <w:p>
      <w:pPr>
        <w:pStyle w:val="Normal"/>
        <w:spacing w:before="120" w:after="0"/>
        <w:ind w:firstLine="283"/>
        <w:jc w:val="both"/>
        <w:rPr/>
      </w:pPr>
      <w:r>
        <w:rPr/>
        <w:t>б)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p>
    <w:p>
      <w:pPr>
        <w:pStyle w:val="Normal"/>
        <w:ind w:firstLine="283"/>
        <w:jc w:val="both"/>
        <w:rPr>
          <w:b/>
          <w:b/>
          <w:bCs/>
        </w:rPr>
      </w:pPr>
      <w:r>
        <w:rPr>
          <w:b/>
          <w:bCs/>
        </w:rPr>
        <w:t>5. Измерение сопротивления постоянному току:</w:t>
      </w:r>
    </w:p>
    <w:p>
      <w:pPr>
        <w:pStyle w:val="Normal"/>
        <w:ind w:firstLine="283"/>
        <w:jc w:val="both"/>
        <w:rPr/>
      </w:pPr>
      <w:r>
        <w:rP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pPr>
        <w:pStyle w:val="Normal"/>
        <w:ind w:firstLine="283"/>
        <w:jc w:val="both"/>
        <w:rPr/>
      </w:pPr>
      <w:r>
        <w:rPr/>
        <w:t>б) шунтирующих резисторов дугогасительных устройств. Измеренное значение сопротивления должно отличаться от заводских данных не более чем на 3 %;</w:t>
      </w:r>
    </w:p>
    <w:p>
      <w:pPr>
        <w:pStyle w:val="Normal"/>
        <w:ind w:firstLine="283"/>
        <w:jc w:val="both"/>
        <w:rPr/>
      </w:pPr>
      <w:r>
        <w:rPr/>
        <w:t>в) обмоток электромагнитов включения и отключения, значение сопротивлений обмоток должно соответствовать указаниям заводов-изготовителей.</w:t>
      </w:r>
    </w:p>
    <w:p>
      <w:pPr>
        <w:pStyle w:val="Normal"/>
        <w:ind w:firstLine="283"/>
        <w:jc w:val="both"/>
        <w:rPr>
          <w:b/>
          <w:b/>
          <w:bCs/>
        </w:rPr>
      </w:pPr>
      <w:r>
        <w:rPr>
          <w:b/>
          <w:bCs/>
        </w:rPr>
        <w:t>6. Измерение временных характеристик выключателей.</w:t>
      </w:r>
    </w:p>
    <w:p>
      <w:pPr>
        <w:pStyle w:val="Normal"/>
        <w:ind w:firstLine="283"/>
        <w:jc w:val="both"/>
        <w:rPr/>
      </w:pPr>
      <w:r>
        <w:rP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завода-изготовителя. Измеренные характеристики должны соответствовать указаниям заводов-изготовителей.</w:t>
      </w:r>
    </w:p>
    <w:p>
      <w:pPr>
        <w:pStyle w:val="Normal"/>
        <w:ind w:firstLine="283"/>
        <w:jc w:val="both"/>
        <w:rPr>
          <w:b/>
          <w:b/>
          <w:bCs/>
        </w:rPr>
      </w:pPr>
      <w:r>
        <w:rPr>
          <w:b/>
          <w:bCs/>
        </w:rPr>
        <w:t>7. Измерение хода подвижных частей (траверс) выключателя, вжима контактов при включении, одновременности замыкания и размыкания контактов.</w:t>
      </w:r>
    </w:p>
    <w:p>
      <w:pPr>
        <w:pStyle w:val="Normal"/>
        <w:ind w:firstLine="283"/>
        <w:jc w:val="both"/>
        <w:rPr/>
      </w:pPr>
      <w:r>
        <w:rPr/>
        <w:t>Полученные значения должны соответствовать указаниям заводов-изготовителей.</w:t>
      </w:r>
    </w:p>
    <w:p>
      <w:pPr>
        <w:pStyle w:val="Normal"/>
        <w:ind w:firstLine="283"/>
        <w:jc w:val="both"/>
        <w:rPr>
          <w:b/>
          <w:b/>
          <w:bCs/>
        </w:rPr>
      </w:pPr>
      <w:r>
        <w:rPr>
          <w:b/>
          <w:bCs/>
        </w:rPr>
        <w:t>8. Проверка регулировочных и установочных характеристик механизмов, приводов и выключателей.</w:t>
      </w:r>
    </w:p>
    <w:p>
      <w:pPr>
        <w:pStyle w:val="Normal"/>
        <w:ind w:firstLine="283"/>
        <w:jc w:val="both"/>
        <w:rPr/>
      </w:pPr>
      <w:r>
        <w:rPr/>
        <w:t>Производится в объеме и по нормам инструкций заводов-изготовителей и паспортов для каждого типа привода и выключателя.</w:t>
      </w:r>
    </w:p>
    <w:p>
      <w:pPr>
        <w:pStyle w:val="Normal"/>
        <w:ind w:firstLine="283"/>
        <w:jc w:val="both"/>
        <w:rPr/>
      </w:pPr>
      <w:r>
        <w:rPr>
          <w:b/>
          <w:bCs/>
        </w:rPr>
        <w:t>9. Проверка действия механизма свободного расцепления.</w:t>
      </w:r>
    </w:p>
    <w:p>
      <w:pPr>
        <w:pStyle w:val="Normal"/>
        <w:ind w:firstLine="283"/>
        <w:jc w:val="both"/>
        <w:rPr/>
      </w:pPr>
      <w:r>
        <w:rP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pPr>
        <w:pStyle w:val="Normal"/>
        <w:ind w:firstLine="283"/>
        <w:jc w:val="both"/>
        <w:rPr>
          <w:b/>
          <w:b/>
          <w:bCs/>
        </w:rPr>
      </w:pPr>
      <w:r>
        <w:rPr>
          <w:b/>
          <w:bCs/>
        </w:rPr>
        <w:t>10. Проверка минимального напряжения (давления) срабатывания выключателей.</w:t>
      </w:r>
    </w:p>
    <w:p>
      <w:pPr>
        <w:pStyle w:val="Normal"/>
        <w:ind w:firstLine="283"/>
        <w:jc w:val="both"/>
        <w:rPr/>
      </w:pPr>
      <w:r>
        <w:rPr/>
        <w:t>Проверка минимального напряжения срабатывания производится пополюсно у выключателей с пополюсными приводами.</w:t>
      </w:r>
    </w:p>
    <w:p>
      <w:pPr>
        <w:pStyle w:val="Normal"/>
        <w:ind w:firstLine="283"/>
        <w:jc w:val="both"/>
        <w:rPr/>
      </w:pPr>
      <w:r>
        <w:rPr/>
        <w:t>Минимальное напряжение срабатывания должно соответствовать нормам, установленным заводами-изготовителями выключателей. Значение давления срабатывания пневмоприводов должно быть на 20 - 30 % меньше нижнего предела рабочего давления.</w:t>
      </w:r>
    </w:p>
    <w:p>
      <w:pPr>
        <w:pStyle w:val="Normal"/>
        <w:ind w:firstLine="283"/>
        <w:jc w:val="both"/>
        <w:rPr>
          <w:b/>
          <w:b/>
          <w:bCs/>
        </w:rPr>
      </w:pPr>
      <w:r>
        <w:rPr>
          <w:b/>
          <w:bCs/>
        </w:rPr>
        <w:t>11. Испытание выключателей многократными опробованиями.</w:t>
      </w:r>
    </w:p>
    <w:p>
      <w:pPr>
        <w:pStyle w:val="Normal"/>
        <w:ind w:firstLine="283"/>
        <w:jc w:val="both"/>
        <w:rPr/>
      </w:pPr>
      <w:r>
        <w:rPr/>
        <w:t>Многократные опробования выключателей - выполнение операций включения и отключения и сложных циклов (ВО без выдержки времени обязательны для всех выключателей; ОВ и ОВО обязательны для выключателей, предназначенных для работы в режиме АПВ) должны производиться при номинальном напряжении на выводах электромагнитов. Число операций и сложных циклов, подлежащих выполнению выключателем, должно составлять:</w:t>
      </w:r>
    </w:p>
    <w:p>
      <w:pPr>
        <w:pStyle w:val="Normal"/>
        <w:ind w:firstLine="283"/>
        <w:jc w:val="both"/>
        <w:rPr/>
      </w:pPr>
      <w:r>
        <w:rPr/>
        <w:t>- 3 - 5 операций включения и отключения;</w:t>
      </w:r>
    </w:p>
    <w:p>
      <w:pPr>
        <w:pStyle w:val="Normal"/>
        <w:ind w:firstLine="283"/>
        <w:jc w:val="both"/>
        <w:rPr/>
      </w:pPr>
      <w:r>
        <w:rPr/>
        <w:t>- 2 - 3 цикла каждого вида.</w:t>
      </w:r>
    </w:p>
    <w:p>
      <w:pPr>
        <w:pStyle w:val="Normal"/>
        <w:ind w:firstLine="283"/>
        <w:jc w:val="both"/>
        <w:rPr>
          <w:b/>
          <w:b/>
          <w:bCs/>
        </w:rPr>
      </w:pPr>
      <w:r>
        <w:rPr>
          <w:b/>
          <w:bCs/>
        </w:rPr>
        <w:t>12. Испытание трансформаторного масла выключателей.</w:t>
      </w:r>
    </w:p>
    <w:p>
      <w:pPr>
        <w:pStyle w:val="Normal"/>
        <w:ind w:firstLine="283"/>
        <w:jc w:val="both"/>
        <w:rPr/>
      </w:pPr>
      <w:r>
        <w:rPr/>
        <w:t>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pPr>
        <w:pStyle w:val="Normal"/>
        <w:ind w:firstLine="283"/>
        <w:jc w:val="both"/>
        <w:rPr/>
      </w:pPr>
      <w:r>
        <w:rPr/>
        <w:t>У малообъемных выключателей до 35 кВ масло испытывается до заливки в дугогасительные камеры. Испытание масла производится в соответствии с табл. 1.8.33 пп. 1, 3, 4, 5.</w:t>
      </w:r>
    </w:p>
    <w:p>
      <w:pPr>
        <w:pStyle w:val="Normal"/>
        <w:ind w:firstLine="283"/>
        <w:jc w:val="both"/>
        <w:rPr>
          <w:b/>
          <w:b/>
          <w:bCs/>
        </w:rPr>
      </w:pPr>
      <w:r>
        <w:rPr>
          <w:b/>
          <w:bCs/>
        </w:rPr>
        <w:t>13. Испытание встроенных трансформаторов тока.</w:t>
      </w:r>
    </w:p>
    <w:p>
      <w:pPr>
        <w:pStyle w:val="Normal"/>
        <w:ind w:firstLine="283"/>
        <w:jc w:val="both"/>
        <w:rPr/>
      </w:pPr>
      <w:r>
        <w:rPr/>
        <w:t>Производится в соответствии с 1.8.17.</w:t>
      </w:r>
    </w:p>
    <w:p>
      <w:pPr>
        <w:pStyle w:val="Heading3"/>
        <w:rPr/>
      </w:pPr>
      <w:r>
        <w:rPr/>
        <w:t>1.8.20. Воздушные выключатели</w:t>
      </w:r>
    </w:p>
    <w:p>
      <w:pPr>
        <w:pStyle w:val="Normal"/>
        <w:ind w:firstLine="283"/>
        <w:jc w:val="both"/>
        <w:rPr>
          <w:b/>
          <w:b/>
          <w:bCs/>
        </w:rPr>
      </w:pPr>
      <w:r>
        <w:rPr>
          <w:b/>
          <w:bCs/>
        </w:rPr>
        <w:t>1. Измерение сопротивления изоляции:</w:t>
      </w:r>
    </w:p>
    <w:p>
      <w:pPr>
        <w:pStyle w:val="Normal"/>
        <w:ind w:firstLine="283"/>
        <w:jc w:val="both"/>
        <w:rPr/>
      </w:pPr>
      <w:r>
        <w:rPr/>
        <w:t>а) опорных изоляторов, изоляторов гасительных камер и отделителей, изолирующих тяг и воздухопроводов выключателей всех классов напряжений. Производится мегаомметром на напряжение 2,5 кВ.</w:t>
      </w:r>
    </w:p>
    <w:p>
      <w:pPr>
        <w:pStyle w:val="Normal"/>
        <w:ind w:firstLine="283"/>
        <w:jc w:val="both"/>
        <w:rPr/>
      </w:pPr>
      <w:r>
        <w:rP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pPr>
        <w:pStyle w:val="Normal"/>
        <w:ind w:firstLine="283"/>
        <w:jc w:val="both"/>
        <w:rPr/>
      </w:pPr>
      <w:r>
        <w:rPr/>
        <w:t>Сопротивление изоляции должно быть не ниже значений, приведенных в табл. 1.8.17.</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17</w:t>
      </w:r>
    </w:p>
    <w:p>
      <w:pPr>
        <w:pStyle w:val="Normal"/>
        <w:spacing w:before="0" w:after="120"/>
        <w:jc w:val="center"/>
        <w:rPr/>
      </w:pPr>
      <w:r>
        <w:rPr>
          <w:b/>
          <w:bCs/>
          <w:i/>
          <w:iCs/>
        </w:rPr>
        <w:t>Наименьшее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опорной</w:t>
      </w:r>
      <w:r>
        <w:rPr>
          <w:b/>
          <w:bCs/>
        </w:rPr>
        <w:t xml:space="preserve"> </w:t>
      </w:r>
      <w:r>
        <w:rPr>
          <w:b/>
          <w:bCs/>
          <w:i/>
          <w:iCs/>
        </w:rPr>
        <w:t>изоляции</w:t>
      </w:r>
      <w:r>
        <w:rPr>
          <w:b/>
          <w:bCs/>
        </w:rPr>
        <w:t xml:space="preserve"> </w:t>
      </w:r>
      <w:r>
        <w:rPr>
          <w:b/>
          <w:bCs/>
          <w:i/>
          <w:iCs/>
        </w:rPr>
        <w:t>и</w:t>
      </w:r>
      <w:r>
        <w:rPr>
          <w:b/>
          <w:bCs/>
        </w:rPr>
        <w:t xml:space="preserve"> </w:t>
      </w:r>
      <w:r>
        <w:rPr>
          <w:b/>
          <w:bCs/>
          <w:i/>
          <w:iCs/>
        </w:rPr>
        <w:t>изоляции</w:t>
      </w:r>
      <w:r>
        <w:rPr>
          <w:b/>
          <w:bCs/>
        </w:rPr>
        <w:t xml:space="preserve"> </w:t>
      </w:r>
      <w:r>
        <w:rPr>
          <w:b/>
          <w:bCs/>
          <w:i/>
          <w:iCs/>
        </w:rPr>
        <w:t>подвижных</w:t>
      </w:r>
      <w:r>
        <w:rPr>
          <w:b/>
          <w:bCs/>
        </w:rPr>
        <w:t xml:space="preserve"> </w:t>
      </w:r>
      <w:r>
        <w:rPr>
          <w:b/>
          <w:bCs/>
          <w:i/>
          <w:iCs/>
        </w:rPr>
        <w:t>частей</w:t>
      </w:r>
      <w:r>
        <w:rPr>
          <w:b/>
          <w:bCs/>
        </w:rPr>
        <w:t xml:space="preserve"> </w:t>
      </w:r>
      <w:r>
        <w:rPr>
          <w:b/>
          <w:bCs/>
          <w:i/>
          <w:iCs/>
        </w:rPr>
        <w:t>воздушных</w:t>
      </w:r>
      <w:r>
        <w:rPr>
          <w:b/>
          <w:bCs/>
        </w:rPr>
        <w:t xml:space="preserve"> </w:t>
      </w:r>
      <w:r>
        <w:rPr>
          <w:b/>
          <w:bCs/>
          <w:i/>
          <w:iCs/>
        </w:rPr>
        <w:t>выключателей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534"/>
        <w:gridCol w:w="1529"/>
        <w:gridCol w:w="1858"/>
        <w:gridCol w:w="1434"/>
      </w:tblGrid>
      <w:tr>
        <w:trPr>
          <w:tblHeader w:val="true"/>
        </w:trPr>
        <w:tc>
          <w:tcPr>
            <w:tcW w:w="4534"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4821"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Сопротивление изоляции, МОм, при номинальном напряжении выключателя, кВ</w:t>
            </w:r>
          </w:p>
        </w:tc>
      </w:tr>
      <w:tr>
        <w:trPr>
          <w:tblHeader w:val="true"/>
        </w:trPr>
        <w:tc>
          <w:tcPr>
            <w:tcW w:w="4534"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529" w:type="dxa"/>
            <w:tcBorders>
              <w:left w:val="single" w:sz="8" w:space="0" w:color="000000"/>
              <w:bottom w:val="single" w:sz="8" w:space="0" w:color="000000"/>
              <w:insideH w:val="single" w:sz="8" w:space="0" w:color="000000"/>
            </w:tcBorders>
            <w:shd w:fill="auto" w:val="clear"/>
            <w:vAlign w:val="center"/>
          </w:tcPr>
          <w:p>
            <w:pPr>
              <w:pStyle w:val="Normal"/>
              <w:jc w:val="center"/>
              <w:rPr/>
            </w:pPr>
            <w:r>
              <w:rPr/>
              <w:t>До 10</w:t>
            </w:r>
          </w:p>
        </w:tc>
        <w:tc>
          <w:tcPr>
            <w:tcW w:w="185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15 - 150</w:t>
            </w:r>
          </w:p>
        </w:tc>
        <w:tc>
          <w:tcPr>
            <w:tcW w:w="143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220 и выше</w:t>
            </w:r>
          </w:p>
        </w:tc>
      </w:tr>
      <w:tr>
        <w:trPr/>
        <w:tc>
          <w:tcPr>
            <w:tcW w:w="4534" w:type="dxa"/>
            <w:tcBorders>
              <w:left w:val="single" w:sz="8" w:space="0" w:color="000000"/>
              <w:bottom w:val="single" w:sz="8" w:space="0" w:color="000000"/>
              <w:insideH w:val="single" w:sz="8" w:space="0" w:color="000000"/>
            </w:tcBorders>
            <w:shd w:fill="auto" w:val="clear"/>
          </w:tcPr>
          <w:p>
            <w:pPr>
              <w:pStyle w:val="Normal"/>
              <w:jc w:val="both"/>
              <w:rPr/>
            </w:pPr>
            <w:r>
              <w:rPr/>
              <w:t>Опорный изолятор, воздухопровод и тяга (каждое в отдельности), изготовленные из фарфора</w:t>
            </w:r>
          </w:p>
        </w:tc>
        <w:tc>
          <w:tcPr>
            <w:tcW w:w="1529"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1000</w:t>
            </w:r>
          </w:p>
        </w:tc>
        <w:tc>
          <w:tcPr>
            <w:tcW w:w="185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3000</w:t>
            </w:r>
          </w:p>
        </w:tc>
        <w:tc>
          <w:tcPr>
            <w:tcW w:w="143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5000</w:t>
            </w:r>
          </w:p>
        </w:tc>
      </w:tr>
    </w:tbl>
    <w:p>
      <w:pPr>
        <w:pStyle w:val="Normal"/>
        <w:spacing w:before="120" w:after="0"/>
        <w:ind w:firstLine="283"/>
        <w:jc w:val="both"/>
        <w:rPr/>
      </w:pPr>
      <w:r>
        <w:rPr/>
        <w:t>б) вторичных цепей, обмоток электромагнитов включения и отключения. Производится в соответствии с 1.8.37.</w:t>
      </w:r>
    </w:p>
    <w:p>
      <w:pPr>
        <w:pStyle w:val="Normal"/>
        <w:ind w:firstLine="283"/>
        <w:jc w:val="both"/>
        <w:rPr>
          <w:b/>
          <w:b/>
          <w:bCs/>
        </w:rPr>
      </w:pPr>
      <w:r>
        <w:rPr>
          <w:b/>
          <w:bCs/>
        </w:rPr>
        <w:t>2. Испытание повышенным напряжением промышленной частоты:</w:t>
      </w:r>
    </w:p>
    <w:p>
      <w:pPr>
        <w:pStyle w:val="Normal"/>
        <w:ind w:firstLine="283"/>
        <w:jc w:val="both"/>
        <w:rPr/>
      </w:pPr>
      <w:r>
        <w:rPr/>
        <w:t>а) изоляции выключателей. Обязательно для выключателей до 35</w:t>
      </w:r>
      <w:r>
        <w:rPr>
          <w:color w:val="000000"/>
        </w:rPr>
        <w:t xml:space="preserve"> кВ. Опорную фарфоровую изоляцию выключателей следует испытывать повышенным напряжением промышленной частоты в соответствии с табл. 1.8.16. Продолжительность приложения нормированного испытательного напряжения </w:t>
      </w:r>
      <w:r>
        <w:rPr/>
        <w:t>1 мин.</w:t>
      </w:r>
    </w:p>
    <w:p>
      <w:pPr>
        <w:pStyle w:val="Normal"/>
        <w:ind w:firstLine="283"/>
        <w:jc w:val="both"/>
        <w:rPr/>
      </w:pPr>
      <w:r>
        <w:rPr/>
        <w:t>б) изоляции вторичных цепей и обмоток электромагнитов управления. Производится в соответствии с 1.8.37.</w:t>
      </w:r>
    </w:p>
    <w:p>
      <w:pPr>
        <w:pStyle w:val="Normal"/>
        <w:ind w:firstLine="283"/>
        <w:jc w:val="both"/>
        <w:rPr>
          <w:b/>
          <w:b/>
          <w:bCs/>
        </w:rPr>
      </w:pPr>
      <w:r>
        <w:rPr>
          <w:b/>
          <w:bCs/>
        </w:rPr>
        <w:t>3. Измерение сопротивления постоянному току:</w:t>
      </w:r>
    </w:p>
    <w:p>
      <w:pPr>
        <w:pStyle w:val="Normal"/>
        <w:ind w:firstLine="283"/>
        <w:jc w:val="both"/>
        <w:rPr/>
      </w:pPr>
      <w:r>
        <w:rPr/>
        <w:t>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1.8.18.</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18</w:t>
      </w:r>
    </w:p>
    <w:p>
      <w:pPr>
        <w:pStyle w:val="Normal"/>
        <w:spacing w:before="0" w:after="120"/>
        <w:jc w:val="center"/>
        <w:rPr/>
      </w:pPr>
      <w:r>
        <w:rPr>
          <w:b/>
          <w:bCs/>
          <w:i/>
          <w:iCs/>
        </w:rPr>
        <w:t>Предельные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контактных</w:t>
      </w:r>
      <w:r>
        <w:rPr>
          <w:b/>
          <w:bCs/>
        </w:rPr>
        <w:t xml:space="preserve"> </w:t>
      </w:r>
      <w:r>
        <w:rPr>
          <w:b/>
          <w:bCs/>
          <w:i/>
          <w:iCs/>
        </w:rPr>
        <w:t>систем</w:t>
      </w:r>
      <w:r>
        <w:rPr>
          <w:b/>
          <w:bCs/>
        </w:rPr>
        <w:t xml:space="preserve"> </w:t>
      </w:r>
      <w:r>
        <w:rPr>
          <w:b/>
          <w:bCs/>
          <w:i/>
          <w:iCs/>
        </w:rPr>
        <w:t>воздушных</w:t>
      </w:r>
      <w:r>
        <w:rPr>
          <w:b/>
          <w:bCs/>
        </w:rPr>
        <w:t xml:space="preserve"> </w:t>
      </w:r>
      <w:r>
        <w:rPr>
          <w:b/>
          <w:bCs/>
          <w:i/>
          <w:iCs/>
        </w:rPr>
        <w:t>выключателей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812"/>
        <w:gridCol w:w="4543"/>
      </w:tblGrid>
      <w:tr>
        <w:trPr>
          <w:tblHeader w:val="true"/>
        </w:trPr>
        <w:tc>
          <w:tcPr>
            <w:tcW w:w="481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выключателя</w:t>
            </w:r>
          </w:p>
        </w:tc>
        <w:tc>
          <w:tcPr>
            <w:tcW w:w="454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Сопротивление контура полюса, мкОм, не более</w:t>
            </w:r>
          </w:p>
        </w:tc>
      </w:tr>
      <w:tr>
        <w:trPr/>
        <w:tc>
          <w:tcPr>
            <w:tcW w:w="4812" w:type="dxa"/>
            <w:tcBorders>
              <w:left w:val="single" w:sz="8" w:space="0" w:color="000000"/>
            </w:tcBorders>
            <w:shd w:fill="auto" w:val="clear"/>
          </w:tcPr>
          <w:p>
            <w:pPr>
              <w:pStyle w:val="Normal"/>
              <w:jc w:val="both"/>
              <w:rPr/>
            </w:pPr>
            <w:r>
              <w:rPr/>
              <w:t>ВВН-330-15</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460</w:t>
            </w:r>
          </w:p>
        </w:tc>
      </w:tr>
      <w:tr>
        <w:trPr/>
        <w:tc>
          <w:tcPr>
            <w:tcW w:w="4812" w:type="dxa"/>
            <w:tcBorders>
              <w:left w:val="single" w:sz="8" w:space="0" w:color="000000"/>
            </w:tcBorders>
            <w:shd w:fill="auto" w:val="clear"/>
          </w:tcPr>
          <w:p>
            <w:pPr>
              <w:pStyle w:val="Normal"/>
              <w:jc w:val="both"/>
              <w:rPr/>
            </w:pPr>
            <w:r>
              <w:rPr/>
              <w:t>ВВ-330Б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380</w:t>
            </w:r>
          </w:p>
        </w:tc>
      </w:tr>
      <w:tr>
        <w:trPr/>
        <w:tc>
          <w:tcPr>
            <w:tcW w:w="4812" w:type="dxa"/>
            <w:tcBorders>
              <w:left w:val="single" w:sz="8" w:space="0" w:color="000000"/>
            </w:tcBorders>
            <w:shd w:fill="auto" w:val="clear"/>
          </w:tcPr>
          <w:p>
            <w:pPr>
              <w:pStyle w:val="Normal"/>
              <w:jc w:val="both"/>
              <w:rPr/>
            </w:pPr>
            <w:r>
              <w:rPr/>
              <w:t>ВВ-500Б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500</w:t>
            </w:r>
          </w:p>
        </w:tc>
      </w:tr>
      <w:tr>
        <w:trPr/>
        <w:tc>
          <w:tcPr>
            <w:tcW w:w="4812" w:type="dxa"/>
            <w:tcBorders>
              <w:left w:val="single" w:sz="8" w:space="0" w:color="000000"/>
            </w:tcBorders>
            <w:shd w:fill="auto" w:val="clear"/>
          </w:tcPr>
          <w:p>
            <w:pPr>
              <w:pStyle w:val="Normal"/>
              <w:jc w:val="both"/>
              <w:rPr/>
            </w:pPr>
            <w:r>
              <w:rPr/>
              <w:t>ВВБ-110, ВВБМ-110Б, ВВБК-110Б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80</w:t>
            </w:r>
          </w:p>
        </w:tc>
      </w:tr>
      <w:tr>
        <w:trPr/>
        <w:tc>
          <w:tcPr>
            <w:tcW w:w="4812" w:type="dxa"/>
            <w:tcBorders>
              <w:left w:val="single" w:sz="8" w:space="0" w:color="000000"/>
            </w:tcBorders>
            <w:shd w:fill="auto" w:val="clear"/>
          </w:tcPr>
          <w:p>
            <w:pPr>
              <w:pStyle w:val="Normal"/>
              <w:jc w:val="both"/>
              <w:rPr/>
            </w:pPr>
            <w:r>
              <w:rPr/>
              <w:t>ВВД-220Б, ВВБК-220Б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300</w:t>
            </w:r>
          </w:p>
          <w:p>
            <w:pPr>
              <w:pStyle w:val="Normal"/>
              <w:jc w:val="center"/>
              <w:rPr/>
            </w:pPr>
            <w:r>
              <w:rPr/>
              <w:t>600</w:t>
            </w:r>
          </w:p>
        </w:tc>
      </w:tr>
      <w:tr>
        <w:trPr/>
        <w:tc>
          <w:tcPr>
            <w:tcW w:w="4812" w:type="dxa"/>
            <w:tcBorders>
              <w:left w:val="single" w:sz="8" w:space="0" w:color="000000"/>
            </w:tcBorders>
            <w:shd w:fill="auto" w:val="clear"/>
          </w:tcPr>
          <w:p>
            <w:pPr>
              <w:pStyle w:val="Normal"/>
              <w:jc w:val="both"/>
              <w:rPr/>
            </w:pPr>
            <w:r>
              <w:rPr/>
              <w:t>ВВБ-500А</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900</w:t>
            </w:r>
          </w:p>
        </w:tc>
      </w:tr>
      <w:tr>
        <w:trPr/>
        <w:tc>
          <w:tcPr>
            <w:tcW w:w="4812" w:type="dxa"/>
            <w:tcBorders>
              <w:left w:val="single" w:sz="8" w:space="0" w:color="000000"/>
            </w:tcBorders>
            <w:shd w:fill="auto" w:val="clear"/>
          </w:tcPr>
          <w:p>
            <w:pPr>
              <w:pStyle w:val="Normal"/>
              <w:jc w:val="both"/>
              <w:rPr/>
            </w:pPr>
            <w:r>
              <w:rPr/>
              <w:t>ВВБ-750А</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1200</w:t>
            </w:r>
          </w:p>
        </w:tc>
      </w:tr>
      <w:tr>
        <w:trPr/>
        <w:tc>
          <w:tcPr>
            <w:tcW w:w="4812" w:type="dxa"/>
            <w:tcBorders>
              <w:left w:val="single" w:sz="8" w:space="0" w:color="000000"/>
            </w:tcBorders>
            <w:shd w:fill="auto" w:val="clear"/>
          </w:tcPr>
          <w:p>
            <w:pPr>
              <w:pStyle w:val="Normal"/>
              <w:jc w:val="both"/>
              <w:rPr/>
            </w:pPr>
            <w:r>
              <w:rPr/>
              <w:t>ВНВ-330-40, ВНВ-330-63, ВНВ-500-40, ВНВ-500-63</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150</w:t>
            </w:r>
          </w:p>
        </w:tc>
      </w:tr>
      <w:tr>
        <w:trPr/>
        <w:tc>
          <w:tcPr>
            <w:tcW w:w="4812" w:type="dxa"/>
            <w:tcBorders>
              <w:left w:val="single" w:sz="8" w:space="0" w:color="000000"/>
              <w:bottom w:val="single" w:sz="8" w:space="0" w:color="000000"/>
              <w:insideH w:val="single" w:sz="8" w:space="0" w:color="000000"/>
            </w:tcBorders>
            <w:shd w:fill="auto" w:val="clear"/>
          </w:tcPr>
          <w:p>
            <w:pPr>
              <w:pStyle w:val="Normal"/>
              <w:jc w:val="both"/>
              <w:rPr/>
            </w:pPr>
            <w:r>
              <w:rPr/>
              <w:t>ВНВ-750</w:t>
            </w:r>
          </w:p>
        </w:tc>
        <w:tc>
          <w:tcPr>
            <w:tcW w:w="454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230</w:t>
            </w:r>
          </w:p>
        </w:tc>
      </w:tr>
      <w:tr>
        <w:trPr/>
        <w:tc>
          <w:tcPr>
            <w:tcW w:w="9355"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420"/>
              <w:jc w:val="both"/>
              <w:rPr/>
            </w:pPr>
            <w:r>
              <w:rPr>
                <w:i/>
                <w:iCs/>
                <w:spacing w:val="40"/>
              </w:rPr>
              <w:t>Примечания</w:t>
            </w:r>
            <w:r>
              <w:rPr/>
              <w:t>:</w:t>
            </w:r>
          </w:p>
          <w:p>
            <w:pPr>
              <w:pStyle w:val="Normal"/>
              <w:ind w:firstLine="300"/>
              <w:jc w:val="both"/>
              <w:rPr/>
            </w:pPr>
            <w:r>
              <w:rP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p>
            <w:pPr>
              <w:pStyle w:val="Normal"/>
              <w:ind w:firstLine="300"/>
              <w:jc w:val="both"/>
              <w:rPr/>
            </w:pPr>
            <w:r>
              <w:rPr/>
              <w:t>2. У выключателей типа ВВ напряжением 330 - 500 кВ значения сопротивлений следующих участков токоведущих контуров не должны превышать:</w:t>
            </w:r>
          </w:p>
          <w:p>
            <w:pPr>
              <w:pStyle w:val="Normal"/>
              <w:ind w:firstLine="300"/>
              <w:jc w:val="both"/>
              <w:rPr/>
            </w:pPr>
            <w:r>
              <w:rPr/>
              <w:t>50 мкОм - для шин, соединяющих гасительную камеру с отделением;</w:t>
            </w:r>
          </w:p>
          <w:p>
            <w:pPr>
              <w:pStyle w:val="Normal"/>
              <w:ind w:firstLine="300"/>
              <w:jc w:val="both"/>
              <w:rPr/>
            </w:pPr>
            <w:r>
              <w:rPr/>
              <w:t>80 мкОм - для шины, соединяющей две половины отделителя;</w:t>
            </w:r>
          </w:p>
          <w:p>
            <w:pPr>
              <w:pStyle w:val="Normal"/>
              <w:ind w:firstLine="300"/>
              <w:jc w:val="both"/>
              <w:rPr/>
            </w:pPr>
            <w:r>
              <w:rPr/>
              <w:t>10 мкОм - для перехода с аппаратного вывода отделителя на соединительную шину.</w:t>
            </w:r>
          </w:p>
          <w:p>
            <w:pPr>
              <w:pStyle w:val="Normal"/>
              <w:ind w:firstLine="233"/>
              <w:jc w:val="both"/>
              <w:rPr/>
            </w:pPr>
            <w:r>
              <w:rPr/>
              <w:t>3. Значения сопротивлений каждого разрыва дугогасительного устройства выключателей 330 - 750 кВ серии ВНВ не должны превышать 35 мкОм.</w:t>
            </w:r>
          </w:p>
        </w:tc>
      </w:tr>
    </w:tbl>
    <w:p>
      <w:pPr>
        <w:pStyle w:val="Normal"/>
        <w:spacing w:before="120" w:after="0"/>
        <w:ind w:firstLine="284"/>
        <w:jc w:val="both"/>
        <w:rPr/>
      </w:pPr>
      <w:r>
        <w:rPr/>
        <w:t>б) обмоток электромагнитов включения и отключения выключателей. Устанавливается для каждого типа выключателей согласно данным завода-изготовителя.</w:t>
      </w:r>
    </w:p>
    <w:p>
      <w:pPr>
        <w:pStyle w:val="Normal"/>
        <w:ind w:firstLine="283"/>
        <w:jc w:val="both"/>
        <w:rPr/>
      </w:pPr>
      <w:r>
        <w:rPr/>
        <w:t>в) 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таблице 1.8.19.</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19</w:t>
      </w:r>
    </w:p>
    <w:p>
      <w:pPr>
        <w:pStyle w:val="Normal"/>
        <w:spacing w:before="0" w:after="120"/>
        <w:jc w:val="center"/>
        <w:rPr/>
      </w:pPr>
      <w:r>
        <w:rPr/>
        <w:t>Нормируемые значения сопротивлений постоянному току омических делителей напряжения и шунтирующих резисторов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812"/>
        <w:gridCol w:w="4543"/>
      </w:tblGrid>
      <w:tr>
        <w:trPr>
          <w:tblHeader w:val="true"/>
        </w:trPr>
        <w:tc>
          <w:tcPr>
            <w:tcW w:w="481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выключателя</w:t>
            </w:r>
          </w:p>
        </w:tc>
        <w:tc>
          <w:tcPr>
            <w:tcW w:w="454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Сопротивления одного элемента, Ом</w:t>
            </w:r>
          </w:p>
        </w:tc>
      </w:tr>
      <w:tr>
        <w:trPr/>
        <w:tc>
          <w:tcPr>
            <w:tcW w:w="4812" w:type="dxa"/>
            <w:tcBorders>
              <w:left w:val="single" w:sz="8" w:space="0" w:color="000000"/>
            </w:tcBorders>
            <w:shd w:fill="auto" w:val="clear"/>
          </w:tcPr>
          <w:p>
            <w:pPr>
              <w:pStyle w:val="Normal"/>
              <w:jc w:val="both"/>
              <w:rPr/>
            </w:pPr>
            <w:r>
              <w:rPr/>
              <w:t>ВВН-110-6</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150 ± 5</w:t>
            </w:r>
          </w:p>
        </w:tc>
      </w:tr>
      <w:tr>
        <w:trPr/>
        <w:tc>
          <w:tcPr>
            <w:tcW w:w="4812" w:type="dxa"/>
            <w:tcBorders>
              <w:left w:val="single" w:sz="8" w:space="0" w:color="000000"/>
            </w:tcBorders>
            <w:shd w:fill="auto" w:val="clear"/>
          </w:tcPr>
          <w:p>
            <w:pPr>
              <w:pStyle w:val="Normal"/>
              <w:jc w:val="both"/>
              <w:rPr/>
            </w:pPr>
            <w:r>
              <w:rPr/>
              <w:t>ВВШ-110Б, ВВШ-150Б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150</w:t>
            </w:r>
            <w:r>
              <w:rPr>
                <w:vertAlign w:val="superscript"/>
              </w:rPr>
              <w:t>+4</w:t>
            </w:r>
            <w:r>
              <w:rPr>
                <w:vertAlign w:val="subscript"/>
              </w:rPr>
              <w:t>-2</w:t>
            </w:r>
          </w:p>
        </w:tc>
      </w:tr>
      <w:tr>
        <w:trPr/>
        <w:tc>
          <w:tcPr>
            <w:tcW w:w="4812" w:type="dxa"/>
            <w:tcBorders>
              <w:left w:val="single" w:sz="8" w:space="0" w:color="000000"/>
            </w:tcBorders>
            <w:shd w:fill="auto" w:val="clear"/>
          </w:tcPr>
          <w:p>
            <w:pPr>
              <w:pStyle w:val="Normal"/>
              <w:jc w:val="both"/>
              <w:rPr/>
            </w:pPr>
            <w:r>
              <w:rPr/>
              <w:t>ВВН-154-8, ВВН-220-10, ВВН-220-15, ВВН-330-15</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15000 ± 150</w:t>
            </w:r>
          </w:p>
        </w:tc>
      </w:tr>
      <w:tr>
        <w:trPr/>
        <w:tc>
          <w:tcPr>
            <w:tcW w:w="4812" w:type="dxa"/>
            <w:tcBorders>
              <w:left w:val="single" w:sz="8" w:space="0" w:color="000000"/>
            </w:tcBorders>
            <w:shd w:fill="auto" w:val="clear"/>
          </w:tcPr>
          <w:p>
            <w:pPr>
              <w:pStyle w:val="Normal"/>
              <w:jc w:val="both"/>
              <w:rPr/>
            </w:pPr>
            <w:r>
              <w:rPr/>
              <w:t>ВВ-330, ВВ-500</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14140 ± 140</w:t>
            </w:r>
          </w:p>
        </w:tc>
      </w:tr>
      <w:tr>
        <w:trPr/>
        <w:tc>
          <w:tcPr>
            <w:tcW w:w="4812" w:type="dxa"/>
            <w:tcBorders>
              <w:left w:val="single" w:sz="8" w:space="0" w:color="000000"/>
            </w:tcBorders>
            <w:shd w:fill="auto" w:val="clear"/>
          </w:tcPr>
          <w:p>
            <w:pPr>
              <w:pStyle w:val="Normal"/>
              <w:jc w:val="both"/>
              <w:rPr/>
            </w:pPr>
            <w:r>
              <w:rPr/>
              <w:t>ВВУ-35</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4,6 - 0,25</w:t>
            </w:r>
          </w:p>
        </w:tc>
      </w:tr>
      <w:tr>
        <w:trPr/>
        <w:tc>
          <w:tcPr>
            <w:tcW w:w="4812" w:type="dxa"/>
            <w:tcBorders>
              <w:left w:val="single" w:sz="8" w:space="0" w:color="000000"/>
            </w:tcBorders>
            <w:shd w:fill="auto" w:val="clear"/>
          </w:tcPr>
          <w:p>
            <w:pPr>
              <w:pStyle w:val="Normal"/>
              <w:jc w:val="both"/>
              <w:rPr/>
            </w:pPr>
            <w:r>
              <w:rPr/>
              <w:t>ВВУ-110Б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 ± 0,3 (нижний модуль)</w:t>
            </w:r>
          </w:p>
          <w:p>
            <w:pPr>
              <w:pStyle w:val="Normal"/>
              <w:jc w:val="center"/>
              <w:rPr/>
            </w:pPr>
            <w:r>
              <w:rPr/>
              <w:t>100 ± 2 (верхний модуль)</w:t>
            </w:r>
          </w:p>
        </w:tc>
      </w:tr>
      <w:tr>
        <w:trPr/>
        <w:tc>
          <w:tcPr>
            <w:tcW w:w="4812" w:type="dxa"/>
            <w:tcBorders>
              <w:left w:val="single" w:sz="8" w:space="0" w:color="000000"/>
            </w:tcBorders>
            <w:shd w:fill="auto" w:val="clear"/>
          </w:tcPr>
          <w:p>
            <w:pPr>
              <w:pStyle w:val="Normal"/>
              <w:jc w:val="both"/>
              <w:rPr/>
            </w:pPr>
            <w:r>
              <w:rPr/>
              <w:t>ВВБ-110, ВВБ-220Б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100 ± 2</w:t>
            </w:r>
          </w:p>
        </w:tc>
      </w:tr>
      <w:tr>
        <w:trPr/>
        <w:tc>
          <w:tcPr>
            <w:tcW w:w="4812" w:type="dxa"/>
            <w:tcBorders>
              <w:left w:val="single" w:sz="8" w:space="0" w:color="000000"/>
            </w:tcBorders>
            <w:shd w:fill="auto" w:val="clear"/>
          </w:tcPr>
          <w:p>
            <w:pPr>
              <w:pStyle w:val="Normal"/>
              <w:jc w:val="both"/>
              <w:rPr/>
            </w:pPr>
            <w:r>
              <w:rPr/>
              <w:t>ВВБМ-110Б, ВВД-220Б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50 ± 1</w:t>
            </w:r>
          </w:p>
        </w:tc>
      </w:tr>
      <w:tr>
        <w:trPr/>
        <w:tc>
          <w:tcPr>
            <w:tcW w:w="4812" w:type="dxa"/>
            <w:tcBorders>
              <w:left w:val="single" w:sz="8" w:space="0" w:color="000000"/>
            </w:tcBorders>
            <w:shd w:fill="auto" w:val="clear"/>
          </w:tcPr>
          <w:p>
            <w:pPr>
              <w:pStyle w:val="Normal"/>
              <w:jc w:val="both"/>
              <w:rPr/>
            </w:pPr>
            <w:r>
              <w:rPr/>
              <w:t>ВВБК-110Б, ВВБК-220Б</w:t>
            </w:r>
          </w:p>
        </w:tc>
        <w:tc>
          <w:tcPr>
            <w:tcW w:w="4543"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47,5</w:t>
            </w:r>
            <w:r>
              <w:rPr>
                <w:vertAlign w:val="superscript"/>
              </w:rPr>
              <w:t>+1</w:t>
            </w:r>
            <w:r>
              <w:rPr>
                <w:vertAlign w:val="subscript"/>
              </w:rPr>
              <w:t>-0,5</w:t>
            </w:r>
          </w:p>
        </w:tc>
      </w:tr>
      <w:tr>
        <w:trPr/>
        <w:tc>
          <w:tcPr>
            <w:tcW w:w="4812" w:type="dxa"/>
            <w:tcBorders>
              <w:left w:val="single" w:sz="8" w:space="0" w:color="000000"/>
              <w:bottom w:val="single" w:sz="8" w:space="0" w:color="000000"/>
              <w:insideH w:val="single" w:sz="8" w:space="0" w:color="000000"/>
            </w:tcBorders>
            <w:shd w:fill="auto" w:val="clear"/>
          </w:tcPr>
          <w:p>
            <w:pPr>
              <w:pStyle w:val="Normal"/>
              <w:jc w:val="both"/>
              <w:rPr/>
            </w:pPr>
            <w:r>
              <w:rPr/>
              <w:t>ВНВ-330-63, ВНВ-500-63</w:t>
            </w:r>
          </w:p>
        </w:tc>
        <w:tc>
          <w:tcPr>
            <w:tcW w:w="454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75</w:t>
            </w:r>
            <w:r>
              <w:rPr>
                <w:vertAlign w:val="superscript"/>
              </w:rPr>
              <w:t>+1</w:t>
            </w:r>
            <w:r>
              <w:rPr>
                <w:vertAlign w:val="subscript"/>
              </w:rPr>
              <w:t>-3</w:t>
            </w:r>
          </w:p>
        </w:tc>
      </w:tr>
      <w:tr>
        <w:trPr/>
        <w:tc>
          <w:tcPr>
            <w:tcW w:w="9355"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93"/>
              <w:jc w:val="both"/>
              <w:rPr/>
            </w:pPr>
            <w:r>
              <w:rPr>
                <w:i/>
                <w:iCs/>
                <w:spacing w:val="40"/>
              </w:rPr>
              <w:t>Примечание</w:t>
            </w:r>
            <w:r>
              <w:rPr/>
              <w:t>. Сопротивления шунтирующих резисторов, подлежащих установке на одном полюсе выключателя, не должны отличаться друг от друга более, чем допускается заводской инструкцией.</w:t>
            </w:r>
          </w:p>
        </w:tc>
      </w:tr>
    </w:tbl>
    <w:p>
      <w:pPr>
        <w:pStyle w:val="Normal"/>
        <w:spacing w:before="120" w:after="0"/>
        <w:ind w:firstLine="284"/>
        <w:jc w:val="both"/>
        <w:rPr>
          <w:b/>
          <w:b/>
          <w:bCs/>
        </w:rPr>
      </w:pPr>
      <w:r>
        <w:rPr>
          <w:b/>
          <w:bCs/>
        </w:rPr>
        <w:t>4. Проверка характеристик выключателя.</w:t>
      </w:r>
    </w:p>
    <w:p>
      <w:pPr>
        <w:pStyle w:val="Normal"/>
        <w:ind w:firstLine="283"/>
        <w:jc w:val="both"/>
        <w:rPr/>
      </w:pPr>
      <w:r>
        <w:rPr/>
        <w:t>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pPr>
        <w:pStyle w:val="Normal"/>
        <w:ind w:firstLine="283"/>
        <w:jc w:val="both"/>
        <w:rPr>
          <w:b/>
          <w:b/>
          <w:bCs/>
        </w:rPr>
      </w:pPr>
      <w:r>
        <w:rPr>
          <w:b/>
          <w:bCs/>
        </w:rPr>
        <w:t>5. Проверка минимального напряжения срабатывания выключателя.</w:t>
      </w:r>
    </w:p>
    <w:p>
      <w:pPr>
        <w:pStyle w:val="Normal"/>
        <w:ind w:firstLine="283"/>
        <w:jc w:val="both"/>
        <w:rPr/>
      </w:pPr>
      <w:r>
        <w:rPr/>
        <w:t>Электромагниты управления воздушных выключателей должны срабатывать при напряжении не более 0,7·</w:t>
      </w:r>
      <w:r>
        <w:rPr>
          <w:i/>
          <w:iCs/>
        </w:rPr>
        <w:t>U</w:t>
      </w:r>
      <w:r>
        <w:rPr>
          <w:vertAlign w:val="subscript"/>
        </w:rPr>
        <w:t>ном.</w:t>
      </w:r>
      <w:r>
        <w:rPr/>
        <w:t xml:space="preserve"> при питании привода от источника постоянного тока и не более 0,65·</w:t>
      </w:r>
      <w:r>
        <w:rPr>
          <w:i/>
          <w:iCs/>
        </w:rPr>
        <w:t>U</w:t>
      </w:r>
      <w:r>
        <w:rPr>
          <w:vertAlign w:val="subscript"/>
        </w:rPr>
        <w:t>ном.</w:t>
      </w:r>
      <w:r>
        <w:rPr/>
        <w:t xml:space="preserve"> при питании от сети переменного тока через выпрямительные устройства и наибольшем рабочем давлении сжатого воздуха в резервуарах выключателя. Напряжение на электромагниты должно подаваться толчком.</w:t>
      </w:r>
    </w:p>
    <w:p>
      <w:pPr>
        <w:pStyle w:val="Normal"/>
        <w:ind w:firstLine="283"/>
        <w:jc w:val="both"/>
        <w:rPr>
          <w:b/>
          <w:b/>
          <w:bCs/>
        </w:rPr>
      </w:pPr>
      <w:r>
        <w:rPr>
          <w:b/>
          <w:bCs/>
        </w:rPr>
        <w:t>6. Испытание выключателя многократным включением и отключением.</w:t>
      </w:r>
    </w:p>
    <w:p>
      <w:pPr>
        <w:pStyle w:val="Normal"/>
        <w:ind w:firstLine="283"/>
        <w:jc w:val="both"/>
        <w:rPr/>
      </w:pPr>
      <w:r>
        <w:rPr/>
        <w:t>Количество операций и сложных циклов, выполняемых каждым выключателем, устанавливается согласно табл. 1.8.20.</w:t>
      </w:r>
    </w:p>
    <w:p>
      <w:pPr>
        <w:pStyle w:val="Normal"/>
        <w:ind w:firstLine="283"/>
        <w:jc w:val="both"/>
        <w:rPr>
          <w:b/>
          <w:b/>
          <w:bCs/>
        </w:rPr>
      </w:pPr>
      <w:r>
        <w:rPr>
          <w:b/>
          <w:bCs/>
        </w:rPr>
        <w:t>7. Испытание конденсаторов делителей напряжения воздушных выключателей.</w:t>
      </w:r>
    </w:p>
    <w:p>
      <w:pPr>
        <w:pStyle w:val="Normal"/>
        <w:ind w:firstLine="283"/>
        <w:jc w:val="both"/>
        <w:rPr/>
      </w:pPr>
      <w:r>
        <w:rPr/>
        <w:t>Производится в соответствии с 1.8.30.</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20</w:t>
      </w:r>
    </w:p>
    <w:p>
      <w:pPr>
        <w:pStyle w:val="Normal"/>
        <w:spacing w:before="0" w:after="120"/>
        <w:jc w:val="center"/>
        <w:rPr/>
      </w:pPr>
      <w:r>
        <w:rPr>
          <w:b/>
          <w:bCs/>
          <w:i/>
          <w:iCs/>
        </w:rPr>
        <w:t>Условия</w:t>
      </w:r>
      <w:r>
        <w:rPr>
          <w:b/>
          <w:bCs/>
        </w:rPr>
        <w:t xml:space="preserve"> </w:t>
      </w:r>
      <w:r>
        <w:rPr>
          <w:b/>
          <w:bCs/>
          <w:i/>
          <w:iCs/>
        </w:rPr>
        <w:t>и</w:t>
      </w:r>
      <w:r>
        <w:rPr>
          <w:b/>
          <w:bCs/>
        </w:rPr>
        <w:t xml:space="preserve"> </w:t>
      </w:r>
      <w:r>
        <w:rPr>
          <w:b/>
          <w:bCs/>
          <w:i/>
          <w:iCs/>
        </w:rPr>
        <w:t>число</w:t>
      </w:r>
      <w:r>
        <w:rPr>
          <w:b/>
          <w:bCs/>
        </w:rPr>
        <w:t xml:space="preserve"> </w:t>
      </w:r>
      <w:r>
        <w:rPr>
          <w:b/>
          <w:bCs/>
          <w:i/>
          <w:iCs/>
        </w:rPr>
        <w:t>опробований</w:t>
      </w:r>
      <w:r>
        <w:rPr>
          <w:b/>
          <w:bCs/>
        </w:rPr>
        <w:t xml:space="preserve"> </w:t>
      </w:r>
      <w:r>
        <w:rPr>
          <w:b/>
          <w:bCs/>
          <w:i/>
          <w:iCs/>
        </w:rPr>
        <w:t>выключателей</w:t>
      </w:r>
      <w:r>
        <w:rPr>
          <w:b/>
          <w:bCs/>
        </w:rPr>
        <w:t xml:space="preserve"> </w:t>
      </w:r>
      <w:r>
        <w:rPr>
          <w:b/>
          <w:bCs/>
          <w:i/>
          <w:iCs/>
        </w:rPr>
        <w:t>при</w:t>
      </w:r>
      <w:r>
        <w:rPr>
          <w:b/>
          <w:bCs/>
        </w:rPr>
        <w:t xml:space="preserve"> </w:t>
      </w:r>
      <w:r>
        <w:rPr>
          <w:b/>
          <w:bCs/>
          <w:i/>
          <w:iCs/>
        </w:rPr>
        <w:t>наладке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182"/>
        <w:gridCol w:w="2673"/>
        <w:gridCol w:w="2543"/>
        <w:gridCol w:w="1957"/>
      </w:tblGrid>
      <w:tr>
        <w:trPr>
          <w:tblHeader w:val="true"/>
        </w:trPr>
        <w:tc>
          <w:tcPr>
            <w:tcW w:w="218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Операция или цикл</w:t>
            </w:r>
          </w:p>
        </w:tc>
        <w:tc>
          <w:tcPr>
            <w:tcW w:w="267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Давление при опробовании</w:t>
            </w:r>
          </w:p>
        </w:tc>
        <w:tc>
          <w:tcPr>
            <w:tcW w:w="254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Напряжения на выводах</w:t>
            </w:r>
          </w:p>
        </w:tc>
        <w:tc>
          <w:tcPr>
            <w:tcW w:w="1957"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Число операций и циклов</w:t>
            </w:r>
          </w:p>
        </w:tc>
      </w:tr>
      <w:tr>
        <w:trPr/>
        <w:tc>
          <w:tcPr>
            <w:tcW w:w="2182" w:type="dxa"/>
            <w:tcBorders>
              <w:left w:val="single" w:sz="8" w:space="0" w:color="000000"/>
            </w:tcBorders>
            <w:shd w:fill="auto" w:val="clear"/>
          </w:tcPr>
          <w:p>
            <w:pPr>
              <w:pStyle w:val="Normal"/>
              <w:jc w:val="both"/>
              <w:rPr/>
            </w:pPr>
            <w:r>
              <w:rPr/>
              <w:t>1. Включение</w:t>
            </w:r>
          </w:p>
        </w:tc>
        <w:tc>
          <w:tcPr>
            <w:tcW w:w="2673" w:type="dxa"/>
            <w:tcBorders>
              <w:left w:val="single" w:sz="8" w:space="0" w:color="000000"/>
            </w:tcBorders>
            <w:shd w:fill="auto" w:val="clear"/>
            <w:tcMar>
              <w:left w:w="0" w:type="dxa"/>
              <w:right w:w="0" w:type="dxa"/>
            </w:tcMar>
          </w:tcPr>
          <w:p>
            <w:pPr>
              <w:pStyle w:val="Normal"/>
              <w:jc w:val="center"/>
              <w:rPr/>
            </w:pPr>
            <w:r>
              <w:rPr/>
              <w:t>Наименьшее срабатывание</w:t>
            </w:r>
          </w:p>
        </w:tc>
        <w:tc>
          <w:tcPr>
            <w:tcW w:w="2543" w:type="dxa"/>
            <w:tcBorders>
              <w:left w:val="single" w:sz="8" w:space="0" w:color="000000"/>
            </w:tcBorders>
            <w:shd w:fill="auto" w:val="clear"/>
            <w:tcMar>
              <w:left w:w="0" w:type="dxa"/>
              <w:right w:w="0" w:type="dxa"/>
            </w:tcMar>
          </w:tcPr>
          <w:p>
            <w:pPr>
              <w:pStyle w:val="Normal"/>
              <w:jc w:val="center"/>
              <w:rPr/>
            </w:pPr>
            <w:r>
              <w:rPr/>
              <w:t>Номинальное</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2. Отключение</w:t>
            </w:r>
          </w:p>
        </w:tc>
        <w:tc>
          <w:tcPr>
            <w:tcW w:w="2673" w:type="dxa"/>
            <w:tcBorders>
              <w:left w:val="single" w:sz="8" w:space="0" w:color="000000"/>
            </w:tcBorders>
            <w:shd w:fill="auto" w:val="clear"/>
            <w:tcMar>
              <w:left w:w="0" w:type="dxa"/>
              <w:right w:w="0" w:type="dxa"/>
            </w:tcMar>
          </w:tcPr>
          <w:p>
            <w:pPr>
              <w:pStyle w:val="Normal"/>
              <w:jc w:val="center"/>
              <w:rPr/>
            </w:pPr>
            <w:r>
              <w:rPr/>
              <w:t>Тоже</w:t>
            </w:r>
          </w:p>
        </w:tc>
        <w:tc>
          <w:tcPr>
            <w:tcW w:w="2543" w:type="dxa"/>
            <w:tcBorders>
              <w:left w:val="single" w:sz="8" w:space="0" w:color="000000"/>
            </w:tcBorders>
            <w:shd w:fill="auto" w:val="clear"/>
            <w:tcMar>
              <w:left w:w="0" w:type="dxa"/>
              <w:right w:w="0" w:type="dxa"/>
            </w:tcMar>
          </w:tcPr>
          <w:p>
            <w:pPr>
              <w:pStyle w:val="Normal"/>
              <w:jc w:val="center"/>
              <w:rPr/>
            </w:pPr>
            <w:r>
              <w:rPr/>
              <w:t>То же</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3. ВО</w:t>
            </w:r>
          </w:p>
        </w:tc>
        <w:tc>
          <w:tcPr>
            <w:tcW w:w="2673" w:type="dxa"/>
            <w:tcBorders>
              <w:left w:val="single" w:sz="8" w:space="0" w:color="000000"/>
            </w:tcBorders>
            <w:shd w:fill="auto" w:val="clear"/>
            <w:tcMar>
              <w:left w:w="0" w:type="dxa"/>
              <w:right w:w="0" w:type="dxa"/>
            </w:tcMar>
          </w:tcPr>
          <w:p>
            <w:pPr>
              <w:pStyle w:val="Normal"/>
              <w:jc w:val="center"/>
              <w:rPr/>
            </w:pPr>
            <w:r>
              <w:rPr/>
              <w:t>«</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4. Включение</w:t>
            </w:r>
          </w:p>
        </w:tc>
        <w:tc>
          <w:tcPr>
            <w:tcW w:w="2673" w:type="dxa"/>
            <w:tcBorders>
              <w:left w:val="single" w:sz="8" w:space="0" w:color="000000"/>
            </w:tcBorders>
            <w:shd w:fill="auto" w:val="clear"/>
            <w:tcMar>
              <w:left w:w="0" w:type="dxa"/>
              <w:right w:w="0" w:type="dxa"/>
            </w:tcMar>
          </w:tcPr>
          <w:p>
            <w:pPr>
              <w:pStyle w:val="Normal"/>
              <w:jc w:val="center"/>
              <w:rPr/>
            </w:pPr>
            <w:r>
              <w:rPr/>
              <w:t>Наименьшее рабочее</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5. Отключение</w:t>
            </w:r>
          </w:p>
        </w:tc>
        <w:tc>
          <w:tcPr>
            <w:tcW w:w="2673" w:type="dxa"/>
            <w:tcBorders>
              <w:left w:val="single" w:sz="8" w:space="0" w:color="000000"/>
            </w:tcBorders>
            <w:shd w:fill="auto" w:val="clear"/>
            <w:tcMar>
              <w:left w:w="0" w:type="dxa"/>
              <w:right w:w="0" w:type="dxa"/>
            </w:tcMar>
          </w:tcPr>
          <w:p>
            <w:pPr>
              <w:pStyle w:val="Normal"/>
              <w:jc w:val="center"/>
              <w:rPr/>
            </w:pPr>
            <w:r>
              <w:rPr/>
              <w:t>Тоже</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6. ВО</w:t>
            </w:r>
          </w:p>
        </w:tc>
        <w:tc>
          <w:tcPr>
            <w:tcW w:w="2673" w:type="dxa"/>
            <w:tcBorders>
              <w:left w:val="single" w:sz="8" w:space="0" w:color="000000"/>
            </w:tcBorders>
            <w:shd w:fill="auto" w:val="clear"/>
            <w:tcMar>
              <w:left w:w="0" w:type="dxa"/>
              <w:right w:w="0" w:type="dxa"/>
            </w:tcMar>
          </w:tcPr>
          <w:p>
            <w:pPr>
              <w:pStyle w:val="Normal"/>
              <w:jc w:val="center"/>
              <w:rPr/>
            </w:pPr>
            <w:r>
              <w:rPr/>
              <w:t>«</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7. Включение</w:t>
            </w:r>
          </w:p>
        </w:tc>
        <w:tc>
          <w:tcPr>
            <w:tcW w:w="2673" w:type="dxa"/>
            <w:tcBorders>
              <w:left w:val="single" w:sz="8" w:space="0" w:color="000000"/>
            </w:tcBorders>
            <w:shd w:fill="auto" w:val="clear"/>
            <w:tcMar>
              <w:left w:w="0" w:type="dxa"/>
              <w:right w:w="0" w:type="dxa"/>
            </w:tcMar>
          </w:tcPr>
          <w:p>
            <w:pPr>
              <w:pStyle w:val="Normal"/>
              <w:jc w:val="center"/>
              <w:rPr/>
            </w:pPr>
            <w:r>
              <w:rPr/>
              <w:t>Номинальное</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8. Отключение</w:t>
            </w:r>
          </w:p>
        </w:tc>
        <w:tc>
          <w:tcPr>
            <w:tcW w:w="2673" w:type="dxa"/>
            <w:tcBorders>
              <w:left w:val="single" w:sz="8" w:space="0" w:color="000000"/>
            </w:tcBorders>
            <w:shd w:fill="auto" w:val="clear"/>
            <w:tcMar>
              <w:left w:w="0" w:type="dxa"/>
              <w:right w:w="0" w:type="dxa"/>
            </w:tcMar>
          </w:tcPr>
          <w:p>
            <w:pPr>
              <w:pStyle w:val="Normal"/>
              <w:jc w:val="center"/>
              <w:rPr/>
            </w:pPr>
            <w:r>
              <w:rPr/>
              <w:t>Тоже</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w:t>
            </w:r>
          </w:p>
        </w:tc>
      </w:tr>
      <w:tr>
        <w:trPr/>
        <w:tc>
          <w:tcPr>
            <w:tcW w:w="2182" w:type="dxa"/>
            <w:tcBorders>
              <w:left w:val="single" w:sz="8" w:space="0" w:color="000000"/>
            </w:tcBorders>
            <w:shd w:fill="auto" w:val="clear"/>
          </w:tcPr>
          <w:p>
            <w:pPr>
              <w:pStyle w:val="Normal"/>
              <w:jc w:val="both"/>
              <w:rPr/>
            </w:pPr>
            <w:r>
              <w:rPr/>
              <w:t>9. ОВ</w:t>
            </w:r>
          </w:p>
        </w:tc>
        <w:tc>
          <w:tcPr>
            <w:tcW w:w="2673" w:type="dxa"/>
            <w:tcBorders>
              <w:left w:val="single" w:sz="8" w:space="0" w:color="000000"/>
            </w:tcBorders>
            <w:shd w:fill="auto" w:val="clear"/>
            <w:tcMar>
              <w:left w:w="0" w:type="dxa"/>
              <w:right w:w="0" w:type="dxa"/>
            </w:tcMar>
          </w:tcPr>
          <w:p>
            <w:pPr>
              <w:pStyle w:val="Normal"/>
              <w:jc w:val="center"/>
              <w:rPr/>
            </w:pPr>
            <w:r>
              <w:rPr/>
              <w:t>«</w:t>
            </w:r>
          </w:p>
        </w:tc>
        <w:tc>
          <w:tcPr>
            <w:tcW w:w="2543" w:type="dxa"/>
            <w:tcBorders>
              <w:left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10. Включение</w:t>
            </w:r>
          </w:p>
        </w:tc>
        <w:tc>
          <w:tcPr>
            <w:tcW w:w="2673" w:type="dxa"/>
            <w:tcBorders>
              <w:left w:val="single" w:sz="8" w:space="0" w:color="000000"/>
            </w:tcBorders>
            <w:shd w:fill="auto" w:val="clear"/>
            <w:tcMar>
              <w:left w:w="0" w:type="dxa"/>
              <w:right w:w="0" w:type="dxa"/>
            </w:tcMar>
          </w:tcPr>
          <w:p>
            <w:pPr>
              <w:pStyle w:val="Normal"/>
              <w:jc w:val="center"/>
              <w:rPr/>
            </w:pPr>
            <w:r>
              <w:rPr/>
              <w:t>Наибольшее рабочее</w:t>
            </w:r>
          </w:p>
        </w:tc>
        <w:tc>
          <w:tcPr>
            <w:tcW w:w="2543" w:type="dxa"/>
            <w:tcBorders>
              <w:left w:val="single" w:sz="8" w:space="0" w:color="000000"/>
            </w:tcBorders>
            <w:shd w:fill="auto" w:val="clear"/>
            <w:tcMar>
              <w:left w:w="0" w:type="dxa"/>
              <w:right w:w="0" w:type="dxa"/>
            </w:tcMar>
          </w:tcPr>
          <w:p>
            <w:pPr>
              <w:pStyle w:val="Normal"/>
              <w:jc w:val="center"/>
              <w:rPr/>
            </w:pPr>
            <w:r>
              <w:rPr/>
              <w:t>0,7 номинального</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11. Отключение</w:t>
            </w:r>
          </w:p>
        </w:tc>
        <w:tc>
          <w:tcPr>
            <w:tcW w:w="2673" w:type="dxa"/>
            <w:tcBorders>
              <w:left w:val="single" w:sz="8" w:space="0" w:color="000000"/>
            </w:tcBorders>
            <w:shd w:fill="auto" w:val="clear"/>
            <w:tcMar>
              <w:left w:w="0" w:type="dxa"/>
              <w:right w:w="0" w:type="dxa"/>
            </w:tcMar>
          </w:tcPr>
          <w:p>
            <w:pPr>
              <w:pStyle w:val="Normal"/>
              <w:jc w:val="center"/>
              <w:rPr/>
            </w:pPr>
            <w:r>
              <w:rPr/>
              <w:t>Тоже</w:t>
            </w:r>
          </w:p>
        </w:tc>
        <w:tc>
          <w:tcPr>
            <w:tcW w:w="2543" w:type="dxa"/>
            <w:tcBorders>
              <w:left w:val="single" w:sz="8" w:space="0" w:color="000000"/>
            </w:tcBorders>
            <w:shd w:fill="auto" w:val="clear"/>
            <w:tcMar>
              <w:left w:w="0" w:type="dxa"/>
              <w:right w:w="0" w:type="dxa"/>
            </w:tcMar>
          </w:tcPr>
          <w:p>
            <w:pPr>
              <w:pStyle w:val="Normal"/>
              <w:jc w:val="center"/>
              <w:rPr/>
            </w:pPr>
            <w:r>
              <w:rPr/>
              <w:t>То же</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12. ВО</w:t>
            </w:r>
          </w:p>
        </w:tc>
        <w:tc>
          <w:tcPr>
            <w:tcW w:w="2673" w:type="dxa"/>
            <w:tcBorders>
              <w:left w:val="single" w:sz="8" w:space="0" w:color="000000"/>
            </w:tcBorders>
            <w:shd w:fill="auto" w:val="clear"/>
            <w:tcMar>
              <w:left w:w="0" w:type="dxa"/>
              <w:right w:w="0" w:type="dxa"/>
            </w:tcMar>
          </w:tcPr>
          <w:p>
            <w:pPr>
              <w:pStyle w:val="Normal"/>
              <w:jc w:val="center"/>
              <w:rPr/>
            </w:pPr>
            <w:r>
              <w:rPr/>
              <w:t>«</w:t>
            </w:r>
          </w:p>
        </w:tc>
        <w:tc>
          <w:tcPr>
            <w:tcW w:w="2543" w:type="dxa"/>
            <w:tcBorders>
              <w:left w:val="single" w:sz="8" w:space="0" w:color="000000"/>
            </w:tcBorders>
            <w:shd w:fill="auto" w:val="clear"/>
            <w:tcMar>
              <w:left w:w="0" w:type="dxa"/>
              <w:right w:w="0" w:type="dxa"/>
            </w:tcMar>
          </w:tcPr>
          <w:p>
            <w:pPr>
              <w:pStyle w:val="Normal"/>
              <w:jc w:val="center"/>
              <w:rPr/>
            </w:pPr>
            <w:r>
              <w:rPr/>
              <w:t>Номинальное</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tcBorders>
            <w:shd w:fill="auto" w:val="clear"/>
          </w:tcPr>
          <w:p>
            <w:pPr>
              <w:pStyle w:val="Normal"/>
              <w:jc w:val="both"/>
              <w:rPr/>
            </w:pPr>
            <w:r>
              <w:rPr/>
              <w:t>13. ОВО</w:t>
            </w:r>
          </w:p>
        </w:tc>
        <w:tc>
          <w:tcPr>
            <w:tcW w:w="2673" w:type="dxa"/>
            <w:tcBorders>
              <w:left w:val="single" w:sz="8" w:space="0" w:color="000000"/>
            </w:tcBorders>
            <w:shd w:fill="auto" w:val="clear"/>
            <w:tcMar>
              <w:left w:w="0" w:type="dxa"/>
              <w:right w:w="0" w:type="dxa"/>
            </w:tcMar>
          </w:tcPr>
          <w:p>
            <w:pPr>
              <w:pStyle w:val="Normal"/>
              <w:jc w:val="center"/>
              <w:rPr/>
            </w:pPr>
            <w:r>
              <w:rPr/>
              <w:t>«</w:t>
            </w:r>
          </w:p>
        </w:tc>
        <w:tc>
          <w:tcPr>
            <w:tcW w:w="2543" w:type="dxa"/>
            <w:tcBorders>
              <w:left w:val="single" w:sz="8" w:space="0" w:color="000000"/>
            </w:tcBorders>
            <w:shd w:fill="auto" w:val="clear"/>
            <w:tcMar>
              <w:left w:w="0" w:type="dxa"/>
              <w:right w:w="0" w:type="dxa"/>
            </w:tcMar>
          </w:tcPr>
          <w:p>
            <w:pPr>
              <w:pStyle w:val="Normal"/>
              <w:jc w:val="center"/>
              <w:rPr/>
            </w:pPr>
            <w:r>
              <w:rPr/>
              <w:t>То же</w:t>
            </w:r>
          </w:p>
        </w:tc>
        <w:tc>
          <w:tcPr>
            <w:tcW w:w="195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2182" w:type="dxa"/>
            <w:tcBorders>
              <w:left w:val="single" w:sz="8" w:space="0" w:color="000000"/>
              <w:bottom w:val="single" w:sz="8" w:space="0" w:color="000000"/>
              <w:insideH w:val="single" w:sz="8" w:space="0" w:color="000000"/>
            </w:tcBorders>
            <w:shd w:fill="auto" w:val="clear"/>
          </w:tcPr>
          <w:p>
            <w:pPr>
              <w:pStyle w:val="Normal"/>
              <w:jc w:val="both"/>
              <w:rPr/>
            </w:pPr>
            <w:r>
              <w:rPr/>
              <w:t>14. ОВО</w:t>
            </w:r>
          </w:p>
        </w:tc>
        <w:tc>
          <w:tcPr>
            <w:tcW w:w="267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Наименьшее для АПВ</w:t>
            </w:r>
          </w:p>
        </w:tc>
        <w:tc>
          <w:tcPr>
            <w:tcW w:w="254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195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93"/>
              <w:jc w:val="both"/>
              <w:rPr/>
            </w:pPr>
            <w:r>
              <w:rPr>
                <w:i/>
                <w:iCs/>
                <w:spacing w:val="40"/>
              </w:rPr>
              <w:t>Примечание</w:t>
            </w:r>
            <w:r>
              <w:rPr/>
              <w:t>. При выполнении операций и сложных циклов (пп. 4 - 9,12 - 14) должны быть сняты зачетные осциллограммы.</w:t>
            </w:r>
          </w:p>
        </w:tc>
      </w:tr>
    </w:tbl>
    <w:p>
      <w:pPr>
        <w:pStyle w:val="Heading3"/>
        <w:rPr/>
      </w:pPr>
      <w:r>
        <w:rPr/>
        <w:t>1.8.21. Элегазовые выключатели</w:t>
      </w:r>
    </w:p>
    <w:p>
      <w:pPr>
        <w:pStyle w:val="Normal"/>
        <w:ind w:firstLine="283"/>
        <w:jc w:val="both"/>
        <w:rPr>
          <w:b/>
          <w:b/>
          <w:bCs/>
        </w:rPr>
      </w:pPr>
      <w:r>
        <w:rPr>
          <w:b/>
          <w:bCs/>
        </w:rPr>
        <w:t>1. Измерение сопротивления изоляции вторичных цепей и обмоток электромагнитов управления.</w:t>
      </w:r>
    </w:p>
    <w:p>
      <w:pPr>
        <w:pStyle w:val="Normal"/>
        <w:ind w:firstLine="283"/>
        <w:jc w:val="both"/>
        <w:rPr/>
      </w:pPr>
      <w:r>
        <w:rPr/>
        <w:t>Измерение должно выполняться согласно указаниям раздела 1.8.37.</w:t>
      </w:r>
    </w:p>
    <w:p>
      <w:pPr>
        <w:pStyle w:val="Normal"/>
        <w:ind w:firstLine="283"/>
        <w:jc w:val="both"/>
        <w:rPr>
          <w:b/>
          <w:b/>
          <w:bCs/>
        </w:rPr>
      </w:pPr>
      <w:r>
        <w:rPr>
          <w:b/>
          <w:bCs/>
        </w:rPr>
        <w:t>2. Испытание изоляции выключателя.</w:t>
      </w:r>
    </w:p>
    <w:p>
      <w:pPr>
        <w:pStyle w:val="Normal"/>
        <w:ind w:firstLine="283"/>
        <w:jc w:val="both"/>
        <w:rPr/>
      </w:pPr>
      <w:r>
        <w:rPr/>
        <w:t>2.1. Испытание изоляции должно выполняться напряжением промышленной частоты согласно табл. 1.8.16.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pPr>
        <w:pStyle w:val="Normal"/>
        <w:ind w:firstLine="283"/>
        <w:jc w:val="both"/>
        <w:rPr/>
      </w:pPr>
      <w:r>
        <w:rPr/>
        <w:t>2.2. Испытание изоляции вторичных цепей и обмоток электромагнитов управления должно выполняться в соответствии с указаниями раздела 1.8.37.</w:t>
      </w:r>
    </w:p>
    <w:p>
      <w:pPr>
        <w:pStyle w:val="Normal"/>
        <w:ind w:firstLine="283"/>
        <w:jc w:val="both"/>
        <w:rPr>
          <w:b/>
          <w:b/>
          <w:bCs/>
        </w:rPr>
      </w:pPr>
      <w:r>
        <w:rPr>
          <w:b/>
          <w:bCs/>
        </w:rPr>
        <w:t>3. Измерение сопротивления постоянному току.</w:t>
      </w:r>
    </w:p>
    <w:p>
      <w:pPr>
        <w:pStyle w:val="Normal"/>
        <w:ind w:firstLine="283"/>
        <w:jc w:val="both"/>
        <w:rPr/>
      </w:pPr>
      <w:r>
        <w:rPr/>
        <w:t>3.1. Измерение сопротивления главной цепи. 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w:t>
      </w:r>
    </w:p>
    <w:p>
      <w:pPr>
        <w:pStyle w:val="Normal"/>
        <w:ind w:firstLine="283"/>
        <w:jc w:val="both"/>
        <w:rPr/>
      </w:pPr>
      <w:r>
        <w:rPr/>
        <w:t>Измеренные значения должны соответствовать нормам завода-изготовителя.</w:t>
      </w:r>
    </w:p>
    <w:p>
      <w:pPr>
        <w:pStyle w:val="Normal"/>
        <w:ind w:firstLine="283"/>
        <w:jc w:val="both"/>
        <w:rPr/>
      </w:pPr>
      <w:r>
        <w:rPr/>
        <w:t>Измерения не производятся у выключателей, заполненных элегазом на заводе-изготовителе и не подлежащих вскрытию в течение всего срока службы.</w:t>
      </w:r>
    </w:p>
    <w:p>
      <w:pPr>
        <w:pStyle w:val="Normal"/>
        <w:ind w:firstLine="283"/>
        <w:jc w:val="both"/>
        <w:rPr/>
      </w:pPr>
      <w:r>
        <w:rPr/>
        <w:t>3.2. 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pPr>
        <w:pStyle w:val="Normal"/>
        <w:ind w:firstLine="283"/>
        <w:jc w:val="both"/>
        <w:rPr>
          <w:b/>
          <w:b/>
          <w:bCs/>
        </w:rPr>
      </w:pPr>
      <w:r>
        <w:rPr>
          <w:b/>
          <w:bCs/>
        </w:rPr>
        <w:t>4. Проверка минимального напряжения срабатывания выключателей.</w:t>
      </w:r>
    </w:p>
    <w:p>
      <w:pPr>
        <w:pStyle w:val="Normal"/>
        <w:ind w:firstLine="283"/>
        <w:jc w:val="both"/>
        <w:rPr/>
      </w:pPr>
      <w:r>
        <w:rPr/>
        <w:t>Выключатели должны срабатывать при напряжении не более 0,85·</w:t>
      </w:r>
      <w:r>
        <w:rPr>
          <w:i/>
          <w:iCs/>
        </w:rPr>
        <w:t>U</w:t>
      </w:r>
      <w:r>
        <w:rPr>
          <w:vertAlign w:val="subscript"/>
        </w:rPr>
        <w:t>ном.</w:t>
      </w:r>
      <w:r>
        <w:rPr/>
        <w:t xml:space="preserve"> при питании привода от источника постоянного тока; 0,7·</w:t>
      </w:r>
      <w:r>
        <w:rPr>
          <w:i/>
          <w:iCs/>
        </w:rPr>
        <w:t>U</w:t>
      </w:r>
      <w:r>
        <w:rPr>
          <w:vertAlign w:val="subscript"/>
        </w:rPr>
        <w:t>ном.</w:t>
      </w:r>
      <w:r>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pPr>
        <w:pStyle w:val="Normal"/>
        <w:ind w:firstLine="283"/>
        <w:jc w:val="both"/>
        <w:rPr>
          <w:b/>
          <w:b/>
          <w:bCs/>
        </w:rPr>
      </w:pPr>
      <w:r>
        <w:rPr>
          <w:b/>
          <w:bCs/>
        </w:rPr>
        <w:t>5. Испытание конденсаторов делителей напряжения.</w:t>
      </w:r>
    </w:p>
    <w:p>
      <w:pPr>
        <w:pStyle w:val="Normal"/>
        <w:ind w:firstLine="283"/>
        <w:jc w:val="both"/>
        <w:rPr/>
      </w:pPr>
      <w:r>
        <w:rPr/>
        <w:t>Испытания должны выполняться согласно указаниям 1.8.30.</w:t>
      </w:r>
    </w:p>
    <w:p>
      <w:pPr>
        <w:pStyle w:val="Normal"/>
        <w:ind w:firstLine="283"/>
        <w:jc w:val="both"/>
        <w:rPr/>
      </w:pPr>
      <w:r>
        <w:rPr/>
        <w:t>Значение измеренной ёмкости должно соответствовать норме завода-изготовителя.</w:t>
      </w:r>
    </w:p>
    <w:p>
      <w:pPr>
        <w:pStyle w:val="Normal"/>
        <w:ind w:firstLine="283"/>
        <w:jc w:val="both"/>
        <w:rPr>
          <w:b/>
          <w:b/>
          <w:bCs/>
        </w:rPr>
      </w:pPr>
      <w:r>
        <w:rPr>
          <w:b/>
          <w:bCs/>
        </w:rPr>
        <w:t>6. Проверка характеристик выключателя.</w:t>
      </w:r>
    </w:p>
    <w:p>
      <w:pPr>
        <w:pStyle w:val="Normal"/>
        <w:ind w:firstLine="283"/>
        <w:jc w:val="both"/>
        <w:rPr/>
      </w:pPr>
      <w:r>
        <w:rP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p>
    <w:p>
      <w:pPr>
        <w:pStyle w:val="Normal"/>
        <w:ind w:firstLine="283"/>
        <w:jc w:val="both"/>
        <w:rPr>
          <w:b/>
          <w:b/>
          <w:bCs/>
        </w:rPr>
      </w:pPr>
      <w:r>
        <w:rPr>
          <w:b/>
          <w:bCs/>
        </w:rPr>
        <w:t>7. Испытание выключателей многократными опробованиями.</w:t>
      </w:r>
    </w:p>
    <w:p>
      <w:pPr>
        <w:pStyle w:val="Normal"/>
        <w:ind w:firstLine="283"/>
        <w:jc w:val="both"/>
        <w:rPr/>
      </w:pPr>
      <w:r>
        <w:rPr/>
        <w:t>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таблице 1.8.20. Производятся при номинальном напряжении на выводах электромагнитов привода или при номинальном давлении сжатого воздуха привода.</w:t>
      </w:r>
    </w:p>
    <w:p>
      <w:pPr>
        <w:pStyle w:val="Normal"/>
        <w:ind w:firstLine="283"/>
        <w:jc w:val="both"/>
        <w:rPr/>
      </w:pPr>
      <w:r>
        <w:rPr/>
        <w:t>Число операций и сложных циклов, подлежащих выполнению выключателем, должно составлять:</w:t>
      </w:r>
    </w:p>
    <w:p>
      <w:pPr>
        <w:pStyle w:val="Normal"/>
        <w:ind w:firstLine="283"/>
        <w:jc w:val="both"/>
        <w:rPr/>
      </w:pPr>
      <w:r>
        <w:rPr/>
        <w:t>- 3 - 5 операций включения и отключения;</w:t>
      </w:r>
    </w:p>
    <w:p>
      <w:pPr>
        <w:pStyle w:val="Normal"/>
        <w:ind w:firstLine="283"/>
        <w:jc w:val="both"/>
        <w:rPr/>
      </w:pPr>
      <w:r>
        <w:rPr/>
        <w:t>- 2 - 3 цикла каждого вида.</w:t>
      </w:r>
    </w:p>
    <w:p>
      <w:pPr>
        <w:pStyle w:val="Normal"/>
        <w:ind w:firstLine="283"/>
        <w:jc w:val="both"/>
        <w:rPr>
          <w:b/>
          <w:b/>
          <w:bCs/>
        </w:rPr>
      </w:pPr>
      <w:r>
        <w:rPr>
          <w:b/>
          <w:bCs/>
        </w:rPr>
        <w:t>8. Проверка герметичности.</w:t>
      </w:r>
    </w:p>
    <w:p>
      <w:pPr>
        <w:pStyle w:val="Normal"/>
        <w:ind w:firstLine="283"/>
        <w:jc w:val="both"/>
        <w:rPr/>
      </w:pPr>
      <w:r>
        <w:rPr/>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pPr>
        <w:pStyle w:val="Normal"/>
        <w:ind w:firstLine="283"/>
        <w:jc w:val="both"/>
        <w:rPr/>
      </w:pPr>
      <w:r>
        <w:rPr/>
        <w:t>Результат испытания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pPr>
        <w:pStyle w:val="Normal"/>
        <w:ind w:firstLine="283"/>
        <w:jc w:val="both"/>
        <w:rPr>
          <w:b/>
          <w:b/>
          <w:bCs/>
        </w:rPr>
      </w:pPr>
      <w:r>
        <w:rPr>
          <w:b/>
          <w:bCs/>
        </w:rPr>
        <w:t>9. Проверка содержания влаги в элегазе.</w:t>
      </w:r>
    </w:p>
    <w:p>
      <w:pPr>
        <w:pStyle w:val="Normal"/>
        <w:ind w:firstLine="283"/>
        <w:jc w:val="both"/>
        <w:rPr/>
      </w:pPr>
      <w:r>
        <w:rP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p>
    <w:p>
      <w:pPr>
        <w:pStyle w:val="Normal"/>
        <w:ind w:firstLine="283"/>
        <w:jc w:val="both"/>
        <w:rPr>
          <w:b/>
          <w:b/>
          <w:bCs/>
        </w:rPr>
      </w:pPr>
      <w:r>
        <w:rPr>
          <w:b/>
          <w:bCs/>
        </w:rPr>
        <w:t>10. Испытание встроенных трансформаторов тока.</w:t>
      </w:r>
    </w:p>
    <w:p>
      <w:pPr>
        <w:pStyle w:val="Normal"/>
        <w:ind w:firstLine="283"/>
        <w:jc w:val="both"/>
        <w:rPr/>
      </w:pPr>
      <w:r>
        <w:rPr/>
        <w:t>Испытания должны выполняться в соответствии с указаниями 1.8.17.</w:t>
      </w:r>
    </w:p>
    <w:p>
      <w:pPr>
        <w:pStyle w:val="Heading3"/>
        <w:rPr/>
      </w:pPr>
      <w:r>
        <w:rPr/>
        <w:t>1.8.22. Вакуумные выключатели</w:t>
      </w:r>
    </w:p>
    <w:p>
      <w:pPr>
        <w:pStyle w:val="Normal"/>
        <w:ind w:firstLine="283"/>
        <w:jc w:val="both"/>
        <w:rPr>
          <w:b/>
          <w:b/>
          <w:bCs/>
        </w:rPr>
      </w:pPr>
      <w:r>
        <w:rPr>
          <w:b/>
          <w:bCs/>
        </w:rPr>
        <w:t>1. Измерение сопротивления изоляции вторичных цепей и обмоток электромагнитов управления.</w:t>
      </w:r>
    </w:p>
    <w:p>
      <w:pPr>
        <w:pStyle w:val="Normal"/>
        <w:ind w:firstLine="283"/>
        <w:jc w:val="both"/>
        <w:rPr/>
      </w:pPr>
      <w:r>
        <w:rPr/>
        <w:t>Измерение производится согласно указаниям раздела 1.8.37.</w:t>
      </w:r>
    </w:p>
    <w:p>
      <w:pPr>
        <w:pStyle w:val="Normal"/>
        <w:ind w:firstLine="283"/>
        <w:jc w:val="both"/>
        <w:rPr>
          <w:b/>
          <w:b/>
          <w:bCs/>
        </w:rPr>
      </w:pPr>
      <w:r>
        <w:rPr>
          <w:b/>
          <w:bCs/>
        </w:rPr>
        <w:t>2. Испытание изоляции повышенным напряжением частоты 50 Гц.</w:t>
      </w:r>
    </w:p>
    <w:p>
      <w:pPr>
        <w:pStyle w:val="Normal"/>
        <w:ind w:firstLine="283"/>
        <w:jc w:val="both"/>
        <w:rPr>
          <w:b/>
          <w:b/>
          <w:bCs/>
        </w:rPr>
      </w:pPr>
      <w:r>
        <w:rPr>
          <w:b/>
          <w:bCs/>
        </w:rPr>
        <w:t>2.1. Испытание изоляции выключателя.</w:t>
      </w:r>
    </w:p>
    <w:p>
      <w:pPr>
        <w:pStyle w:val="Normal"/>
        <w:ind w:firstLine="283"/>
        <w:jc w:val="both"/>
        <w:rPr/>
      </w:pPr>
      <w:r>
        <w:rPr/>
        <w:t>Значение испытательного напряжения принимается согласно табл. 1.8.16.</w:t>
      </w:r>
    </w:p>
    <w:p>
      <w:pPr>
        <w:pStyle w:val="Normal"/>
        <w:ind w:firstLine="283"/>
        <w:jc w:val="both"/>
        <w:rPr>
          <w:b/>
          <w:b/>
          <w:bCs/>
        </w:rPr>
      </w:pPr>
      <w:r>
        <w:rPr>
          <w:b/>
          <w:bCs/>
        </w:rPr>
        <w:t>2.2. Испытание изоляции вторичных цепей и обмоток электромагнитов управления.</w:t>
      </w:r>
    </w:p>
    <w:p>
      <w:pPr>
        <w:pStyle w:val="Normal"/>
        <w:ind w:firstLine="283"/>
        <w:jc w:val="both"/>
        <w:rPr/>
      </w:pPr>
      <w:r>
        <w:rPr/>
        <w:t>Испытания производятся согласно указаниям раздела 1.8.37.</w:t>
      </w:r>
    </w:p>
    <w:p>
      <w:pPr>
        <w:pStyle w:val="Normal"/>
        <w:ind w:firstLine="283"/>
        <w:jc w:val="both"/>
        <w:rPr>
          <w:b/>
          <w:b/>
          <w:bCs/>
        </w:rPr>
      </w:pPr>
      <w:r>
        <w:rPr>
          <w:b/>
          <w:bCs/>
        </w:rPr>
        <w:t>3. Проверка минимального напряжения срабатывания выключателя.</w:t>
      </w:r>
    </w:p>
    <w:p>
      <w:pPr>
        <w:pStyle w:val="Normal"/>
        <w:ind w:firstLine="283"/>
        <w:jc w:val="both"/>
        <w:rPr/>
      </w:pPr>
      <w:r>
        <w:rPr/>
        <w:t>Электромагниты управления вакуумных выключателей должны срабатывать:</w:t>
      </w:r>
    </w:p>
    <w:p>
      <w:pPr>
        <w:pStyle w:val="Normal"/>
        <w:ind w:firstLine="234"/>
        <w:jc w:val="both"/>
        <w:rPr/>
      </w:pPr>
      <w:r>
        <w:rPr/>
        <w:t>- электромагниты включения при напряжении не более 0,85·</w:t>
      </w:r>
      <w:r>
        <w:rPr>
          <w:i/>
          <w:iCs/>
        </w:rPr>
        <w:t>U</w:t>
      </w:r>
      <w:r>
        <w:rPr>
          <w:vertAlign w:val="subscript"/>
        </w:rPr>
        <w:t>ном.</w:t>
      </w:r>
      <w:r>
        <w:rPr/>
        <w:t>;</w:t>
      </w:r>
    </w:p>
    <w:p>
      <w:pPr>
        <w:pStyle w:val="Normal"/>
        <w:ind w:firstLine="234"/>
        <w:jc w:val="both"/>
        <w:rPr/>
      </w:pPr>
      <w:r>
        <w:rPr/>
        <w:t>- электромагниты отключения при напряжении не более 0,7·</w:t>
      </w:r>
      <w:r>
        <w:rPr>
          <w:i/>
          <w:iCs/>
        </w:rPr>
        <w:t>U</w:t>
      </w:r>
      <w:r>
        <w:rPr>
          <w:vertAlign w:val="subscript"/>
        </w:rPr>
        <w:t>ном.</w:t>
      </w:r>
      <w:r>
        <w:rPr/>
        <w:t>.</w:t>
      </w:r>
    </w:p>
    <w:p>
      <w:pPr>
        <w:pStyle w:val="Normal"/>
        <w:ind w:firstLine="283"/>
        <w:jc w:val="both"/>
        <w:rPr>
          <w:b/>
          <w:b/>
          <w:bCs/>
        </w:rPr>
      </w:pPr>
      <w:r>
        <w:rPr>
          <w:b/>
          <w:bCs/>
        </w:rPr>
        <w:t>4. Испытание выключателей многократными опробованиями.</w:t>
      </w:r>
    </w:p>
    <w:p>
      <w:pPr>
        <w:pStyle w:val="Normal"/>
        <w:ind w:firstLine="283"/>
        <w:jc w:val="both"/>
        <w:rPr/>
      </w:pPr>
      <w:r>
        <w:rPr/>
        <w:t>Число операций и сложных циклов, подлежащих выполнению выключателем при номинальном напряжении на выводах электромагнитов, должно составлять:</w:t>
      </w:r>
    </w:p>
    <w:p>
      <w:pPr>
        <w:pStyle w:val="Normal"/>
        <w:ind w:firstLine="283"/>
        <w:jc w:val="both"/>
        <w:rPr/>
      </w:pPr>
      <w:r>
        <w:rPr/>
        <w:t>- 3 - 5 операций включения и отключения;</w:t>
      </w:r>
    </w:p>
    <w:p>
      <w:pPr>
        <w:pStyle w:val="Normal"/>
        <w:ind w:firstLine="283"/>
        <w:jc w:val="both"/>
        <w:rPr/>
      </w:pPr>
      <w:r>
        <w:rPr/>
        <w:t>- 2 - 3 цикла ВО без выдержки времени между операциями.</w:t>
      </w:r>
    </w:p>
    <w:p>
      <w:pPr>
        <w:pStyle w:val="Normal"/>
        <w:ind w:firstLine="283"/>
        <w:jc w:val="both"/>
        <w:rPr>
          <w:b/>
          <w:b/>
          <w:bCs/>
        </w:rPr>
      </w:pPr>
      <w:r>
        <w:rPr>
          <w:b/>
          <w:bCs/>
        </w:rPr>
        <w:t>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w:t>
      </w:r>
    </w:p>
    <w:p>
      <w:pPr>
        <w:pStyle w:val="Normal"/>
        <w:ind w:firstLine="283"/>
        <w:jc w:val="both"/>
        <w:rPr/>
      </w:pPr>
      <w:r>
        <w:rPr/>
        <w:t>Производятся, если это требуется инструкцией завода-изготовителя.</w:t>
      </w:r>
    </w:p>
    <w:p>
      <w:pPr>
        <w:pStyle w:val="Heading3"/>
        <w:rPr/>
      </w:pPr>
      <w:bookmarkStart w:id="8" w:name="_1.8.23._%D0%92%D1%8B%D0%BA%D0%BB%D1%8E%"/>
      <w:bookmarkEnd w:id="8"/>
      <w:r>
        <w:rPr/>
        <w:t>1.8.23. Выключатели нагрузки</w:t>
      </w:r>
    </w:p>
    <w:p>
      <w:pPr>
        <w:pStyle w:val="Normal"/>
        <w:ind w:firstLine="283"/>
        <w:jc w:val="both"/>
        <w:rPr>
          <w:b/>
          <w:b/>
          <w:bCs/>
        </w:rPr>
      </w:pPr>
      <w:r>
        <w:rPr>
          <w:b/>
          <w:bCs/>
        </w:rPr>
        <w:t>1. Измерение сопротивления изоляции вторичных цепей и обмоток электромагнитов управления.</w:t>
      </w:r>
    </w:p>
    <w:p>
      <w:pPr>
        <w:pStyle w:val="Normal"/>
        <w:ind w:firstLine="283"/>
        <w:jc w:val="both"/>
        <w:rPr/>
      </w:pPr>
      <w:r>
        <w:rPr/>
        <w:t>Производится в соответствии с 1.8.37.</w:t>
      </w:r>
    </w:p>
    <w:p>
      <w:pPr>
        <w:pStyle w:val="Normal"/>
        <w:ind w:firstLine="283"/>
        <w:jc w:val="both"/>
        <w:rPr>
          <w:b/>
          <w:b/>
          <w:bCs/>
        </w:rPr>
      </w:pPr>
      <w:r>
        <w:rPr>
          <w:b/>
          <w:bCs/>
        </w:rPr>
        <w:t>2. Испытание повышенным напряжением промышленной частоты:</w:t>
      </w:r>
    </w:p>
    <w:p>
      <w:pPr>
        <w:pStyle w:val="Normal"/>
        <w:ind w:firstLine="283"/>
        <w:jc w:val="both"/>
        <w:rPr/>
      </w:pPr>
      <w:r>
        <w:rPr/>
        <w:t>а) изоляции выключателя нагрузки. Производится в соответствии с табл. 1.8.16.;</w:t>
      </w:r>
    </w:p>
    <w:p>
      <w:pPr>
        <w:pStyle w:val="Normal"/>
        <w:ind w:firstLine="283"/>
        <w:jc w:val="both"/>
        <w:rPr/>
      </w:pPr>
      <w:r>
        <w:rPr/>
        <w:t>б) изоляции вторичных цепей и обмоток электромагнитов управления. Производится в соответствии с 1.8.37.</w:t>
      </w:r>
    </w:p>
    <w:p>
      <w:pPr>
        <w:pStyle w:val="Normal"/>
        <w:ind w:firstLine="283"/>
        <w:jc w:val="both"/>
        <w:rPr/>
      </w:pPr>
      <w:r>
        <w:rPr/>
        <w:t>3. Измерение сопротивления постоянному току:</w:t>
      </w:r>
    </w:p>
    <w:p>
      <w:pPr>
        <w:pStyle w:val="Normal"/>
        <w:ind w:firstLine="283"/>
        <w:jc w:val="both"/>
        <w:rPr/>
      </w:pPr>
      <w:r>
        <w:rP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pPr>
        <w:pStyle w:val="Normal"/>
        <w:ind w:firstLine="283"/>
        <w:jc w:val="both"/>
        <w:rPr/>
      </w:pPr>
      <w:r>
        <w:rPr/>
        <w:t>б) обмоток электромагнитов управления. Значение сопротивления должно соответствовать данным завода-изготовителя:</w:t>
      </w:r>
    </w:p>
    <w:p>
      <w:pPr>
        <w:pStyle w:val="Normal"/>
        <w:ind w:firstLine="283"/>
        <w:jc w:val="both"/>
        <w:rPr>
          <w:b/>
          <w:b/>
          <w:bCs/>
        </w:rPr>
      </w:pPr>
      <w:r>
        <w:rPr>
          <w:b/>
          <w:bCs/>
        </w:rPr>
        <w:t>4. Проверка действия механизма свободного расцепления.</w:t>
      </w:r>
    </w:p>
    <w:p>
      <w:pPr>
        <w:pStyle w:val="Normal"/>
        <w:ind w:firstLine="283"/>
        <w:jc w:val="both"/>
        <w:rPr/>
      </w:pPr>
      <w:r>
        <w:rPr/>
        <w:t>Механизм свободного расцепления проверяется в работе в соответствии с 1.8.19, п. 9.</w:t>
      </w:r>
    </w:p>
    <w:p>
      <w:pPr>
        <w:pStyle w:val="Normal"/>
        <w:ind w:firstLine="283"/>
        <w:jc w:val="both"/>
        <w:rPr>
          <w:b/>
          <w:b/>
          <w:bCs/>
        </w:rPr>
      </w:pPr>
      <w:r>
        <w:rPr>
          <w:b/>
          <w:bCs/>
        </w:rPr>
        <w:t>5. Проверка срабатывания привода при пониженном напряжении.</w:t>
      </w:r>
    </w:p>
    <w:p>
      <w:pPr>
        <w:pStyle w:val="Normal"/>
        <w:ind w:firstLine="283"/>
        <w:jc w:val="both"/>
        <w:rPr/>
      </w:pPr>
      <w:r>
        <w:rPr/>
        <w:t>Производится в соответствии с 1.8.19, п. 10.</w:t>
      </w:r>
    </w:p>
    <w:p>
      <w:pPr>
        <w:pStyle w:val="Normal"/>
        <w:ind w:firstLine="283"/>
        <w:jc w:val="both"/>
        <w:rPr>
          <w:b/>
          <w:b/>
          <w:bCs/>
        </w:rPr>
      </w:pPr>
      <w:r>
        <w:rPr>
          <w:b/>
          <w:bCs/>
        </w:rPr>
        <w:t>6. Испытание выключателя нагрузки многократным опробованием.</w:t>
      </w:r>
    </w:p>
    <w:p>
      <w:pPr>
        <w:pStyle w:val="Normal"/>
        <w:ind w:firstLine="283"/>
        <w:jc w:val="both"/>
        <w:rPr/>
      </w:pPr>
      <w:r>
        <w:rPr/>
        <w:t>Производится в соответствии с 1.8.19 п. 11.</w:t>
      </w:r>
    </w:p>
    <w:p>
      <w:pPr>
        <w:pStyle w:val="Heading3"/>
        <w:rPr/>
      </w:pPr>
      <w:r>
        <w:rPr/>
        <w:t>1.8.24. Разъединители, отделители и короткозамыкатели</w:t>
      </w:r>
    </w:p>
    <w:p>
      <w:pPr>
        <w:pStyle w:val="Normal"/>
        <w:ind w:firstLine="283"/>
        <w:jc w:val="both"/>
        <w:rPr>
          <w:b/>
          <w:b/>
          <w:bCs/>
        </w:rPr>
      </w:pPr>
      <w:r>
        <w:rPr>
          <w:b/>
          <w:bCs/>
        </w:rPr>
        <w:t>1. Измерение сопротивления изоляции:</w:t>
      </w:r>
    </w:p>
    <w:p>
      <w:pPr>
        <w:pStyle w:val="Normal"/>
        <w:ind w:firstLine="283"/>
        <w:jc w:val="both"/>
        <w:rPr/>
      </w:pPr>
      <w:r>
        <w:rPr/>
        <w:t>а)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1.8.19, п. 1а;</w:t>
      </w:r>
    </w:p>
    <w:p>
      <w:pPr>
        <w:pStyle w:val="Normal"/>
        <w:ind w:firstLine="283"/>
        <w:jc w:val="both"/>
        <w:rPr/>
      </w:pPr>
      <w:r>
        <w:rPr/>
        <w:t>б) многоэлементных изоляторов. Производится в соответствии с 1.8.35;</w:t>
      </w:r>
    </w:p>
    <w:p>
      <w:pPr>
        <w:pStyle w:val="Normal"/>
        <w:ind w:firstLine="283"/>
        <w:jc w:val="both"/>
        <w:rPr/>
      </w:pPr>
      <w:r>
        <w:rPr/>
        <w:t>в) вторичных цепей и обмоток электромагнитов управления. Производится в соответствии с 1.8.37.</w:t>
      </w:r>
    </w:p>
    <w:p>
      <w:pPr>
        <w:pStyle w:val="Normal"/>
        <w:ind w:firstLine="283"/>
        <w:jc w:val="both"/>
        <w:rPr>
          <w:b/>
          <w:b/>
          <w:bCs/>
        </w:rPr>
      </w:pPr>
      <w:r>
        <w:rPr>
          <w:b/>
          <w:bCs/>
        </w:rPr>
        <w:t>2. Испытание повышенным напряжением промышленной частоты:</w:t>
      </w:r>
    </w:p>
    <w:p>
      <w:pPr>
        <w:pStyle w:val="Normal"/>
        <w:ind w:firstLine="283"/>
        <w:jc w:val="both"/>
        <w:rPr/>
      </w:pPr>
      <w:r>
        <w:rPr/>
        <w:t>а) изоляции разъединителей, отделителей и короткозамыкателей. Производится в соответствии с табл. 1.8.16;</w:t>
      </w:r>
    </w:p>
    <w:p>
      <w:pPr>
        <w:pStyle w:val="Normal"/>
        <w:ind w:firstLine="283"/>
        <w:jc w:val="both"/>
        <w:rPr/>
      </w:pPr>
      <w:r>
        <w:rPr/>
        <w:t>б) изоляции вторичных цепей и обмоток электромагнитов управления. Производится в соответствии с 1.8.37.</w:t>
      </w:r>
    </w:p>
    <w:p>
      <w:pPr>
        <w:pStyle w:val="Normal"/>
        <w:ind w:firstLine="283"/>
        <w:jc w:val="both"/>
        <w:rPr>
          <w:b/>
          <w:b/>
          <w:bCs/>
        </w:rPr>
      </w:pPr>
      <w:r>
        <w:rPr>
          <w:b/>
          <w:bCs/>
        </w:rPr>
        <w:t>3. Измерение сопротивления постоянному току:</w:t>
      </w:r>
    </w:p>
    <w:p>
      <w:pPr>
        <w:pStyle w:val="Normal"/>
        <w:ind w:firstLine="283"/>
        <w:jc w:val="both"/>
        <w:rPr/>
      </w:pPr>
      <w:r>
        <w:rPr/>
        <w:t>а) 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1.8.21;</w:t>
      </w:r>
    </w:p>
    <w:p>
      <w:pPr>
        <w:pStyle w:val="Normal"/>
        <w:ind w:firstLine="283"/>
        <w:jc w:val="both"/>
        <w:rPr/>
      </w:pPr>
      <w:r>
        <w:rPr/>
        <w:t>б) обмоток электромагнитов управления. Значения сопротивления обмоток должны соответствовать данным заводов-изготовителей.</w:t>
      </w:r>
    </w:p>
    <w:p>
      <w:pPr>
        <w:pStyle w:val="Normal"/>
        <w:ind w:firstLine="283"/>
        <w:jc w:val="both"/>
        <w:rPr>
          <w:b/>
          <w:b/>
          <w:bCs/>
        </w:rPr>
      </w:pPr>
      <w:r>
        <w:rPr>
          <w:b/>
          <w:bCs/>
        </w:rPr>
        <w:t>4. Измерение вытягивающихся усилий подвижных контактов из неподвижных.</w:t>
      </w:r>
    </w:p>
    <w:p>
      <w:pPr>
        <w:pStyle w:val="Normal"/>
        <w:ind w:firstLine="283"/>
        <w:jc w:val="both"/>
        <w:rPr/>
      </w:pPr>
      <w:r>
        <w:rPr/>
        <w:t>Производится у разъединителей и отделителей 35 кВ. Измерение значения вытягивающих усилий при обезжиренном состоянии контактных поверхностей должны соответствовать данным завода-изготовителя.</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21</w:t>
      </w:r>
    </w:p>
    <w:p>
      <w:pPr>
        <w:pStyle w:val="Normal"/>
        <w:spacing w:before="0" w:after="120"/>
        <w:jc w:val="center"/>
        <w:rPr/>
      </w:pPr>
      <w:r>
        <w:rPr>
          <w:b/>
          <w:bCs/>
          <w:i/>
          <w:iCs/>
        </w:rPr>
        <w:t>Наибольшее</w:t>
      </w:r>
      <w:r>
        <w:rPr>
          <w:b/>
          <w:bCs/>
        </w:rPr>
        <w:t xml:space="preserve"> </w:t>
      </w:r>
      <w:r>
        <w:rPr>
          <w:b/>
          <w:bCs/>
          <w:i/>
          <w:iCs/>
        </w:rPr>
        <w:t>допустимое</w:t>
      </w:r>
      <w:r>
        <w:rPr>
          <w:b/>
          <w:bCs/>
        </w:rPr>
        <w:t xml:space="preserve"> </w:t>
      </w:r>
      <w:r>
        <w:rPr>
          <w:b/>
          <w:bCs/>
          <w:i/>
          <w:iCs/>
        </w:rPr>
        <w:t>сопротивление</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контактной</w:t>
      </w:r>
      <w:r>
        <w:rPr>
          <w:b/>
          <w:bCs/>
        </w:rPr>
        <w:t xml:space="preserve"> </w:t>
      </w:r>
      <w:r>
        <w:rPr>
          <w:b/>
          <w:bCs/>
          <w:i/>
          <w:iCs/>
        </w:rPr>
        <w:t>системы</w:t>
      </w:r>
      <w:r>
        <w:rPr>
          <w:b/>
          <w:bCs/>
        </w:rPr>
        <w:t xml:space="preserve"> </w:t>
      </w:r>
      <w:r>
        <w:rPr>
          <w:b/>
          <w:bCs/>
          <w:i/>
          <w:iCs/>
        </w:rPr>
        <w:t>разъединителей</w:t>
      </w:r>
      <w:r>
        <w:rPr>
          <w:b/>
          <w:bCs/>
        </w:rPr>
        <w:t xml:space="preserve"> </w:t>
      </w:r>
      <w:r>
        <w:rPr>
          <w:b/>
          <w:bCs/>
          <w:i/>
          <w:iCs/>
        </w:rPr>
        <w:t>и</w:t>
      </w:r>
      <w:r>
        <w:rPr>
          <w:b/>
          <w:bCs/>
        </w:rPr>
        <w:t xml:space="preserve"> </w:t>
      </w:r>
      <w:r>
        <w:rPr>
          <w:b/>
          <w:bCs/>
          <w:i/>
          <w:iCs/>
        </w:rPr>
        <w:t>отделителей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80"/>
        <w:gridCol w:w="2712"/>
        <w:gridCol w:w="1994"/>
        <w:gridCol w:w="2069"/>
      </w:tblGrid>
      <w:tr>
        <w:trPr>
          <w:tblHeader w:val="true"/>
        </w:trPr>
        <w:tc>
          <w:tcPr>
            <w:tcW w:w="2580"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разъединителя (отделителя)</w:t>
            </w:r>
          </w:p>
        </w:tc>
        <w:tc>
          <w:tcPr>
            <w:tcW w:w="2712"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Номинальное напряжение, кВ</w:t>
            </w:r>
          </w:p>
        </w:tc>
        <w:tc>
          <w:tcPr>
            <w:tcW w:w="1994"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Номинальный ток, А</w:t>
            </w:r>
          </w:p>
        </w:tc>
        <w:tc>
          <w:tcPr>
            <w:tcW w:w="206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Сопротивление, мкОм</w:t>
            </w:r>
          </w:p>
        </w:tc>
      </w:tr>
      <w:tr>
        <w:trPr/>
        <w:tc>
          <w:tcPr>
            <w:tcW w:w="2580" w:type="dxa"/>
            <w:tcBorders>
              <w:left w:val="single" w:sz="8" w:space="0" w:color="000000"/>
              <w:bottom w:val="single" w:sz="8" w:space="0" w:color="000000"/>
              <w:insideH w:val="single" w:sz="8" w:space="0" w:color="000000"/>
            </w:tcBorders>
            <w:shd w:fill="auto" w:val="clear"/>
            <w:vAlign w:val="center"/>
          </w:tcPr>
          <w:p>
            <w:pPr>
              <w:pStyle w:val="Normal"/>
              <w:jc w:val="both"/>
              <w:rPr/>
            </w:pPr>
            <w:r>
              <w:rPr/>
              <w:t>РОНЗ</w:t>
            </w:r>
          </w:p>
        </w:tc>
        <w:tc>
          <w:tcPr>
            <w:tcW w:w="2712"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2000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200</w:t>
            </w:r>
          </w:p>
        </w:tc>
      </w:tr>
      <w:tr>
        <w:trPr/>
        <w:tc>
          <w:tcPr>
            <w:tcW w:w="2580" w:type="dxa"/>
            <w:tcBorders>
              <w:left w:val="single" w:sz="8" w:space="0" w:color="000000"/>
              <w:bottom w:val="single" w:sz="8" w:space="0" w:color="000000"/>
              <w:insideH w:val="single" w:sz="8" w:space="0" w:color="000000"/>
            </w:tcBorders>
            <w:shd w:fill="auto" w:val="clear"/>
            <w:vAlign w:val="center"/>
          </w:tcPr>
          <w:p>
            <w:pPr>
              <w:pStyle w:val="Normal"/>
              <w:jc w:val="both"/>
              <w:rPr/>
            </w:pPr>
            <w:r>
              <w:rPr/>
              <w:t>РЛН</w:t>
            </w:r>
          </w:p>
        </w:tc>
        <w:tc>
          <w:tcPr>
            <w:tcW w:w="2712"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35 - 200</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600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220</w:t>
            </w:r>
          </w:p>
        </w:tc>
      </w:tr>
      <w:tr>
        <w:trPr/>
        <w:tc>
          <w:tcPr>
            <w:tcW w:w="2580" w:type="dxa"/>
            <w:vMerge w:val="restart"/>
            <w:tcBorders>
              <w:left w:val="single" w:sz="8" w:space="0" w:color="000000"/>
              <w:bottom w:val="single" w:sz="8" w:space="0" w:color="000000"/>
              <w:insideH w:val="single" w:sz="8" w:space="0" w:color="000000"/>
            </w:tcBorders>
            <w:shd w:fill="auto" w:val="clear"/>
            <w:vAlign w:val="center"/>
          </w:tcPr>
          <w:p>
            <w:pPr>
              <w:pStyle w:val="Normal"/>
              <w:jc w:val="both"/>
              <w:rPr/>
            </w:pPr>
            <w:r>
              <w:rPr/>
              <w:t>Остальные типы</w:t>
            </w:r>
          </w:p>
        </w:tc>
        <w:tc>
          <w:tcPr>
            <w:tcW w:w="2712" w:type="dxa"/>
            <w:vMerge w:val="restart"/>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Все классы напряжения</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600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175</w:t>
            </w:r>
          </w:p>
        </w:tc>
      </w:tr>
      <w:tr>
        <w:trPr/>
        <w:tc>
          <w:tcPr>
            <w:tcW w:w="2580"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2712" w:type="dxa"/>
            <w:vMerge w:val="continue"/>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snapToGrid w:val="false"/>
              <w:rPr/>
            </w:pPr>
            <w:r>
              <w:rPr/>
            </w:r>
          </w:p>
        </w:tc>
        <w:tc>
          <w:tcPr>
            <w:tcW w:w="1994" w:type="dxa"/>
            <w:tcBorders>
              <w:left w:val="single" w:sz="8" w:space="0" w:color="000000"/>
              <w:bottom w:val="single" w:sz="8" w:space="0" w:color="000000"/>
              <w:insideH w:val="single" w:sz="8" w:space="0" w:color="000000"/>
            </w:tcBorders>
            <w:shd w:fill="auto" w:val="clear"/>
          </w:tcPr>
          <w:p>
            <w:pPr>
              <w:pStyle w:val="Normal"/>
              <w:jc w:val="center"/>
              <w:rPr/>
            </w:pPr>
            <w:r>
              <w:rPr/>
              <w:t>1000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120</w:t>
            </w:r>
          </w:p>
        </w:tc>
      </w:tr>
      <w:tr>
        <w:trPr/>
        <w:tc>
          <w:tcPr>
            <w:tcW w:w="2580" w:type="dxa"/>
            <w:vMerge w:val="continue"/>
            <w:tcBorders>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2712" w:type="dxa"/>
            <w:vMerge w:val="continue"/>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snapToGrid w:val="false"/>
              <w:rPr/>
            </w:pPr>
            <w:r>
              <w:rPr/>
            </w:r>
          </w:p>
        </w:tc>
        <w:tc>
          <w:tcPr>
            <w:tcW w:w="1994" w:type="dxa"/>
            <w:tcBorders>
              <w:left w:val="single" w:sz="8" w:space="0" w:color="000000"/>
              <w:bottom w:val="single" w:sz="8" w:space="0" w:color="000000"/>
              <w:insideH w:val="single" w:sz="8" w:space="0" w:color="000000"/>
            </w:tcBorders>
            <w:shd w:fill="auto" w:val="clear"/>
          </w:tcPr>
          <w:p>
            <w:pPr>
              <w:pStyle w:val="Normal"/>
              <w:jc w:val="center"/>
              <w:rPr/>
            </w:pPr>
            <w:r>
              <w:rPr/>
              <w:t>1500 - 2000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50</w:t>
            </w:r>
          </w:p>
        </w:tc>
      </w:tr>
    </w:tbl>
    <w:p>
      <w:pPr>
        <w:pStyle w:val="Normal"/>
        <w:spacing w:before="120" w:after="0"/>
        <w:ind w:firstLine="283"/>
        <w:jc w:val="both"/>
        <w:rPr>
          <w:b/>
          <w:b/>
          <w:bCs/>
        </w:rPr>
      </w:pPr>
      <w:r>
        <w:rPr>
          <w:b/>
          <w:bCs/>
        </w:rPr>
        <w:t>5. Проверка работы разъединителя, отделителя и короткозамыкателя.</w:t>
      </w:r>
    </w:p>
    <w:p>
      <w:pPr>
        <w:pStyle w:val="Normal"/>
        <w:ind w:firstLine="283"/>
        <w:jc w:val="both"/>
        <w:rPr/>
      </w:pPr>
      <w:r>
        <w:rPr/>
        <w:t>Аппараты с ручным управлением должны быть проверены выполнением 5 операций включения и 5 операций отключения.</w:t>
      </w:r>
    </w:p>
    <w:p>
      <w:pPr>
        <w:pStyle w:val="Normal"/>
        <w:ind w:firstLine="283"/>
        <w:jc w:val="both"/>
        <w:rPr/>
      </w:pPr>
      <w:r>
        <w:rPr/>
        <w:t>Аппараты с дистанционным управлением должны быть также проверены выполнением 5 операций включения и такого же числа операций отключения при номинальном напряжении на выводах электромагнитов и электродвигателей управления.</w:t>
      </w:r>
    </w:p>
    <w:p>
      <w:pPr>
        <w:pStyle w:val="Normal"/>
        <w:ind w:firstLine="283"/>
        <w:jc w:val="both"/>
        <w:rPr>
          <w:b/>
          <w:b/>
          <w:bCs/>
        </w:rPr>
      </w:pPr>
      <w:r>
        <w:rPr>
          <w:b/>
          <w:bCs/>
        </w:rPr>
        <w:t>6. Определение временных характеристик.</w:t>
      </w:r>
    </w:p>
    <w:p>
      <w:pPr>
        <w:pStyle w:val="Normal"/>
        <w:ind w:firstLine="283"/>
        <w:jc w:val="both"/>
        <w:rPr/>
      </w:pPr>
      <w:r>
        <w:rPr/>
        <w:t>Производится у короткозамыкателей при включении и у отделителей при отключении. Измеренные значения должны соответствовать данным завода-изготовителя.</w:t>
      </w:r>
    </w:p>
    <w:p>
      <w:pPr>
        <w:pStyle w:val="Normal"/>
        <w:ind w:firstLine="283"/>
        <w:jc w:val="both"/>
        <w:rPr>
          <w:b/>
          <w:b/>
          <w:bCs/>
        </w:rPr>
      </w:pPr>
      <w:r>
        <w:rPr>
          <w:b/>
          <w:bCs/>
        </w:rPr>
        <w:t>7. Проверка работы механической блокировки.</w:t>
      </w:r>
    </w:p>
    <w:p>
      <w:pPr>
        <w:pStyle w:val="Normal"/>
        <w:ind w:firstLine="283"/>
        <w:jc w:val="both"/>
        <w:rPr/>
      </w:pPr>
      <w:r>
        <w:rPr/>
        <w:t>Блокировка не должна позволять оперирование главными ножами при включенных заземляющих ножах, и наоборот.</w:t>
      </w:r>
    </w:p>
    <w:p>
      <w:pPr>
        <w:pStyle w:val="Heading3"/>
        <w:rPr/>
      </w:pPr>
      <w:r>
        <w:rPr/>
        <w:t>1.8.25. Комплектные распределительные устройства внутренней и наружной установки (КРУ и КРУН)</w:t>
      </w:r>
    </w:p>
    <w:p>
      <w:pPr>
        <w:pStyle w:val="Normal"/>
        <w:ind w:firstLine="283"/>
        <w:jc w:val="both"/>
        <w:rPr/>
      </w:pPr>
      <w:r>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pPr>
        <w:pStyle w:val="Normal"/>
        <w:ind w:firstLine="283"/>
        <w:jc w:val="both"/>
        <w:rPr>
          <w:b/>
          <w:b/>
          <w:bCs/>
        </w:rPr>
      </w:pPr>
      <w:r>
        <w:rPr>
          <w:b/>
          <w:bCs/>
        </w:rPr>
        <w:t>1. Измерение сопротивления изоляции:</w:t>
      </w:r>
    </w:p>
    <w:p>
      <w:pPr>
        <w:pStyle w:val="Normal"/>
        <w:ind w:firstLine="283"/>
        <w:jc w:val="both"/>
        <w:rPr/>
      </w:pPr>
      <w:r>
        <w:rPr/>
        <w:t>а) первичных цепей. Производится мегаомметром на напряжение 2,5 кВ.</w:t>
      </w:r>
    </w:p>
    <w:p>
      <w:pPr>
        <w:pStyle w:val="Normal"/>
        <w:ind w:firstLine="283"/>
        <w:jc w:val="both"/>
        <w:rPr/>
      </w:pPr>
      <w:r>
        <w:rPr/>
        <w:t>Сопротивление изоляции полностью собранных первичных цепей КРУ с установленным в них оборудованием и узлами должно быть не менее 100 МОм.</w:t>
      </w:r>
    </w:p>
    <w:p>
      <w:pPr>
        <w:pStyle w:val="Normal"/>
        <w:ind w:firstLine="283"/>
        <w:jc w:val="both"/>
        <w:rPr/>
      </w:pPr>
      <w:r>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на заводе-изготовителе и не подлежащих вскрытию в течение всего срока службы, не производится;</w:t>
      </w:r>
    </w:p>
    <w:p>
      <w:pPr>
        <w:pStyle w:val="Normal"/>
        <w:ind w:firstLine="283"/>
        <w:jc w:val="both"/>
        <w:rPr/>
      </w:pPr>
      <w:r>
        <w:rPr/>
        <w:t>б) вторичных цепей. Производится мегаомметром на напряжение 500 - 1000 В.</w:t>
      </w:r>
    </w:p>
    <w:p>
      <w:pPr>
        <w:pStyle w:val="Normal"/>
        <w:jc w:val="both"/>
        <w:rPr/>
      </w:pPr>
      <w:r>
        <w:rPr/>
        <w:t>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0,5 МОм.</w:t>
      </w:r>
    </w:p>
    <w:p>
      <w:pPr>
        <w:pStyle w:val="Normal"/>
        <w:ind w:firstLine="283"/>
        <w:jc w:val="both"/>
        <w:rPr>
          <w:b/>
          <w:b/>
          <w:bCs/>
        </w:rPr>
      </w:pPr>
      <w:r>
        <w:rPr>
          <w:b/>
          <w:bCs/>
        </w:rPr>
        <w:t>2. Испытание повышенным напряжением промышленной частоты:</w:t>
      </w:r>
    </w:p>
    <w:p>
      <w:pPr>
        <w:pStyle w:val="Normal"/>
        <w:ind w:firstLine="283"/>
        <w:jc w:val="both"/>
        <w:rPr/>
      </w:pPr>
      <w:r>
        <w:rPr/>
        <w:t>а) изоляции первичных цепей ячеек КРУ и КРУП. Испытательное напряжение полностью смонтированных ячеек КРУ и КРУП при вкаченных в рабочее положение тележках и закрытых дверях указано в табл. 1.8.22.</w:t>
      </w:r>
    </w:p>
    <w:p>
      <w:pPr>
        <w:pStyle w:val="Normal"/>
        <w:ind w:firstLine="283"/>
        <w:jc w:val="both"/>
        <w:rPr/>
      </w:pPr>
      <w:r>
        <w:rPr/>
        <w:t>Длительность приложения нормированного испытательного напряжения 1 мин;</w:t>
      </w:r>
    </w:p>
    <w:p>
      <w:pPr>
        <w:pStyle w:val="Normal"/>
        <w:ind w:firstLine="283"/>
        <w:jc w:val="both"/>
        <w:rPr/>
      </w:pPr>
      <w:r>
        <w:rPr/>
        <w:t>б) изоляции вторичных цепей. Производится напряжением 1 кВ. Продолжительность приложения нормированного испытательного напряжения 1 мин.</w:t>
      </w:r>
    </w:p>
    <w:p>
      <w:pPr>
        <w:pStyle w:val="Normal"/>
        <w:ind w:firstLine="283"/>
        <w:jc w:val="both"/>
        <w:rPr>
          <w:b/>
          <w:b/>
          <w:bCs/>
        </w:rPr>
      </w:pPr>
      <w:r>
        <w:rPr>
          <w:b/>
          <w:bCs/>
        </w:rPr>
        <w:t>3. Измерение сопротивления постоянному току.</w:t>
      </w:r>
    </w:p>
    <w:p>
      <w:pPr>
        <w:pStyle w:val="Normal"/>
        <w:ind w:firstLine="283"/>
        <w:jc w:val="both"/>
        <w:rPr/>
      </w:pPr>
      <w:r>
        <w:rPr/>
        <w:t>Сопротивление разъемных и болтовых соединений постоянному току должно быть не более значений, приведенных в табл. 1.8.23.</w:t>
      </w:r>
    </w:p>
    <w:p>
      <w:pPr>
        <w:pStyle w:val="Normal"/>
        <w:ind w:firstLine="283"/>
        <w:jc w:val="both"/>
        <w:rPr>
          <w:b/>
          <w:b/>
          <w:bCs/>
        </w:rPr>
      </w:pPr>
      <w:r>
        <w:rPr>
          <w:b/>
          <w:bCs/>
        </w:rPr>
        <w:t>4. Механические испытания.</w:t>
      </w:r>
    </w:p>
    <w:p>
      <w:pPr>
        <w:pStyle w:val="Normal"/>
        <w:ind w:firstLine="283"/>
        <w:jc w:val="both"/>
        <w:rPr/>
      </w:pPr>
      <w:r>
        <w:rPr/>
        <w:t>Производятся в соответствии с инструкциями завода-изготовителя. К механическим испытаниям относятся:</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22</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ячеек</w:t>
      </w:r>
      <w:r>
        <w:rPr>
          <w:b/>
          <w:bCs/>
        </w:rPr>
        <w:t xml:space="preserve"> </w:t>
      </w:r>
      <w:r>
        <w:rPr>
          <w:b/>
          <w:bCs/>
          <w:i/>
          <w:iCs/>
        </w:rPr>
        <w:t>КРУ</w:t>
      </w:r>
      <w:r>
        <w:rPr>
          <w:b/>
          <w:bCs/>
        </w:rPr>
        <w:t xml:space="preserve"> </w:t>
      </w:r>
      <w:r>
        <w:rPr>
          <w:b/>
          <w:bCs/>
          <w:i/>
          <w:iCs/>
        </w:rPr>
        <w:t>и</w:t>
      </w:r>
      <w:r>
        <w:rPr>
          <w:b/>
          <w:bCs/>
        </w:rPr>
        <w:t xml:space="preserve"> </w:t>
      </w:r>
      <w:r>
        <w:rPr>
          <w:b/>
          <w:bCs/>
          <w:i/>
          <w:iCs/>
        </w:rPr>
        <w:t>КРУН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0" w:type="dxa"/>
          <w:bottom w:w="0" w:type="dxa"/>
          <w:right w:w="0" w:type="dxa"/>
        </w:tblCellMar>
      </w:tblPr>
      <w:tblGrid>
        <w:gridCol w:w="1305"/>
        <w:gridCol w:w="1440"/>
        <w:gridCol w:w="1926"/>
        <w:gridCol w:w="1282"/>
        <w:gridCol w:w="1475"/>
        <w:gridCol w:w="1927"/>
      </w:tblGrid>
      <w:tr>
        <w:trPr>
          <w:tblHeader w:val="true"/>
        </w:trPr>
        <w:tc>
          <w:tcPr>
            <w:tcW w:w="1305"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кВ</w:t>
            </w:r>
          </w:p>
        </w:tc>
        <w:tc>
          <w:tcPr>
            <w:tcW w:w="3366" w:type="dxa"/>
            <w:gridSpan w:val="2"/>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Испытательное напряжение, кВ, ячейки с изоляцией</w:t>
            </w:r>
          </w:p>
        </w:tc>
        <w:tc>
          <w:tcPr>
            <w:tcW w:w="1282" w:type="dxa"/>
            <w:vMerge w:val="restart"/>
            <w:tcBorders>
              <w:top w:val="single" w:sz="8" w:space="0" w:color="000000"/>
              <w:left w:val="single" w:sz="8" w:space="0" w:color="000000"/>
              <w:bottom w:val="single" w:sz="8" w:space="0" w:color="000000"/>
              <w:insideH w:val="single" w:sz="8" w:space="0" w:color="000000"/>
            </w:tcBorders>
            <w:shd w:fill="auto" w:val="clear"/>
            <w:tcMar>
              <w:left w:w="28" w:type="dxa"/>
              <w:right w:w="28" w:type="dxa"/>
            </w:tcMar>
            <w:vAlign w:val="center"/>
          </w:tcPr>
          <w:p>
            <w:pPr>
              <w:pStyle w:val="Normal"/>
              <w:jc w:val="center"/>
              <w:rPr/>
            </w:pPr>
            <w:r>
              <w:rPr/>
              <w:t>Класс напряжения</w:t>
            </w:r>
          </w:p>
        </w:tc>
        <w:tc>
          <w:tcPr>
            <w:tcW w:w="3402"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jc w:val="center"/>
              <w:rPr/>
            </w:pPr>
            <w:r>
              <w:rPr/>
              <w:t>Испытательное напряжение, кВ, ячейки с изоляцией</w:t>
            </w:r>
          </w:p>
        </w:tc>
      </w:tr>
      <w:tr>
        <w:trPr>
          <w:tblHeader w:val="true"/>
        </w:trPr>
        <w:tc>
          <w:tcPr>
            <w:tcW w:w="1305"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40" w:type="dxa"/>
            <w:tcBorders>
              <w:left w:val="single" w:sz="8" w:space="0" w:color="000000"/>
              <w:bottom w:val="single" w:sz="8" w:space="0" w:color="000000"/>
              <w:insideH w:val="single" w:sz="8" w:space="0" w:color="000000"/>
            </w:tcBorders>
            <w:shd w:fill="auto" w:val="clear"/>
            <w:vAlign w:val="center"/>
          </w:tcPr>
          <w:p>
            <w:pPr>
              <w:pStyle w:val="Normal"/>
              <w:jc w:val="center"/>
              <w:rPr/>
            </w:pPr>
            <w:r>
              <w:rPr/>
              <w:t>керамической</w:t>
            </w:r>
          </w:p>
        </w:tc>
        <w:tc>
          <w:tcPr>
            <w:tcW w:w="1926" w:type="dxa"/>
            <w:tcBorders>
              <w:left w:val="single" w:sz="8" w:space="0" w:color="000000"/>
              <w:bottom w:val="single" w:sz="8" w:space="0" w:color="000000"/>
              <w:insideH w:val="single" w:sz="8" w:space="0" w:color="000000"/>
            </w:tcBorders>
            <w:shd w:fill="auto" w:val="clear"/>
            <w:vAlign w:val="center"/>
          </w:tcPr>
          <w:p>
            <w:pPr>
              <w:pStyle w:val="Normal"/>
              <w:jc w:val="center"/>
              <w:rPr/>
            </w:pPr>
            <w:r>
              <w:rPr/>
              <w:t>из твердых органических материалов</w:t>
            </w:r>
          </w:p>
        </w:tc>
        <w:tc>
          <w:tcPr>
            <w:tcW w:w="1282" w:type="dxa"/>
            <w:vMerge w:val="continue"/>
            <w:tcBorders>
              <w:top w:val="single" w:sz="8" w:space="0" w:color="000000"/>
              <w:left w:val="single" w:sz="8" w:space="0" w:color="000000"/>
              <w:bottom w:val="single" w:sz="8" w:space="0" w:color="000000"/>
              <w:insideH w:val="single" w:sz="8" w:space="0" w:color="000000"/>
            </w:tcBorders>
            <w:shd w:fill="auto" w:val="clear"/>
            <w:tcMar>
              <w:left w:w="28" w:type="dxa"/>
              <w:right w:w="28" w:type="dxa"/>
            </w:tcMar>
            <w:vAlign w:val="center"/>
          </w:tcPr>
          <w:p>
            <w:pPr>
              <w:pStyle w:val="Normal"/>
              <w:snapToGrid w:val="false"/>
              <w:rPr/>
            </w:pPr>
            <w:r>
              <w:rPr/>
            </w:r>
          </w:p>
        </w:tc>
        <w:tc>
          <w:tcPr>
            <w:tcW w:w="1475" w:type="dxa"/>
            <w:tcBorders>
              <w:left w:val="single" w:sz="8" w:space="0" w:color="000000"/>
              <w:bottom w:val="single" w:sz="8" w:space="0" w:color="000000"/>
              <w:insideH w:val="single" w:sz="8" w:space="0" w:color="000000"/>
            </w:tcBorders>
            <w:shd w:fill="auto" w:val="clear"/>
            <w:tcMar>
              <w:left w:w="28" w:type="dxa"/>
              <w:right w:w="28" w:type="dxa"/>
            </w:tcMar>
            <w:vAlign w:val="center"/>
          </w:tcPr>
          <w:p>
            <w:pPr>
              <w:pStyle w:val="Normal"/>
              <w:jc w:val="center"/>
              <w:rPr/>
            </w:pPr>
            <w:r>
              <w:rPr/>
              <w:t>керамической</w:t>
            </w:r>
          </w:p>
        </w:tc>
        <w:tc>
          <w:tcPr>
            <w:tcW w:w="192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jc w:val="center"/>
              <w:rPr/>
            </w:pPr>
            <w:r>
              <w:rPr/>
              <w:t>из твердых органических материалов</w:t>
            </w:r>
          </w:p>
        </w:tc>
      </w:tr>
      <w:tr>
        <w:trPr/>
        <w:tc>
          <w:tcPr>
            <w:tcW w:w="1305"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center"/>
              <w:rPr/>
            </w:pPr>
            <w:r>
              <w:rPr/>
              <w:t>до 0,69</w:t>
            </w:r>
          </w:p>
        </w:tc>
        <w:tc>
          <w:tcPr>
            <w:tcW w:w="1440" w:type="dxa"/>
            <w:tcBorders>
              <w:left w:val="single" w:sz="8" w:space="0" w:color="000000"/>
              <w:bottom w:val="single" w:sz="8" w:space="0" w:color="000000"/>
              <w:insideH w:val="single" w:sz="8" w:space="0" w:color="000000"/>
            </w:tcBorders>
            <w:shd w:fill="auto" w:val="clear"/>
          </w:tcPr>
          <w:p>
            <w:pPr>
              <w:pStyle w:val="Normal"/>
              <w:jc w:val="center"/>
              <w:rPr/>
            </w:pPr>
            <w:r>
              <w:rPr/>
              <w:t>1</w:t>
            </w:r>
          </w:p>
        </w:tc>
        <w:tc>
          <w:tcPr>
            <w:tcW w:w="1926" w:type="dxa"/>
            <w:tcBorders>
              <w:left w:val="single" w:sz="8" w:space="0" w:color="000000"/>
              <w:bottom w:val="single" w:sz="8" w:space="0" w:color="000000"/>
              <w:insideH w:val="single" w:sz="8" w:space="0" w:color="000000"/>
            </w:tcBorders>
            <w:shd w:fill="auto" w:val="clear"/>
          </w:tcPr>
          <w:p>
            <w:pPr>
              <w:pStyle w:val="Normal"/>
              <w:jc w:val="center"/>
              <w:rPr/>
            </w:pPr>
            <w:r>
              <w:rPr/>
              <w:t>1</w:t>
            </w:r>
          </w:p>
        </w:tc>
        <w:tc>
          <w:tcPr>
            <w:tcW w:w="1282" w:type="dxa"/>
            <w:tcBorders>
              <w:left w:val="single" w:sz="8" w:space="0" w:color="000000"/>
              <w:bottom w:val="single" w:sz="8" w:space="0" w:color="000000"/>
              <w:insideH w:val="single" w:sz="8" w:space="0" w:color="000000"/>
            </w:tcBorders>
            <w:shd w:fill="auto" w:val="clear"/>
          </w:tcPr>
          <w:p>
            <w:pPr>
              <w:pStyle w:val="Normal"/>
              <w:jc w:val="center"/>
              <w:rPr/>
            </w:pPr>
            <w:r>
              <w:rPr/>
              <w:t>15</w:t>
            </w:r>
          </w:p>
        </w:tc>
        <w:tc>
          <w:tcPr>
            <w:tcW w:w="1475" w:type="dxa"/>
            <w:tcBorders>
              <w:left w:val="single" w:sz="8" w:space="0" w:color="000000"/>
              <w:bottom w:val="single" w:sz="8" w:space="0" w:color="000000"/>
              <w:insideH w:val="single" w:sz="8" w:space="0" w:color="000000"/>
            </w:tcBorders>
            <w:shd w:fill="auto" w:val="clear"/>
          </w:tcPr>
          <w:p>
            <w:pPr>
              <w:pStyle w:val="Normal"/>
              <w:jc w:val="center"/>
              <w:rPr/>
            </w:pPr>
            <w:r>
              <w:rPr/>
              <w:t>55</w:t>
            </w:r>
          </w:p>
        </w:tc>
        <w:tc>
          <w:tcPr>
            <w:tcW w:w="192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center"/>
              <w:rPr/>
            </w:pPr>
            <w:r>
              <w:rPr/>
              <w:t>49,5</w:t>
            </w:r>
          </w:p>
        </w:tc>
      </w:tr>
      <w:tr>
        <w:trPr/>
        <w:tc>
          <w:tcPr>
            <w:tcW w:w="1305"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center"/>
              <w:rPr/>
            </w:pPr>
            <w:r>
              <w:rPr/>
              <w:t>3</w:t>
            </w:r>
          </w:p>
        </w:tc>
        <w:tc>
          <w:tcPr>
            <w:tcW w:w="1440" w:type="dxa"/>
            <w:tcBorders>
              <w:left w:val="single" w:sz="8" w:space="0" w:color="000000"/>
              <w:bottom w:val="single" w:sz="8" w:space="0" w:color="000000"/>
              <w:insideH w:val="single" w:sz="8" w:space="0" w:color="000000"/>
            </w:tcBorders>
            <w:shd w:fill="auto" w:val="clear"/>
          </w:tcPr>
          <w:p>
            <w:pPr>
              <w:pStyle w:val="Normal"/>
              <w:jc w:val="center"/>
              <w:rPr/>
            </w:pPr>
            <w:r>
              <w:rPr/>
              <w:t>24</w:t>
            </w:r>
          </w:p>
        </w:tc>
        <w:tc>
          <w:tcPr>
            <w:tcW w:w="1926" w:type="dxa"/>
            <w:tcBorders>
              <w:left w:val="single" w:sz="8" w:space="0" w:color="000000"/>
              <w:bottom w:val="single" w:sz="8" w:space="0" w:color="000000"/>
              <w:insideH w:val="single" w:sz="8" w:space="0" w:color="000000"/>
            </w:tcBorders>
            <w:shd w:fill="auto" w:val="clear"/>
          </w:tcPr>
          <w:p>
            <w:pPr>
              <w:pStyle w:val="Normal"/>
              <w:jc w:val="center"/>
              <w:rPr/>
            </w:pPr>
            <w:r>
              <w:rPr/>
              <w:t>21,6</w:t>
            </w:r>
          </w:p>
        </w:tc>
        <w:tc>
          <w:tcPr>
            <w:tcW w:w="1282" w:type="dxa"/>
            <w:tcBorders>
              <w:left w:val="single" w:sz="8" w:space="0" w:color="000000"/>
              <w:bottom w:val="single" w:sz="8" w:space="0" w:color="000000"/>
              <w:insideH w:val="single" w:sz="8" w:space="0" w:color="000000"/>
            </w:tcBorders>
            <w:shd w:fill="auto" w:val="clear"/>
          </w:tcPr>
          <w:p>
            <w:pPr>
              <w:pStyle w:val="Normal"/>
              <w:jc w:val="center"/>
              <w:rPr/>
            </w:pPr>
            <w:r>
              <w:rPr/>
              <w:t>20</w:t>
            </w:r>
          </w:p>
        </w:tc>
        <w:tc>
          <w:tcPr>
            <w:tcW w:w="1475" w:type="dxa"/>
            <w:tcBorders>
              <w:left w:val="single" w:sz="8" w:space="0" w:color="000000"/>
              <w:bottom w:val="single" w:sz="8" w:space="0" w:color="000000"/>
              <w:insideH w:val="single" w:sz="8" w:space="0" w:color="000000"/>
            </w:tcBorders>
            <w:shd w:fill="auto" w:val="clear"/>
          </w:tcPr>
          <w:p>
            <w:pPr>
              <w:pStyle w:val="Normal"/>
              <w:jc w:val="center"/>
              <w:rPr/>
            </w:pPr>
            <w:r>
              <w:rPr/>
              <w:t>65</w:t>
            </w:r>
          </w:p>
        </w:tc>
        <w:tc>
          <w:tcPr>
            <w:tcW w:w="192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center"/>
              <w:rPr/>
            </w:pPr>
            <w:r>
              <w:rPr/>
              <w:t>58,5</w:t>
            </w:r>
          </w:p>
        </w:tc>
      </w:tr>
      <w:tr>
        <w:trPr/>
        <w:tc>
          <w:tcPr>
            <w:tcW w:w="1305"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center"/>
              <w:rPr/>
            </w:pPr>
            <w:r>
              <w:rPr/>
              <w:t>6</w:t>
            </w:r>
          </w:p>
        </w:tc>
        <w:tc>
          <w:tcPr>
            <w:tcW w:w="1440" w:type="dxa"/>
            <w:tcBorders>
              <w:left w:val="single" w:sz="8" w:space="0" w:color="000000"/>
              <w:bottom w:val="single" w:sz="8" w:space="0" w:color="000000"/>
              <w:insideH w:val="single" w:sz="8" w:space="0" w:color="000000"/>
            </w:tcBorders>
            <w:shd w:fill="auto" w:val="clear"/>
          </w:tcPr>
          <w:p>
            <w:pPr>
              <w:pStyle w:val="Normal"/>
              <w:jc w:val="center"/>
              <w:rPr/>
            </w:pPr>
            <w:r>
              <w:rPr/>
              <w:t>32</w:t>
            </w:r>
          </w:p>
        </w:tc>
        <w:tc>
          <w:tcPr>
            <w:tcW w:w="1926" w:type="dxa"/>
            <w:tcBorders>
              <w:left w:val="single" w:sz="8" w:space="0" w:color="000000"/>
              <w:bottom w:val="single" w:sz="8" w:space="0" w:color="000000"/>
              <w:insideH w:val="single" w:sz="8" w:space="0" w:color="000000"/>
            </w:tcBorders>
            <w:shd w:fill="auto" w:val="clear"/>
          </w:tcPr>
          <w:p>
            <w:pPr>
              <w:pStyle w:val="Normal"/>
              <w:jc w:val="center"/>
              <w:rPr/>
            </w:pPr>
            <w:r>
              <w:rPr/>
              <w:t>28,8</w:t>
            </w:r>
          </w:p>
        </w:tc>
        <w:tc>
          <w:tcPr>
            <w:tcW w:w="1282"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1475" w:type="dxa"/>
            <w:tcBorders>
              <w:left w:val="single" w:sz="8" w:space="0" w:color="000000"/>
              <w:bottom w:val="single" w:sz="8" w:space="0" w:color="000000"/>
              <w:insideH w:val="single" w:sz="8" w:space="0" w:color="000000"/>
            </w:tcBorders>
            <w:shd w:fill="auto" w:val="clear"/>
          </w:tcPr>
          <w:p>
            <w:pPr>
              <w:pStyle w:val="Normal"/>
              <w:jc w:val="center"/>
              <w:rPr/>
            </w:pPr>
            <w:r>
              <w:rPr/>
              <w:t>95</w:t>
            </w:r>
          </w:p>
        </w:tc>
        <w:tc>
          <w:tcPr>
            <w:tcW w:w="192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jc w:val="center"/>
              <w:rPr/>
            </w:pPr>
            <w:r>
              <w:rPr/>
              <w:t>85,5</w:t>
            </w:r>
          </w:p>
        </w:tc>
      </w:tr>
      <w:tr>
        <w:trPr/>
        <w:tc>
          <w:tcPr>
            <w:tcW w:w="1305" w:type="dxa"/>
            <w:tcBorders>
              <w:left w:val="single" w:sz="8" w:space="0" w:color="000000"/>
              <w:bottom w:val="single" w:sz="8" w:space="0" w:color="000000"/>
              <w:insideH w:val="single" w:sz="8" w:space="0" w:color="000000"/>
            </w:tcBorders>
            <w:shd w:fill="auto" w:val="clear"/>
            <w:tcMar>
              <w:left w:w="28" w:type="dxa"/>
              <w:right w:w="28" w:type="dxa"/>
            </w:tcMar>
          </w:tcPr>
          <w:p>
            <w:pPr>
              <w:pStyle w:val="Normal"/>
              <w:jc w:val="center"/>
              <w:rPr/>
            </w:pPr>
            <w:r>
              <w:rPr/>
              <w:t>10</w:t>
            </w:r>
          </w:p>
        </w:tc>
        <w:tc>
          <w:tcPr>
            <w:tcW w:w="1440" w:type="dxa"/>
            <w:tcBorders>
              <w:left w:val="single" w:sz="8" w:space="0" w:color="000000"/>
              <w:bottom w:val="single" w:sz="8" w:space="0" w:color="000000"/>
              <w:insideH w:val="single" w:sz="8" w:space="0" w:color="000000"/>
            </w:tcBorders>
            <w:shd w:fill="auto" w:val="clear"/>
          </w:tcPr>
          <w:p>
            <w:pPr>
              <w:pStyle w:val="Normal"/>
              <w:jc w:val="center"/>
              <w:rPr/>
            </w:pPr>
            <w:r>
              <w:rPr/>
              <w:t>42</w:t>
            </w:r>
          </w:p>
        </w:tc>
        <w:tc>
          <w:tcPr>
            <w:tcW w:w="1926" w:type="dxa"/>
            <w:tcBorders>
              <w:left w:val="single" w:sz="8" w:space="0" w:color="000000"/>
              <w:bottom w:val="single" w:sz="8" w:space="0" w:color="000000"/>
              <w:insideH w:val="single" w:sz="8" w:space="0" w:color="000000"/>
            </w:tcBorders>
            <w:shd w:fill="auto" w:val="clear"/>
          </w:tcPr>
          <w:p>
            <w:pPr>
              <w:pStyle w:val="Normal"/>
              <w:jc w:val="center"/>
              <w:rPr/>
            </w:pPr>
            <w:r>
              <w:rPr/>
              <w:t>37,8</w:t>
            </w:r>
          </w:p>
        </w:tc>
        <w:tc>
          <w:tcPr>
            <w:tcW w:w="1282"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475" w:type="dxa"/>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192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napToGrid w:val="false"/>
              <w:rPr/>
            </w:pPr>
            <w:r>
              <w:rPr/>
            </w:r>
          </w:p>
        </w:tc>
      </w:tr>
    </w:tbl>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23</w:t>
      </w:r>
    </w:p>
    <w:p>
      <w:pPr>
        <w:pStyle w:val="Normal"/>
        <w:spacing w:before="0" w:after="120"/>
        <w:jc w:val="center"/>
        <w:rPr/>
      </w:pP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постоянному</w:t>
      </w:r>
      <w:r>
        <w:rPr>
          <w:b/>
          <w:bCs/>
        </w:rPr>
        <w:t xml:space="preserve"> </w:t>
      </w:r>
      <w:r>
        <w:rPr>
          <w:b/>
          <w:bCs/>
          <w:i/>
          <w:iCs/>
        </w:rPr>
        <w:t>току</w:t>
      </w:r>
      <w:r>
        <w:rPr>
          <w:b/>
          <w:bCs/>
        </w:rPr>
        <w:t xml:space="preserve"> </w:t>
      </w:r>
      <w:r>
        <w:rPr>
          <w:b/>
          <w:bCs/>
          <w:i/>
          <w:iCs/>
        </w:rPr>
        <w:t>элементов</w:t>
      </w:r>
      <w:r>
        <w:rPr>
          <w:b/>
          <w:bCs/>
        </w:rPr>
        <w:t xml:space="preserve"> </w:t>
      </w:r>
      <w:r>
        <w:rPr>
          <w:b/>
          <w:bCs/>
          <w:i/>
          <w:iCs/>
        </w:rPr>
        <w:t>КРУ</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651"/>
        <w:gridCol w:w="6704"/>
      </w:tblGrid>
      <w:tr>
        <w:trPr>
          <w:tblHeader w:val="true"/>
        </w:trPr>
        <w:tc>
          <w:tcPr>
            <w:tcW w:w="265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Измеряемый элемент*</w:t>
            </w:r>
          </w:p>
        </w:tc>
        <w:tc>
          <w:tcPr>
            <w:tcW w:w="670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Допустимые значения сопротивления</w:t>
            </w:r>
          </w:p>
        </w:tc>
      </w:tr>
      <w:tr>
        <w:trPr/>
        <w:tc>
          <w:tcPr>
            <w:tcW w:w="2651" w:type="dxa"/>
            <w:tcBorders>
              <w:left w:val="single" w:sz="8" w:space="0" w:color="000000"/>
              <w:bottom w:val="single" w:sz="8" w:space="0" w:color="000000"/>
              <w:insideH w:val="single" w:sz="8" w:space="0" w:color="000000"/>
            </w:tcBorders>
            <w:shd w:fill="auto" w:val="clear"/>
          </w:tcPr>
          <w:p>
            <w:pPr>
              <w:pStyle w:val="Normal"/>
              <w:jc w:val="both"/>
              <w:rPr/>
            </w:pPr>
            <w:r>
              <w:rPr/>
              <w:t>1. Втычные контакты первичной цепи</w:t>
            </w:r>
          </w:p>
        </w:tc>
        <w:tc>
          <w:tcPr>
            <w:tcW w:w="670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Допустимые значения сопротивления контактов приведены в заводских инструкциях. В случаях, если значения сопротивления контактов не приведены в заводских инструкциях, они должны быть не более:</w:t>
            </w:r>
          </w:p>
          <w:p>
            <w:pPr>
              <w:pStyle w:val="Normal"/>
              <w:jc w:val="both"/>
              <w:rPr/>
            </w:pPr>
            <w:r>
              <w:rPr/>
              <w:t>для контактов на 400 А -                                75 мкОм;</w:t>
            </w:r>
          </w:p>
          <w:p>
            <w:pPr>
              <w:pStyle w:val="Normal"/>
              <w:jc w:val="both"/>
              <w:rPr/>
            </w:pPr>
            <w:r>
              <w:rPr/>
              <w:t>для контактов на 630 А -                                60 мкОм;</w:t>
            </w:r>
          </w:p>
          <w:p>
            <w:pPr>
              <w:pStyle w:val="Normal"/>
              <w:jc w:val="both"/>
              <w:rPr/>
            </w:pPr>
            <w:r>
              <w:rPr/>
              <w:t>для контактов на 1000 А -                              50 мкОм;</w:t>
            </w:r>
          </w:p>
          <w:p>
            <w:pPr>
              <w:pStyle w:val="Normal"/>
              <w:jc w:val="both"/>
              <w:rPr/>
            </w:pPr>
            <w:r>
              <w:rPr/>
              <w:t>для контактов на 1600 А -                              40 мкОм;</w:t>
            </w:r>
          </w:p>
          <w:p>
            <w:pPr>
              <w:pStyle w:val="Normal"/>
              <w:jc w:val="both"/>
              <w:rPr/>
            </w:pPr>
            <w:r>
              <w:rPr/>
              <w:t>для контактов на 2000 А и выше -               33 мкОм</w:t>
            </w:r>
          </w:p>
        </w:tc>
      </w:tr>
      <w:tr>
        <w:trPr/>
        <w:tc>
          <w:tcPr>
            <w:tcW w:w="2651" w:type="dxa"/>
            <w:tcBorders>
              <w:left w:val="single" w:sz="8" w:space="0" w:color="000000"/>
              <w:bottom w:val="single" w:sz="8" w:space="0" w:color="000000"/>
              <w:insideH w:val="single" w:sz="8" w:space="0" w:color="000000"/>
            </w:tcBorders>
            <w:shd w:fill="auto" w:val="clear"/>
          </w:tcPr>
          <w:p>
            <w:pPr>
              <w:pStyle w:val="Normal"/>
              <w:jc w:val="both"/>
              <w:rPr/>
            </w:pPr>
            <w:r>
              <w:rPr/>
              <w:t>2. Связь заземления выдвижного элемента с корпусом</w:t>
            </w:r>
          </w:p>
        </w:tc>
        <w:tc>
          <w:tcPr>
            <w:tcW w:w="670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Не более 0,1 Ом</w:t>
            </w:r>
          </w:p>
        </w:tc>
      </w:tr>
      <w:tr>
        <w:trPr/>
        <w:tc>
          <w:tcPr>
            <w:tcW w:w="9355"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33"/>
              <w:jc w:val="both"/>
              <w:rPr/>
            </w:pPr>
            <w:r>
              <w:rPr/>
              <w:t>* Измерение выполняется, если позволяет конструкция КРУ</w:t>
            </w:r>
          </w:p>
        </w:tc>
      </w:tr>
    </w:tbl>
    <w:p>
      <w:pPr>
        <w:pStyle w:val="Normal"/>
        <w:spacing w:before="120" w:after="0"/>
        <w:ind w:firstLine="284"/>
        <w:jc w:val="both"/>
        <w:rPr/>
      </w:pPr>
      <w:r>
        <w:rP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p>
    <w:p>
      <w:pPr>
        <w:pStyle w:val="Normal"/>
        <w:ind w:firstLine="283"/>
        <w:jc w:val="both"/>
        <w:rPr/>
      </w:pPr>
      <w:r>
        <w:rPr/>
        <w:t>б) проверка работы и состояния контактов заземляющего разъединителя.</w:t>
      </w:r>
    </w:p>
    <w:p>
      <w:pPr>
        <w:pStyle w:val="Heading3"/>
        <w:rPr/>
      </w:pPr>
      <w:r>
        <w:rPr/>
        <w:t>1.8.26. Комплектные токопроводы (шинопроводы)</w:t>
      </w:r>
    </w:p>
    <w:p>
      <w:pPr>
        <w:pStyle w:val="Normal"/>
        <w:ind w:firstLine="283"/>
        <w:jc w:val="both"/>
        <w:rPr/>
      </w:pPr>
      <w:r>
        <w:rP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p>
    <w:p>
      <w:pPr>
        <w:pStyle w:val="Normal"/>
        <w:ind w:firstLine="283"/>
        <w:jc w:val="both"/>
        <w:rPr>
          <w:b/>
          <w:b/>
          <w:bCs/>
        </w:rPr>
      </w:pPr>
      <w:r>
        <w:rPr>
          <w:b/>
          <w:bCs/>
        </w:rPr>
        <w:t>1. Испытание повышенным напряжением промышленной частоты.</w:t>
      </w:r>
    </w:p>
    <w:p>
      <w:pPr>
        <w:pStyle w:val="Normal"/>
        <w:ind w:firstLine="283"/>
        <w:jc w:val="both"/>
        <w:rPr/>
      </w:pPr>
      <w:r>
        <w:rPr/>
        <w:t>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1.8.24.</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24</w:t>
      </w:r>
    </w:p>
    <w:p>
      <w:pPr>
        <w:pStyle w:val="Normal"/>
        <w:spacing w:before="0" w:after="120"/>
        <w:ind w:firstLine="283"/>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изоляции</w:t>
      </w:r>
      <w:r>
        <w:rPr>
          <w:b/>
          <w:bCs/>
        </w:rPr>
        <w:t xml:space="preserve"> </w:t>
      </w:r>
      <w:r>
        <w:rPr>
          <w:b/>
          <w:bCs/>
          <w:i/>
          <w:iCs/>
        </w:rPr>
        <w:t>токопроводов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87"/>
        <w:gridCol w:w="1305"/>
        <w:gridCol w:w="5963"/>
      </w:tblGrid>
      <w:tr>
        <w:trPr>
          <w:tblHeader w:val="true"/>
        </w:trPr>
        <w:tc>
          <w:tcPr>
            <w:tcW w:w="2087"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Класс напряжения, кВ</w:t>
            </w:r>
          </w:p>
        </w:tc>
        <w:tc>
          <w:tcPr>
            <w:tcW w:w="7268"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 токопровода с изоляцией</w:t>
            </w:r>
          </w:p>
        </w:tc>
      </w:tr>
      <w:tr>
        <w:trPr>
          <w:tblHeader w:val="true"/>
        </w:trPr>
        <w:tc>
          <w:tcPr>
            <w:tcW w:w="2087"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305" w:type="dxa"/>
            <w:tcBorders>
              <w:left w:val="single" w:sz="8" w:space="0" w:color="000000"/>
              <w:bottom w:val="single" w:sz="8" w:space="0" w:color="000000"/>
              <w:insideH w:val="single" w:sz="8" w:space="0" w:color="000000"/>
            </w:tcBorders>
            <w:shd w:fill="auto" w:val="clear"/>
            <w:vAlign w:val="center"/>
          </w:tcPr>
          <w:p>
            <w:pPr>
              <w:pStyle w:val="Normal"/>
              <w:jc w:val="center"/>
              <w:rPr/>
            </w:pPr>
            <w:r>
              <w:rPr/>
              <w:t>фарфоровой</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смешанной (керамической и из твердых органических материалов)</w:t>
            </w:r>
          </w:p>
        </w:tc>
      </w:tr>
      <w:tr>
        <w:trPr/>
        <w:tc>
          <w:tcPr>
            <w:tcW w:w="2087" w:type="dxa"/>
            <w:tcBorders>
              <w:left w:val="single" w:sz="8" w:space="0" w:color="000000"/>
              <w:bottom w:val="single" w:sz="8" w:space="0" w:color="000000"/>
              <w:insideH w:val="single" w:sz="8" w:space="0" w:color="000000"/>
            </w:tcBorders>
            <w:shd w:fill="auto" w:val="clear"/>
          </w:tcPr>
          <w:p>
            <w:pPr>
              <w:pStyle w:val="Normal"/>
              <w:jc w:val="center"/>
              <w:rPr/>
            </w:pPr>
            <w:r>
              <w:rPr/>
              <w:t>До 0,69</w:t>
            </w:r>
          </w:p>
        </w:tc>
        <w:tc>
          <w:tcPr>
            <w:tcW w:w="130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w:t>
            </w:r>
          </w:p>
        </w:tc>
      </w:tr>
      <w:tr>
        <w:trPr/>
        <w:tc>
          <w:tcPr>
            <w:tcW w:w="2087" w:type="dxa"/>
            <w:tcBorders>
              <w:left w:val="single" w:sz="8" w:space="0" w:color="000000"/>
              <w:bottom w:val="single" w:sz="8" w:space="0" w:color="000000"/>
              <w:insideH w:val="single" w:sz="8" w:space="0" w:color="000000"/>
            </w:tcBorders>
            <w:shd w:fill="auto" w:val="clear"/>
          </w:tcPr>
          <w:p>
            <w:pPr>
              <w:pStyle w:val="Normal"/>
              <w:jc w:val="center"/>
              <w:rPr/>
            </w:pPr>
            <w:r>
              <w:rPr/>
              <w:t>6</w:t>
            </w:r>
          </w:p>
        </w:tc>
        <w:tc>
          <w:tcPr>
            <w:tcW w:w="130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32</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28,8</w:t>
            </w:r>
          </w:p>
        </w:tc>
      </w:tr>
      <w:tr>
        <w:trPr/>
        <w:tc>
          <w:tcPr>
            <w:tcW w:w="2087" w:type="dxa"/>
            <w:tcBorders>
              <w:left w:val="single" w:sz="8" w:space="0" w:color="000000"/>
              <w:bottom w:val="single" w:sz="8" w:space="0" w:color="000000"/>
              <w:insideH w:val="single" w:sz="8" w:space="0" w:color="000000"/>
            </w:tcBorders>
            <w:shd w:fill="auto" w:val="clear"/>
          </w:tcPr>
          <w:p>
            <w:pPr>
              <w:pStyle w:val="Normal"/>
              <w:jc w:val="center"/>
              <w:rPr/>
            </w:pPr>
            <w:r>
              <w:rPr/>
              <w:t>10</w:t>
            </w:r>
          </w:p>
        </w:tc>
        <w:tc>
          <w:tcPr>
            <w:tcW w:w="130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42</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37,8</w:t>
            </w:r>
          </w:p>
        </w:tc>
      </w:tr>
      <w:tr>
        <w:trPr/>
        <w:tc>
          <w:tcPr>
            <w:tcW w:w="2087" w:type="dxa"/>
            <w:tcBorders>
              <w:left w:val="single" w:sz="8" w:space="0" w:color="000000"/>
              <w:bottom w:val="single" w:sz="8" w:space="0" w:color="000000"/>
              <w:insideH w:val="single" w:sz="8" w:space="0" w:color="000000"/>
            </w:tcBorders>
            <w:shd w:fill="auto" w:val="clear"/>
          </w:tcPr>
          <w:p>
            <w:pPr>
              <w:pStyle w:val="Normal"/>
              <w:jc w:val="center"/>
              <w:rPr/>
            </w:pPr>
            <w:r>
              <w:rPr/>
              <w:t>15</w:t>
            </w:r>
          </w:p>
        </w:tc>
        <w:tc>
          <w:tcPr>
            <w:tcW w:w="130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55</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49,5</w:t>
            </w:r>
          </w:p>
        </w:tc>
      </w:tr>
      <w:tr>
        <w:trPr/>
        <w:tc>
          <w:tcPr>
            <w:tcW w:w="2087"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130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95</w:t>
            </w:r>
          </w:p>
        </w:tc>
        <w:tc>
          <w:tcPr>
            <w:tcW w:w="596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85,5</w:t>
            </w:r>
          </w:p>
        </w:tc>
      </w:tr>
    </w:tbl>
    <w:p>
      <w:pPr>
        <w:pStyle w:val="Normal"/>
        <w:spacing w:before="120" w:after="0"/>
        <w:ind w:firstLine="283"/>
        <w:jc w:val="both"/>
        <w:rPr/>
      </w:pPr>
      <w:r>
        <w:rPr/>
        <w:t>Длительность приложения нормированного испытательного напряжения к токопроводу - 1 мин.</w:t>
      </w:r>
    </w:p>
    <w:p>
      <w:pPr>
        <w:pStyle w:val="Normal"/>
        <w:ind w:firstLine="283"/>
        <w:jc w:val="both"/>
        <w:rPr>
          <w:b/>
          <w:b/>
          <w:bCs/>
        </w:rPr>
      </w:pPr>
      <w:r>
        <w:rPr>
          <w:b/>
          <w:bCs/>
        </w:rPr>
        <w:t>2. Проверка качества выполнения болтовых и сварных соединений.</w:t>
      </w:r>
    </w:p>
    <w:p>
      <w:pPr>
        <w:pStyle w:val="Normal"/>
        <w:ind w:firstLine="283"/>
        <w:jc w:val="both"/>
        <w:rPr/>
      </w:pPr>
      <w:r>
        <w:rPr/>
        <w:t>Выборочно проверяется затяжка болтовых соединений токопровода, производится выборочная разборка 1 - 2 болтовых соединений токопровода с целью проверки качества выполнения контактных соединений.</w:t>
      </w:r>
    </w:p>
    <w:p>
      <w:pPr>
        <w:pStyle w:val="Normal"/>
        <w:ind w:firstLine="283"/>
        <w:jc w:val="both"/>
        <w:rPr/>
      </w:pPr>
      <w:r>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pPr>
        <w:pStyle w:val="Normal"/>
        <w:ind w:firstLine="283"/>
        <w:jc w:val="both"/>
        <w:rPr>
          <w:b/>
          <w:b/>
          <w:bCs/>
        </w:rPr>
      </w:pPr>
      <w:r>
        <w:rPr>
          <w:b/>
          <w:bCs/>
        </w:rPr>
        <w:t>3. Проверка состояния изоляционных прокладок.</w:t>
      </w:r>
    </w:p>
    <w:p>
      <w:pPr>
        <w:pStyle w:val="Normal"/>
        <w:ind w:firstLine="283"/>
        <w:jc w:val="both"/>
        <w:rPr/>
      </w:pPr>
      <w:r>
        <w:rPr/>
        <w:t>Производится у токопроводов, оболочки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1.8.25.</w:t>
      </w:r>
    </w:p>
    <w:p>
      <w:pPr>
        <w:pStyle w:val="Normal"/>
        <w:ind w:firstLine="283"/>
        <w:jc w:val="both"/>
        <w:rPr>
          <w:b/>
          <w:b/>
          <w:bCs/>
        </w:rPr>
      </w:pPr>
      <w:r>
        <w:rPr>
          <w:b/>
          <w:bCs/>
        </w:rPr>
        <w:t>4. Осмотр и проверка устройства искусственного охлаждения токопровода.</w:t>
      </w:r>
    </w:p>
    <w:p>
      <w:pPr>
        <w:pStyle w:val="Normal"/>
        <w:ind w:firstLine="283"/>
        <w:jc w:val="both"/>
        <w:rPr/>
      </w:pPr>
      <w:r>
        <w:rPr/>
        <w:t>Производится согласно инструкции завода-изготовителя.</w:t>
      </w:r>
    </w:p>
    <w:p>
      <w:pPr>
        <w:pStyle w:val="Heading3"/>
        <w:rPr/>
      </w:pPr>
      <w:r>
        <w:rPr/>
        <w:t>1.8.27. Сборные и соединительные шины</w:t>
      </w:r>
    </w:p>
    <w:p>
      <w:pPr>
        <w:pStyle w:val="Normal"/>
        <w:ind w:firstLine="283"/>
        <w:jc w:val="both"/>
        <w:rPr/>
      </w:pPr>
      <w:r>
        <w:rPr/>
        <w:t>Шины испытываются в объёме:</w:t>
      </w:r>
    </w:p>
    <w:p>
      <w:pPr>
        <w:pStyle w:val="Normal"/>
        <w:ind w:firstLine="283"/>
        <w:jc w:val="both"/>
        <w:rPr/>
      </w:pPr>
      <w:r>
        <w:rPr/>
        <w:t>на напряжение до 1 кВ - по пп. 1, 3 - 5;</w:t>
      </w:r>
    </w:p>
    <w:p>
      <w:pPr>
        <w:pStyle w:val="Normal"/>
        <w:ind w:firstLine="283"/>
        <w:jc w:val="both"/>
        <w:rPr/>
      </w:pPr>
      <w:r>
        <w:rPr/>
        <w:t>на напряжение выше 1 кВ - по пп. 2 - 6.</w:t>
      </w:r>
    </w:p>
    <w:p>
      <w:pPr>
        <w:pStyle w:val="Normal"/>
        <w:ind w:firstLine="283"/>
        <w:jc w:val="both"/>
        <w:rPr>
          <w:b/>
          <w:b/>
          <w:bCs/>
        </w:rPr>
      </w:pPr>
      <w:r>
        <w:rPr>
          <w:b/>
          <w:bCs/>
        </w:rPr>
        <w:t>1. Измерение сопротивления изоляции подвесных и опорных фарфоровых изоляторов.</w:t>
      </w:r>
    </w:p>
    <w:p>
      <w:pPr>
        <w:pStyle w:val="Normal"/>
        <w:ind w:firstLine="283"/>
        <w:jc w:val="both"/>
        <w:rPr/>
      </w:pPr>
      <w:r>
        <w:rPr/>
        <w:t>Производится мегаомметром на напряжение 2,5 кВ только при положительной температуре окружающего воздуха.</w:t>
      </w:r>
    </w:p>
    <w:p>
      <w:pPr>
        <w:pStyle w:val="Normal"/>
        <w:ind w:firstLine="283"/>
        <w:jc w:val="both"/>
        <w:rPr/>
      </w:pPr>
      <w:r>
        <w:rPr/>
        <w:t>Сопротивление каждого изолятора или каждого элемента многоэлементного изолятора должно быть не менее 300 МОм.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25</w:t>
      </w:r>
    </w:p>
    <w:p>
      <w:pPr>
        <w:pStyle w:val="Normal"/>
        <w:spacing w:before="0" w:after="120"/>
        <w:jc w:val="center"/>
        <w:rPr/>
      </w:pPr>
      <w:r>
        <w:rPr>
          <w:b/>
          <w:bCs/>
          <w:i/>
          <w:iCs/>
        </w:rPr>
        <w:t>Критерии</w:t>
      </w:r>
      <w:r>
        <w:rPr>
          <w:b/>
          <w:bCs/>
        </w:rPr>
        <w:t xml:space="preserve"> </w:t>
      </w:r>
      <w:r>
        <w:rPr>
          <w:b/>
          <w:bCs/>
          <w:i/>
          <w:iCs/>
        </w:rPr>
        <w:t>отсутствия</w:t>
      </w:r>
      <w:r>
        <w:rPr>
          <w:b/>
          <w:bCs/>
        </w:rPr>
        <w:t xml:space="preserve"> </w:t>
      </w:r>
      <w:r>
        <w:rPr>
          <w:b/>
          <w:bCs/>
          <w:i/>
          <w:iCs/>
        </w:rPr>
        <w:t>короткозамкнутых</w:t>
      </w:r>
      <w:r>
        <w:rPr>
          <w:b/>
          <w:bCs/>
        </w:rPr>
        <w:t xml:space="preserve"> </w:t>
      </w:r>
      <w:r>
        <w:rPr>
          <w:b/>
          <w:bCs/>
          <w:i/>
          <w:iCs/>
        </w:rPr>
        <w:t>контуров</w:t>
      </w:r>
      <w:r>
        <w:rPr>
          <w:b/>
          <w:bCs/>
        </w:rPr>
        <w:t xml:space="preserve"> </w:t>
      </w:r>
      <w:r>
        <w:rPr>
          <w:b/>
          <w:bCs/>
          <w:i/>
          <w:iCs/>
        </w:rPr>
        <w:t>в</w:t>
      </w:r>
      <w:r>
        <w:rPr>
          <w:b/>
          <w:bCs/>
        </w:rPr>
        <w:t xml:space="preserve"> </w:t>
      </w:r>
      <w:r>
        <w:rPr>
          <w:b/>
          <w:bCs/>
          <w:i/>
          <w:iCs/>
        </w:rPr>
        <w:t>токопроводах</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41"/>
        <w:gridCol w:w="2413"/>
        <w:gridCol w:w="3290"/>
        <w:gridCol w:w="1611"/>
      </w:tblGrid>
      <w:tr>
        <w:trPr>
          <w:tblHeader w:val="true"/>
        </w:trPr>
        <w:tc>
          <w:tcPr>
            <w:tcW w:w="204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Конструкция токопровода</w:t>
            </w:r>
          </w:p>
        </w:tc>
        <w:tc>
          <w:tcPr>
            <w:tcW w:w="241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Проверяемый узел</w:t>
            </w:r>
          </w:p>
        </w:tc>
        <w:tc>
          <w:tcPr>
            <w:tcW w:w="3290"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Критерий оценки состояния</w:t>
            </w:r>
          </w:p>
        </w:tc>
        <w:tc>
          <w:tcPr>
            <w:tcW w:w="161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Примечание</w:t>
            </w:r>
          </w:p>
        </w:tc>
      </w:tr>
      <w:tr>
        <w:trPr/>
        <w:tc>
          <w:tcPr>
            <w:tcW w:w="2041" w:type="dxa"/>
            <w:vMerge w:val="restart"/>
            <w:tcBorders>
              <w:left w:val="single" w:sz="8" w:space="0" w:color="000000"/>
              <w:bottom w:val="single" w:sz="8" w:space="0" w:color="000000"/>
              <w:insideH w:val="single" w:sz="8" w:space="0" w:color="000000"/>
            </w:tcBorders>
            <w:shd w:fill="auto" w:val="clear"/>
          </w:tcPr>
          <w:p>
            <w:pPr>
              <w:pStyle w:val="Normal"/>
              <w:jc w:val="both"/>
              <w:rPr/>
            </w:pPr>
            <w:r>
              <w:rPr/>
              <w:t>С непрерывными экранами</w:t>
            </w:r>
          </w:p>
        </w:tc>
        <w:tc>
          <w:tcPr>
            <w:tcW w:w="2413" w:type="dxa"/>
            <w:tcBorders>
              <w:left w:val="single" w:sz="8" w:space="0" w:color="000000"/>
            </w:tcBorders>
            <w:shd w:fill="auto" w:val="clear"/>
            <w:tcMar>
              <w:left w:w="0" w:type="dxa"/>
              <w:right w:w="0" w:type="dxa"/>
            </w:tcMar>
          </w:tcPr>
          <w:p>
            <w:pPr>
              <w:pStyle w:val="Normal"/>
              <w:jc w:val="both"/>
              <w:rPr/>
            </w:pPr>
            <w:r>
              <w:rPr/>
              <w:t>Изоляция экранов или коробов токопровода от корпуса трансформатора и генератора при:</w:t>
            </w:r>
          </w:p>
        </w:tc>
        <w:tc>
          <w:tcPr>
            <w:tcW w:w="3290" w:type="dxa"/>
            <w:tcBorders>
              <w:left w:val="single" w:sz="8" w:space="0" w:color="000000"/>
            </w:tcBorders>
            <w:shd w:fill="auto" w:val="clear"/>
            <w:tcMar>
              <w:left w:w="0" w:type="dxa"/>
              <w:right w:w="0" w:type="dxa"/>
            </w:tcMar>
          </w:tcPr>
          <w:p>
            <w:pPr>
              <w:pStyle w:val="Normal"/>
              <w:snapToGrid w:val="false"/>
              <w:rPr/>
            </w:pPr>
            <w:r>
              <w:rPr/>
            </w:r>
          </w:p>
        </w:tc>
        <w:tc>
          <w:tcPr>
            <w:tcW w:w="1611"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413" w:type="dxa"/>
            <w:tcBorders>
              <w:top w:val="single" w:sz="8" w:space="0" w:color="000000"/>
              <w:left w:val="single" w:sz="8" w:space="0" w:color="000000"/>
            </w:tcBorders>
            <w:shd w:fill="auto" w:val="clear"/>
          </w:tcPr>
          <w:p>
            <w:pPr>
              <w:pStyle w:val="Normal"/>
              <w:jc w:val="both"/>
              <w:rPr/>
            </w:pPr>
            <w:r>
              <w:rPr/>
              <w:t>- непрерывном воздушном зазоре (щели) между экранами токопровода и корпусом генератора;</w:t>
            </w:r>
          </w:p>
        </w:tc>
        <w:tc>
          <w:tcPr>
            <w:tcW w:w="3290" w:type="dxa"/>
            <w:tcBorders>
              <w:top w:val="single" w:sz="8" w:space="0" w:color="000000"/>
              <w:left w:val="single" w:sz="8" w:space="0" w:color="000000"/>
            </w:tcBorders>
            <w:shd w:fill="auto" w:val="clear"/>
            <w:tcMar>
              <w:left w:w="0" w:type="dxa"/>
              <w:right w:w="0" w:type="dxa"/>
            </w:tcMar>
          </w:tcPr>
          <w:p>
            <w:pPr>
              <w:pStyle w:val="Normal"/>
              <w:jc w:val="both"/>
              <w:rPr/>
            </w:pPr>
            <w:r>
              <w:rPr/>
              <w:t>Отсутствие металлического замыкания между экранами и корпусом генератора</w:t>
            </w:r>
          </w:p>
        </w:tc>
        <w:tc>
          <w:tcPr>
            <w:tcW w:w="1611" w:type="dxa"/>
            <w:tcBorders>
              <w:top w:val="single" w:sz="8" w:space="0" w:color="000000"/>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При визуальном осмотре</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413" w:type="dxa"/>
            <w:tcBorders>
              <w:left w:val="single" w:sz="8" w:space="0" w:color="000000"/>
            </w:tcBorders>
            <w:shd w:fill="auto" w:val="clear"/>
          </w:tcPr>
          <w:p>
            <w:pPr>
              <w:pStyle w:val="Normal"/>
              <w:jc w:val="both"/>
              <w:rPr/>
            </w:pPr>
            <w:r>
              <w:rPr/>
              <w:t>- односторонней изоляции уплотнений экранов и коробов токопровода от корпуса трансформатора и генератора;</w:t>
            </w:r>
          </w:p>
        </w:tc>
        <w:tc>
          <w:tcPr>
            <w:tcW w:w="3290" w:type="dxa"/>
            <w:tcBorders>
              <w:left w:val="single" w:sz="8" w:space="0" w:color="000000"/>
            </w:tcBorders>
            <w:shd w:fill="auto" w:val="clear"/>
            <w:tcMar>
              <w:left w:w="0" w:type="dxa"/>
              <w:right w:w="0" w:type="dxa"/>
            </w:tcMar>
          </w:tcPr>
          <w:p>
            <w:pPr>
              <w:pStyle w:val="Normal"/>
              <w:jc w:val="both"/>
              <w:rPr/>
            </w:pPr>
            <w:r>
              <w:rP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tc>
        <w:tc>
          <w:tcPr>
            <w:tcW w:w="161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При визуальном осмотре</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2413" w:type="dxa"/>
            <w:tcBorders>
              <w:left w:val="single" w:sz="8" w:space="0" w:color="000000"/>
              <w:bottom w:val="single" w:sz="8" w:space="0" w:color="000000"/>
              <w:insideH w:val="single" w:sz="8" w:space="0" w:color="000000"/>
            </w:tcBorders>
            <w:shd w:fill="auto" w:val="clear"/>
          </w:tcPr>
          <w:p>
            <w:pPr>
              <w:pStyle w:val="Normal"/>
              <w:jc w:val="both"/>
              <w:rPr/>
            </w:pPr>
            <w:r>
              <w:rPr/>
              <w:t>- двухсторонней изоляции уплотнений съемных экранов и коробов токопровода, подсоединенных к корпусу трансформатора и генератора</w:t>
            </w:r>
          </w:p>
        </w:tc>
        <w:tc>
          <w:tcPr>
            <w:tcW w:w="329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Сопротивление изоляции съемного экрана или короба относительно корпуса трансформатора и генератора при демонтированных стяжных шпильках и заземляющих проводниках должно быть не менее 10 кОм</w:t>
            </w:r>
          </w:p>
        </w:tc>
        <w:tc>
          <w:tcPr>
            <w:tcW w:w="161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Измеряется мегаомметром на напряжение 500 В</w:t>
            </w:r>
          </w:p>
        </w:tc>
      </w:tr>
      <w:tr>
        <w:trPr/>
        <w:tc>
          <w:tcPr>
            <w:tcW w:w="2041" w:type="dxa"/>
            <w:vMerge w:val="restart"/>
            <w:tcBorders>
              <w:left w:val="single" w:sz="8" w:space="0" w:color="000000"/>
            </w:tcBorders>
            <w:shd w:fill="auto" w:val="clear"/>
          </w:tcPr>
          <w:p>
            <w:pPr>
              <w:pStyle w:val="Normal"/>
              <w:jc w:val="both"/>
              <w:rPr/>
            </w:pPr>
            <w:r>
              <w:rPr/>
              <w:t>Секционированные</w:t>
            </w:r>
          </w:p>
        </w:tc>
        <w:tc>
          <w:tcPr>
            <w:tcW w:w="2413" w:type="dxa"/>
            <w:tcBorders>
              <w:left w:val="single" w:sz="8" w:space="0" w:color="000000"/>
            </w:tcBorders>
            <w:shd w:fill="auto" w:val="clear"/>
            <w:tcMar>
              <w:left w:w="0" w:type="dxa"/>
              <w:right w:w="0" w:type="dxa"/>
            </w:tcMar>
          </w:tcPr>
          <w:p>
            <w:pPr>
              <w:pStyle w:val="Normal"/>
              <w:jc w:val="both"/>
              <w:rPr/>
            </w:pPr>
            <w:r>
              <w:rPr/>
              <w:t>Изоляция резиновых компенсаторов экранов токопроводов от корпуса трансформатора и генератора</w:t>
            </w:r>
          </w:p>
        </w:tc>
        <w:tc>
          <w:tcPr>
            <w:tcW w:w="3290" w:type="dxa"/>
            <w:tcBorders>
              <w:left w:val="single" w:sz="8" w:space="0" w:color="000000"/>
            </w:tcBorders>
            <w:shd w:fill="auto" w:val="clear"/>
            <w:tcMar>
              <w:left w:w="0" w:type="dxa"/>
              <w:right w:w="0" w:type="dxa"/>
            </w:tcMar>
          </w:tcPr>
          <w:p>
            <w:pPr>
              <w:pStyle w:val="Normal"/>
              <w:jc w:val="both"/>
              <w:rPr/>
            </w:pPr>
            <w:r>
              <w:rPr/>
              <w:t>Зазор в свету между болтами соседних нажимных колец резинового компенсатора должен быть не менее 5 мм</w:t>
            </w:r>
          </w:p>
        </w:tc>
        <w:tc>
          <w:tcPr>
            <w:tcW w:w="161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При визуальном осмотре</w:t>
            </w:r>
          </w:p>
        </w:tc>
      </w:tr>
      <w:tr>
        <w:trPr/>
        <w:tc>
          <w:tcPr>
            <w:tcW w:w="2041" w:type="dxa"/>
            <w:vMerge w:val="continue"/>
            <w:tcBorders>
              <w:left w:val="single" w:sz="8" w:space="0" w:color="000000"/>
            </w:tcBorders>
            <w:shd w:fill="auto" w:val="clear"/>
          </w:tcPr>
          <w:p>
            <w:pPr>
              <w:pStyle w:val="Normal"/>
              <w:snapToGrid w:val="false"/>
              <w:rPr/>
            </w:pPr>
            <w:r>
              <w:rPr/>
            </w:r>
          </w:p>
        </w:tc>
        <w:tc>
          <w:tcPr>
            <w:tcW w:w="2413" w:type="dxa"/>
            <w:tcBorders>
              <w:left w:val="single" w:sz="8" w:space="0" w:color="000000"/>
            </w:tcBorders>
            <w:shd w:fill="auto" w:val="clear"/>
          </w:tcPr>
          <w:p>
            <w:pPr>
              <w:pStyle w:val="Normal"/>
              <w:jc w:val="both"/>
              <w:rPr/>
            </w:pPr>
            <w:r>
              <w:rPr/>
              <w:t>Изоляция резиновых уплотнений съемных и подвижных экранов</w:t>
            </w:r>
          </w:p>
        </w:tc>
        <w:tc>
          <w:tcPr>
            <w:tcW w:w="3290" w:type="dxa"/>
            <w:tcBorders>
              <w:left w:val="single" w:sz="8" w:space="0" w:color="000000"/>
            </w:tcBorders>
            <w:shd w:fill="auto" w:val="clear"/>
            <w:tcMar>
              <w:left w:w="0" w:type="dxa"/>
              <w:right w:w="0" w:type="dxa"/>
            </w:tcMar>
          </w:tcPr>
          <w:p>
            <w:pPr>
              <w:pStyle w:val="Normal"/>
              <w:jc w:val="both"/>
              <w:rPr/>
            </w:pPr>
            <w:r>
              <w:rPr/>
              <w:t>Сопротивление изоляции экрана относительно металлоконструкций при демонтированных стяжных шпильках должно быть не менее 10 кОм</w:t>
            </w:r>
          </w:p>
        </w:tc>
        <w:tc>
          <w:tcPr>
            <w:tcW w:w="161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both"/>
              <w:rPr/>
            </w:pPr>
            <w:r>
              <w:rPr/>
              <w:t>Измеряется мегаомметром на напряжение 500 В</w:t>
            </w:r>
          </w:p>
        </w:tc>
      </w:tr>
      <w:tr>
        <w:trPr/>
        <w:tc>
          <w:tcPr>
            <w:tcW w:w="2041" w:type="dxa"/>
            <w:tcBorders>
              <w:left w:val="single" w:sz="8" w:space="0" w:color="000000"/>
              <w:bottom w:val="single" w:sz="8" w:space="0" w:color="000000"/>
              <w:insideH w:val="single" w:sz="8" w:space="0" w:color="000000"/>
            </w:tcBorders>
            <w:shd w:fill="auto" w:val="clear"/>
          </w:tcPr>
          <w:p>
            <w:pPr>
              <w:pStyle w:val="Normal"/>
              <w:jc w:val="both"/>
              <w:rPr/>
            </w:pPr>
            <w:r>
              <w:rPr/>
              <w:t>Все типы с двухслойными прокладками станин экранов</w:t>
            </w:r>
          </w:p>
        </w:tc>
        <w:tc>
          <w:tcPr>
            <w:tcW w:w="241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Изоляционные прокладки станин экранов</w:t>
            </w:r>
          </w:p>
        </w:tc>
        <w:tc>
          <w:tcPr>
            <w:tcW w:w="329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Сопротивление изоляции прокладок относительно металлоконструкций должно быть не менее 10 кОм</w:t>
            </w:r>
          </w:p>
        </w:tc>
        <w:tc>
          <w:tcPr>
            <w:tcW w:w="161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1. Измеряется мегаомметром на напряжение 500 В</w:t>
            </w:r>
          </w:p>
          <w:p>
            <w:pPr>
              <w:pStyle w:val="Normal"/>
              <w:jc w:val="both"/>
              <w:rPr/>
            </w:pPr>
            <w:r>
              <w:rPr/>
              <w:t>2. Состояние изоляционных втулок болтов крепления станин проверяется визуально</w:t>
            </w:r>
          </w:p>
        </w:tc>
      </w:tr>
      <w:tr>
        <w:trPr/>
        <w:tc>
          <w:tcPr>
            <w:tcW w:w="2041" w:type="dxa"/>
            <w:tcBorders>
              <w:left w:val="single" w:sz="8" w:space="0" w:color="000000"/>
              <w:bottom w:val="single" w:sz="8" w:space="0" w:color="000000"/>
              <w:insideH w:val="single" w:sz="8" w:space="0" w:color="000000"/>
            </w:tcBorders>
            <w:shd w:fill="auto" w:val="clear"/>
          </w:tcPr>
          <w:p>
            <w:pPr>
              <w:pStyle w:val="Normal"/>
              <w:jc w:val="both"/>
              <w:rPr/>
            </w:pPr>
            <w:r>
              <w:rPr/>
              <w:t>Все типы</w:t>
            </w:r>
          </w:p>
        </w:tc>
        <w:tc>
          <w:tcPr>
            <w:tcW w:w="241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Междуфазные тяги разъединителей и заземлителей</w:t>
            </w:r>
          </w:p>
        </w:tc>
        <w:tc>
          <w:tcPr>
            <w:tcW w:w="329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Тяги должны иметь изоляционные вставки или другие элементы, исключающие образование короткозамкнутого контура</w:t>
            </w:r>
          </w:p>
        </w:tc>
        <w:tc>
          <w:tcPr>
            <w:tcW w:w="161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При визуальном осмотре</w:t>
            </w:r>
          </w:p>
        </w:tc>
      </w:tr>
    </w:tbl>
    <w:p>
      <w:pPr>
        <w:pStyle w:val="Normal"/>
        <w:spacing w:before="120" w:after="0"/>
        <w:ind w:firstLine="284"/>
        <w:jc w:val="both"/>
        <w:rPr>
          <w:b/>
          <w:b/>
          <w:bCs/>
        </w:rPr>
      </w:pPr>
      <w:r>
        <w:rPr>
          <w:b/>
          <w:bCs/>
        </w:rPr>
        <w:t>2. Испытание изоляции повышенным напряжением промышленной частоты.</w:t>
      </w:r>
    </w:p>
    <w:p>
      <w:pPr>
        <w:pStyle w:val="Normal"/>
        <w:ind w:firstLine="283"/>
        <w:jc w:val="both"/>
        <w:rPr/>
      </w:pPr>
      <w:r>
        <w:rPr/>
        <w:t>Испытание изоляции проводится согласно табл. 1.8.24.</w:t>
      </w:r>
    </w:p>
    <w:p>
      <w:pPr>
        <w:pStyle w:val="Normal"/>
        <w:ind w:firstLine="283"/>
        <w:jc w:val="both"/>
        <w:rPr/>
      </w:pPr>
      <w:r>
        <w:rPr/>
        <w:t>Продолжительность испытания - 1 мин.</w:t>
      </w:r>
    </w:p>
    <w:p>
      <w:pPr>
        <w:pStyle w:val="Normal"/>
        <w:ind w:firstLine="283"/>
        <w:jc w:val="both"/>
        <w:rPr>
          <w:b/>
          <w:b/>
          <w:bCs/>
        </w:rPr>
      </w:pPr>
      <w:r>
        <w:rPr>
          <w:b/>
          <w:bCs/>
        </w:rPr>
        <w:t>3. Проверка качества выполнения болтовых контактных соединений.</w:t>
      </w:r>
    </w:p>
    <w:p>
      <w:pPr>
        <w:pStyle w:val="Normal"/>
        <w:ind w:firstLine="283"/>
        <w:jc w:val="both"/>
        <w:rPr/>
      </w:pPr>
      <w:r>
        <w:rPr/>
        <w:t>Производится выборочная проверка качества затяжки контактов и вскрытие 2 - 3 % соединений. Измерение переходного сопротивления контактных соединений следует производить выборочно на 2 - 3 % соединений. Контактные соединения на ток более 1000 А рекомендуется проверять в полном объеме.</w:t>
      </w:r>
    </w:p>
    <w:p>
      <w:pPr>
        <w:pStyle w:val="Normal"/>
        <w:ind w:firstLine="283"/>
        <w:jc w:val="both"/>
        <w:rPr/>
      </w:pPr>
      <w:r>
        <w:rPr/>
        <w:t>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более чем в 1,2 раза.</w:t>
      </w:r>
    </w:p>
    <w:p>
      <w:pPr>
        <w:pStyle w:val="Normal"/>
        <w:ind w:firstLine="283"/>
        <w:jc w:val="both"/>
        <w:rPr>
          <w:b/>
          <w:b/>
          <w:bCs/>
        </w:rPr>
      </w:pPr>
      <w:r>
        <w:rPr>
          <w:b/>
          <w:bCs/>
        </w:rPr>
        <w:t>4. Проверка качества выполнения впрессованных контактных соединений.</w:t>
      </w:r>
    </w:p>
    <w:p>
      <w:pPr>
        <w:pStyle w:val="Normal"/>
        <w:ind w:firstLine="283"/>
        <w:jc w:val="both"/>
        <w:rPr/>
      </w:pPr>
      <w:r>
        <w:rPr/>
        <w:t>Спрессованные контактные соединения бракуются, если:</w:t>
      </w:r>
    </w:p>
    <w:p>
      <w:pPr>
        <w:pStyle w:val="Normal"/>
        <w:ind w:firstLine="283"/>
        <w:jc w:val="both"/>
        <w:rPr/>
      </w:pPr>
      <w:r>
        <w:rPr/>
        <w:t>а) их геометрические размеры (длина и диаметр спрессованной части) не соответствуют требованиям инструкции по монтажу соединительных зажимов данного типа;</w:t>
      </w:r>
    </w:p>
    <w:p>
      <w:pPr>
        <w:pStyle w:val="Normal"/>
        <w:ind w:firstLine="283"/>
        <w:jc w:val="both"/>
        <w:rPr/>
      </w:pPr>
      <w:r>
        <w:rPr/>
        <w:t>б) на поверхности соединителя или зажима имеются трещины, следы значительной коррозии и механических повреждений;</w:t>
      </w:r>
    </w:p>
    <w:p>
      <w:pPr>
        <w:pStyle w:val="Normal"/>
        <w:ind w:firstLine="283"/>
        <w:jc w:val="both"/>
        <w:rPr/>
      </w:pPr>
      <w:r>
        <w:rPr/>
        <w:t>в) кривизна опрессованного соединителя превышает 3 % его длины;</w:t>
      </w:r>
    </w:p>
    <w:p>
      <w:pPr>
        <w:pStyle w:val="Normal"/>
        <w:ind w:firstLine="283"/>
        <w:jc w:val="both"/>
        <w:rPr/>
      </w:pPr>
      <w:r>
        <w:rPr/>
        <w:t>г) стальной сердечник опрессованного соединителя смещен относительно симметричного положения более чем на 15 % длины прессуемой части провода.</w:t>
      </w:r>
    </w:p>
    <w:p>
      <w:pPr>
        <w:pStyle w:val="Normal"/>
        <w:ind w:firstLine="283"/>
        <w:jc w:val="both"/>
        <w:rPr/>
      </w:pPr>
      <w:r>
        <w:rPr/>
        <w:t>Следует произвести выборочное измерение переходного сопротивления 3 - 5 % спрессованных контактных соединений.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pPr>
        <w:pStyle w:val="Normal"/>
        <w:ind w:firstLine="283"/>
        <w:jc w:val="both"/>
        <w:rPr>
          <w:b/>
          <w:b/>
          <w:bCs/>
        </w:rPr>
      </w:pPr>
      <w:r>
        <w:rPr>
          <w:b/>
          <w:bCs/>
        </w:rPr>
        <w:t>5. Контроль сварных контактных соединений.</w:t>
      </w:r>
    </w:p>
    <w:p>
      <w:pPr>
        <w:pStyle w:val="Normal"/>
        <w:ind w:firstLine="283"/>
        <w:jc w:val="both"/>
        <w:rPr/>
      </w:pPr>
      <w:r>
        <w:rPr/>
        <w:t>Сварные контактные соединения бракуются, если непосредственно после выполнения сварки будут обнаружены:</w:t>
      </w:r>
    </w:p>
    <w:p>
      <w:pPr>
        <w:pStyle w:val="Normal"/>
        <w:ind w:firstLine="283"/>
        <w:jc w:val="both"/>
        <w:rPr/>
      </w:pPr>
      <w:r>
        <w:rPr/>
        <w:t>а) пережог провода наружного повива или нарушение сварки при перегибе соединённых проводов;</w:t>
      </w:r>
    </w:p>
    <w:p>
      <w:pPr>
        <w:pStyle w:val="Normal"/>
        <w:ind w:firstLine="283"/>
        <w:jc w:val="both"/>
        <w:rPr/>
      </w:pPr>
      <w:r>
        <w:rPr/>
        <w:t>б) усадочная раковина в месте сварки глубиной более 1/3 диаметра провода.</w:t>
      </w:r>
    </w:p>
    <w:p>
      <w:pPr>
        <w:pStyle w:val="Normal"/>
        <w:ind w:firstLine="283"/>
        <w:jc w:val="both"/>
        <w:rPr>
          <w:b/>
          <w:b/>
          <w:bCs/>
        </w:rPr>
      </w:pPr>
      <w:r>
        <w:rPr>
          <w:b/>
          <w:bCs/>
        </w:rPr>
        <w:t>6. Испытание проходных изоляторов.</w:t>
      </w:r>
    </w:p>
    <w:p>
      <w:pPr>
        <w:pStyle w:val="Normal"/>
        <w:ind w:firstLine="283"/>
        <w:jc w:val="both"/>
        <w:rPr/>
      </w:pPr>
      <w:r>
        <w:rPr/>
        <w:t>Производится в соответствии с 1.8.34.</w:t>
      </w:r>
    </w:p>
    <w:p>
      <w:pPr>
        <w:pStyle w:val="Heading3"/>
        <w:rPr/>
      </w:pPr>
      <w:r>
        <w:rPr/>
        <w:t>1.8.28. Сухие токоограничивающие реакторы</w:t>
      </w:r>
    </w:p>
    <w:p>
      <w:pPr>
        <w:pStyle w:val="Normal"/>
        <w:ind w:firstLine="283"/>
        <w:jc w:val="both"/>
        <w:rPr>
          <w:b/>
          <w:b/>
          <w:bCs/>
        </w:rPr>
      </w:pPr>
      <w:r>
        <w:rPr>
          <w:b/>
          <w:bCs/>
        </w:rPr>
        <w:t>1. Измерение сопротивления изоляции обмоток относительно болтов крепления.</w:t>
      </w:r>
    </w:p>
    <w:p>
      <w:pPr>
        <w:pStyle w:val="Normal"/>
        <w:ind w:firstLine="283"/>
        <w:jc w:val="both"/>
        <w:rPr/>
      </w:pPr>
      <w:r>
        <w:rPr/>
        <w:t>Производится мегаомметром на напряжение 2,5 кВ. Сопротивление изоляции должно быть не менее 0,5 МОм.</w:t>
      </w:r>
    </w:p>
    <w:p>
      <w:pPr>
        <w:pStyle w:val="Normal"/>
        <w:ind w:firstLine="283"/>
        <w:jc w:val="both"/>
        <w:rPr>
          <w:b/>
          <w:b/>
          <w:bCs/>
        </w:rPr>
      </w:pPr>
      <w:r>
        <w:rPr>
          <w:b/>
          <w:bCs/>
        </w:rPr>
        <w:t>2. Испытание опорной изоляции реакторов повышенным напряжением промышленной частоты.</w:t>
      </w:r>
    </w:p>
    <w:p>
      <w:pPr>
        <w:pStyle w:val="Normal"/>
        <w:ind w:firstLine="283"/>
        <w:jc w:val="both"/>
        <w:rPr/>
      </w:pPr>
      <w:r>
        <w:rPr/>
        <w:t>Испытательное напряжение опорной изоляции полностью собранного реактора принимается согласно табл. 1.8.24.</w:t>
      </w:r>
    </w:p>
    <w:p>
      <w:pPr>
        <w:pStyle w:val="Normal"/>
        <w:ind w:firstLine="283"/>
        <w:jc w:val="both"/>
        <w:rPr/>
      </w:pPr>
      <w:r>
        <w:rPr/>
        <w:t>Продолжительность приложения нормированного испытательного напряжения 1 мин.</w:t>
      </w:r>
    </w:p>
    <w:p>
      <w:pPr>
        <w:pStyle w:val="Normal"/>
        <w:ind w:firstLine="283"/>
        <w:jc w:val="both"/>
        <w:rPr/>
      </w:pPr>
      <w:r>
        <w:rP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pPr>
        <w:pStyle w:val="Heading3"/>
        <w:rPr/>
      </w:pPr>
      <w:r>
        <w:rPr/>
        <w:t>1.8.29. Электрофильтры</w:t>
      </w:r>
    </w:p>
    <w:p>
      <w:pPr>
        <w:pStyle w:val="Normal"/>
        <w:ind w:firstLine="283"/>
        <w:jc w:val="both"/>
        <w:rPr>
          <w:b/>
          <w:b/>
          <w:bCs/>
        </w:rPr>
      </w:pPr>
      <w:r>
        <w:rPr>
          <w:b/>
          <w:bCs/>
        </w:rPr>
        <w:t>1. Измерение сопротивления изоляции обмоток трансформатора агрегата питания.</w:t>
      </w:r>
    </w:p>
    <w:p>
      <w:pPr>
        <w:pStyle w:val="Normal"/>
        <w:ind w:firstLine="283"/>
        <w:jc w:val="both"/>
        <w:rPr/>
      </w:pPr>
      <w:r>
        <w:rPr/>
        <w:t>Сопротивление изоляции обмоток напряжением 380/220 В с подсоединенными к ним цепями должно быть не менее 1 МОм.</w:t>
      </w:r>
    </w:p>
    <w:p>
      <w:pPr>
        <w:pStyle w:val="Normal"/>
        <w:ind w:firstLine="283"/>
        <w:jc w:val="both"/>
        <w:rPr/>
      </w:pPr>
      <w:r>
        <w:rPr/>
        <w:t>Сопротивление изоляции обмоток высокого напряжения не должно быть ниже 50 МОм при температуре 25 °С или не должно быть менее 70 % значения, указанного в паспорте агрегата.</w:t>
      </w:r>
    </w:p>
    <w:p>
      <w:pPr>
        <w:pStyle w:val="Normal"/>
        <w:ind w:firstLine="283"/>
        <w:jc w:val="both"/>
        <w:rPr>
          <w:b/>
          <w:b/>
          <w:bCs/>
        </w:rPr>
      </w:pPr>
      <w:r>
        <w:rPr>
          <w:b/>
          <w:bCs/>
        </w:rPr>
        <w:t>2. Испытание изоляции цепей 380/220 В агрегата питания.</w:t>
      </w:r>
    </w:p>
    <w:p>
      <w:pPr>
        <w:pStyle w:val="Normal"/>
        <w:ind w:firstLine="283"/>
        <w:jc w:val="both"/>
        <w:rPr/>
      </w:pPr>
      <w:r>
        <w:rP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pPr>
        <w:pStyle w:val="Normal"/>
        <w:ind w:firstLine="283"/>
        <w:jc w:val="both"/>
        <w:rPr>
          <w:b/>
          <w:b/>
          <w:bCs/>
        </w:rPr>
      </w:pPr>
      <w:r>
        <w:rPr>
          <w:b/>
          <w:bCs/>
        </w:rPr>
        <w:t>3. Измерение сопротивления изоляции кабеля высокого напряжения.</w:t>
      </w:r>
    </w:p>
    <w:p>
      <w:pPr>
        <w:pStyle w:val="Normal"/>
        <w:ind w:firstLine="283"/>
        <w:jc w:val="both"/>
        <w:rPr/>
      </w:pPr>
      <w:r>
        <w:rPr/>
        <w:t>Сопротивление изоляции, измеренное мегаомметром на напряжение 2500 В, не должно быть менее 10 МОм.</w:t>
      </w:r>
    </w:p>
    <w:p>
      <w:pPr>
        <w:pStyle w:val="Normal"/>
        <w:ind w:firstLine="283"/>
        <w:jc w:val="both"/>
        <w:rPr>
          <w:b/>
          <w:b/>
          <w:bCs/>
        </w:rPr>
      </w:pPr>
      <w:r>
        <w:rPr>
          <w:b/>
          <w:bCs/>
        </w:rPr>
        <w:t>4. Испытание изоляции кабеля высокого напряжения.</w:t>
      </w:r>
    </w:p>
    <w:p>
      <w:pPr>
        <w:pStyle w:val="Normal"/>
        <w:ind w:firstLine="283"/>
        <w:jc w:val="both"/>
        <w:rPr/>
      </w:pPr>
      <w:r>
        <w:rPr/>
        <w:t>Испытание производится напряжением 75 кВ постоянного тока в течение 30 мин.</w:t>
      </w:r>
    </w:p>
    <w:p>
      <w:pPr>
        <w:pStyle w:val="Normal"/>
        <w:ind w:firstLine="283"/>
        <w:jc w:val="both"/>
        <w:rPr>
          <w:b/>
          <w:b/>
          <w:bCs/>
        </w:rPr>
      </w:pPr>
      <w:r>
        <w:rPr>
          <w:b/>
          <w:bCs/>
        </w:rPr>
        <w:t>5. Испытания трансформаторного масла.</w:t>
      </w:r>
    </w:p>
    <w:p>
      <w:pPr>
        <w:pStyle w:val="Normal"/>
        <w:ind w:firstLine="283"/>
        <w:jc w:val="both"/>
        <w:rPr/>
      </w:pPr>
      <w:r>
        <w:rPr/>
        <w:t>Предельно допустимые значения пробивного напряжения</w:t>
      </w:r>
    </w:p>
    <w:p>
      <w:pPr>
        <w:pStyle w:val="Normal"/>
        <w:ind w:firstLine="283"/>
        <w:jc w:val="both"/>
        <w:rPr/>
      </w:pPr>
      <w:r>
        <w:rPr/>
        <w:t>масла: до заливки - 40 кВ, после - 35 кВ. В масле не должно содержаться следов воды.</w:t>
      </w:r>
    </w:p>
    <w:p>
      <w:pPr>
        <w:pStyle w:val="Normal"/>
        <w:ind w:firstLine="283"/>
        <w:jc w:val="both"/>
        <w:rPr>
          <w:b/>
          <w:b/>
          <w:bCs/>
        </w:rPr>
      </w:pPr>
      <w:r>
        <w:rPr>
          <w:b/>
          <w:bCs/>
        </w:rPr>
        <w:t>6. Проверка исправности заземления элементов оборудования.</w:t>
      </w:r>
    </w:p>
    <w:p>
      <w:pPr>
        <w:pStyle w:val="Normal"/>
        <w:ind w:firstLine="283"/>
        <w:jc w:val="both"/>
        <w:rPr/>
      </w:pPr>
      <w:r>
        <w:rPr/>
        <w:t>Производится проверка надежности крепления заземляющих проводников к заземлителю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pPr>
        <w:pStyle w:val="Normal"/>
        <w:ind w:firstLine="283"/>
        <w:jc w:val="both"/>
        <w:rPr>
          <w:b/>
          <w:b/>
          <w:bCs/>
        </w:rPr>
      </w:pPr>
      <w:r>
        <w:rPr>
          <w:b/>
          <w:bCs/>
        </w:rPr>
        <w:t>7. Проверка сопротивления заземляющих устройств.</w:t>
      </w:r>
    </w:p>
    <w:p>
      <w:pPr>
        <w:pStyle w:val="Normal"/>
        <w:ind w:firstLine="283"/>
        <w:jc w:val="both"/>
        <w:rPr/>
      </w:pPr>
      <w:r>
        <w:rPr/>
        <w:t>Сопротивление заземлителя не должно превышать 4 Ом, а сопротивление заземляющих проводников (между контуром заземления и деталью оборудования, подлежащей заземлению) - 0,1 Ом.</w:t>
      </w:r>
    </w:p>
    <w:p>
      <w:pPr>
        <w:pStyle w:val="Normal"/>
        <w:ind w:firstLine="283"/>
        <w:jc w:val="both"/>
        <w:rPr>
          <w:b/>
          <w:b/>
          <w:bCs/>
        </w:rPr>
      </w:pPr>
      <w:r>
        <w:rPr>
          <w:b/>
          <w:bCs/>
        </w:rPr>
        <w:t>8. Снятие вольт-амперных характеристик.</w:t>
      </w:r>
    </w:p>
    <w:p>
      <w:pPr>
        <w:pStyle w:val="Normal"/>
        <w:ind w:firstLine="283"/>
        <w:jc w:val="both"/>
        <w:rPr/>
      </w:pPr>
      <w:r>
        <w:rPr/>
        <w:t>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 1.8.26.</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26</w:t>
      </w:r>
    </w:p>
    <w:p>
      <w:pPr>
        <w:pStyle w:val="Normal"/>
        <w:spacing w:before="0" w:after="120"/>
        <w:jc w:val="center"/>
        <w:rPr/>
      </w:pPr>
      <w:r>
        <w:rPr>
          <w:b/>
          <w:bCs/>
          <w:i/>
          <w:iCs/>
        </w:rPr>
        <w:t>Указания</w:t>
      </w:r>
      <w:r>
        <w:rPr>
          <w:b/>
          <w:bCs/>
        </w:rPr>
        <w:t xml:space="preserve"> </w:t>
      </w:r>
      <w:r>
        <w:rPr>
          <w:b/>
          <w:bCs/>
          <w:i/>
          <w:iCs/>
        </w:rPr>
        <w:t>по</w:t>
      </w:r>
      <w:r>
        <w:rPr>
          <w:b/>
          <w:bCs/>
        </w:rPr>
        <w:t xml:space="preserve"> </w:t>
      </w:r>
      <w:r>
        <w:rPr>
          <w:b/>
          <w:bCs/>
          <w:i/>
          <w:iCs/>
        </w:rPr>
        <w:t>снятию</w:t>
      </w:r>
      <w:r>
        <w:rPr>
          <w:b/>
          <w:bCs/>
        </w:rPr>
        <w:t xml:space="preserve"> </w:t>
      </w:r>
      <w:r>
        <w:rPr>
          <w:b/>
          <w:bCs/>
          <w:i/>
          <w:iCs/>
        </w:rPr>
        <w:t>характеристик</w:t>
      </w:r>
      <w:r>
        <w:rPr>
          <w:b/>
          <w:bCs/>
        </w:rPr>
        <w:t xml:space="preserve"> </w:t>
      </w:r>
      <w:r>
        <w:rPr>
          <w:b/>
          <w:bCs/>
          <w:i/>
          <w:iCs/>
        </w:rPr>
        <w:t>электрофильтров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62"/>
        <w:gridCol w:w="5183"/>
        <w:gridCol w:w="2310"/>
      </w:tblGrid>
      <w:tr>
        <w:trPr>
          <w:tblHeader w:val="true"/>
        </w:trPr>
        <w:tc>
          <w:tcPr>
            <w:tcW w:w="186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518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Порядок снятия вольт-амперных характеристик</w:t>
            </w:r>
          </w:p>
        </w:tc>
        <w:tc>
          <w:tcPr>
            <w:tcW w:w="231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Требования к результатам испытаний</w:t>
            </w:r>
          </w:p>
        </w:tc>
      </w:tr>
      <w:tr>
        <w:trPr/>
        <w:tc>
          <w:tcPr>
            <w:tcW w:w="1862" w:type="dxa"/>
            <w:tcBorders>
              <w:left w:val="single" w:sz="8" w:space="0" w:color="000000"/>
              <w:bottom w:val="single" w:sz="8" w:space="0" w:color="000000"/>
              <w:insideH w:val="single" w:sz="8" w:space="0" w:color="000000"/>
            </w:tcBorders>
            <w:shd w:fill="auto" w:val="clear"/>
          </w:tcPr>
          <w:p>
            <w:pPr>
              <w:pStyle w:val="Normal"/>
              <w:jc w:val="both"/>
              <w:rPr/>
            </w:pPr>
            <w:r>
              <w:rPr/>
              <w:t>1. Каждое поле на воздухе</w:t>
            </w:r>
          </w:p>
        </w:tc>
        <w:tc>
          <w:tcPr>
            <w:tcW w:w="518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231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Пробивное напряжение на электродах должно быть не менее 40 кВ при номинальном токе короны в течение 15 мин</w:t>
            </w:r>
          </w:p>
        </w:tc>
      </w:tr>
      <w:tr>
        <w:trPr/>
        <w:tc>
          <w:tcPr>
            <w:tcW w:w="1862" w:type="dxa"/>
            <w:tcBorders>
              <w:left w:val="single" w:sz="8" w:space="0" w:color="000000"/>
              <w:bottom w:val="single" w:sz="8" w:space="0" w:color="000000"/>
              <w:insideH w:val="single" w:sz="8" w:space="0" w:color="000000"/>
            </w:tcBorders>
            <w:shd w:fill="auto" w:val="clear"/>
          </w:tcPr>
          <w:p>
            <w:pPr>
              <w:pStyle w:val="Normal"/>
              <w:jc w:val="both"/>
              <w:rPr/>
            </w:pPr>
            <w:r>
              <w:rPr/>
              <w:t>2. Все поля электрофильтра на воздухе</w:t>
            </w:r>
          </w:p>
        </w:tc>
        <w:tc>
          <w:tcPr>
            <w:tcW w:w="518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То же</w:t>
            </w:r>
          </w:p>
        </w:tc>
        <w:tc>
          <w:tcPr>
            <w:tcW w:w="231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Характеристики, снятые в начале и конце 24 ч испытания не должны отличаться друг от друга более чем на 10 %</w:t>
            </w:r>
          </w:p>
        </w:tc>
      </w:tr>
      <w:tr>
        <w:trPr/>
        <w:tc>
          <w:tcPr>
            <w:tcW w:w="1862" w:type="dxa"/>
            <w:tcBorders>
              <w:left w:val="single" w:sz="8" w:space="0" w:color="000000"/>
              <w:bottom w:val="single" w:sz="8" w:space="0" w:color="000000"/>
              <w:insideH w:val="single" w:sz="8" w:space="0" w:color="000000"/>
            </w:tcBorders>
            <w:shd w:fill="auto" w:val="clear"/>
          </w:tcPr>
          <w:p>
            <w:pPr>
              <w:pStyle w:val="Normal"/>
              <w:jc w:val="both"/>
              <w:rPr/>
            </w:pPr>
            <w:r>
              <w:rPr/>
              <w:t>3. Все поля электрофильтра на дымовом газе</w:t>
            </w:r>
          </w:p>
        </w:tc>
        <w:tc>
          <w:tcPr>
            <w:tcW w:w="518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231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both"/>
              <w:rPr/>
            </w:pPr>
            <w:r>
              <w:rPr/>
              <w:t>Характеристики, снятые в начале и конце 72 ч испытания не должны отличаться друг от друга более чем на 10</w:t>
            </w:r>
            <w:r>
              <w:rPr>
                <w:color w:val="000000"/>
              </w:rPr>
              <w:t xml:space="preserve"> %</w:t>
            </w:r>
          </w:p>
        </w:tc>
      </w:tr>
    </w:tbl>
    <w:p>
      <w:pPr>
        <w:pStyle w:val="Heading3"/>
        <w:rPr/>
      </w:pPr>
      <w:r>
        <w:rPr/>
        <w:t>1.8.30. Конденсаторы</w:t>
      </w:r>
    </w:p>
    <w:p>
      <w:pPr>
        <w:pStyle w:val="Normal"/>
        <w:ind w:firstLine="283"/>
        <w:jc w:val="both"/>
        <w:rPr/>
      </w:pPr>
      <w:r>
        <w:rPr/>
        <w:t>Конденсаторы для повышения коэффициента мощности напряжением ниже 1 кВ испытываются по пп. 1, 4, 5; конденсаторы для повышения коэффициента мощности напряжением 1 кВ и выше испытываются по пп. 1, 2, 4, 5; конденсаторы связи, отбора мощности и делительные конденсаторы испытываются по пп. 1-4; конденсаторы для защиты от перенапряжений и конденсаторы продольной компенсации испытываются по пп. 1, 2, 4, 5.</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27</w:t>
      </w:r>
    </w:p>
    <w:p>
      <w:pPr>
        <w:pStyle w:val="Normal"/>
        <w:spacing w:before="0" w:after="120"/>
        <w:jc w:val="center"/>
        <w:rPr/>
      </w:pPr>
      <w:r>
        <w:rPr>
          <w:b/>
          <w:bCs/>
          <w:i/>
          <w:iCs/>
        </w:rPr>
        <w:t>Допустимое</w:t>
      </w:r>
      <w:r>
        <w:rPr>
          <w:b/>
          <w:bCs/>
        </w:rPr>
        <w:t xml:space="preserve"> </w:t>
      </w:r>
      <w:r>
        <w:rPr>
          <w:b/>
          <w:bCs/>
          <w:i/>
          <w:iCs/>
        </w:rPr>
        <w:t>изменение</w:t>
      </w:r>
      <w:r>
        <w:rPr>
          <w:b/>
          <w:bCs/>
        </w:rPr>
        <w:t xml:space="preserve"> </w:t>
      </w:r>
      <w:r>
        <w:rPr>
          <w:b/>
          <w:bCs/>
          <w:i/>
          <w:iCs/>
        </w:rPr>
        <w:t>емкости</w:t>
      </w:r>
      <w:r>
        <w:rPr>
          <w:b/>
          <w:bCs/>
        </w:rPr>
        <w:t xml:space="preserve"> </w:t>
      </w:r>
      <w:r>
        <w:rPr>
          <w:b/>
          <w:bCs/>
          <w:i/>
          <w:iCs/>
        </w:rPr>
        <w:t>конденсатора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469"/>
        <w:gridCol w:w="4886"/>
      </w:tblGrid>
      <w:tr>
        <w:trPr>
          <w:tblHeader w:val="true"/>
        </w:trPr>
        <w:tc>
          <w:tcPr>
            <w:tcW w:w="4469"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Наименование</w:t>
            </w:r>
          </w:p>
        </w:tc>
        <w:tc>
          <w:tcPr>
            <w:tcW w:w="4886"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Допустимое изменение измеренной ёмкости конденсатора относительно паспортного значения, %</w:t>
            </w:r>
          </w:p>
        </w:tc>
      </w:tr>
      <w:tr>
        <w:trPr/>
        <w:tc>
          <w:tcPr>
            <w:tcW w:w="4469" w:type="dxa"/>
            <w:tcBorders>
              <w:left w:val="single" w:sz="8" w:space="0" w:color="000000"/>
              <w:bottom w:val="single" w:sz="8" w:space="0" w:color="000000"/>
              <w:insideH w:val="single" w:sz="8" w:space="0" w:color="000000"/>
            </w:tcBorders>
            <w:shd w:fill="auto" w:val="clear"/>
            <w:vAlign w:val="center"/>
          </w:tcPr>
          <w:p>
            <w:pPr>
              <w:pStyle w:val="Normal"/>
              <w:jc w:val="both"/>
              <w:rPr/>
            </w:pPr>
            <w:r>
              <w:rPr/>
              <w:t>Конденсаторы связи отбора мощности и делительные</w:t>
            </w:r>
          </w:p>
        </w:tc>
        <w:tc>
          <w:tcPr>
            <w:tcW w:w="488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±5</w:t>
            </w:r>
          </w:p>
        </w:tc>
      </w:tr>
      <w:tr>
        <w:trPr/>
        <w:tc>
          <w:tcPr>
            <w:tcW w:w="4469" w:type="dxa"/>
            <w:tcBorders>
              <w:left w:val="single" w:sz="8" w:space="0" w:color="000000"/>
              <w:bottom w:val="single" w:sz="8" w:space="0" w:color="000000"/>
              <w:insideH w:val="single" w:sz="8" w:space="0" w:color="000000"/>
            </w:tcBorders>
            <w:shd w:fill="auto" w:val="clear"/>
            <w:vAlign w:val="center"/>
          </w:tcPr>
          <w:p>
            <w:pPr>
              <w:pStyle w:val="Normal"/>
              <w:jc w:val="both"/>
              <w:rPr/>
            </w:pPr>
            <w:r>
              <w:rPr/>
              <w:t>Конденсаторы для повышения коэффициента мощности и конденсаторы, используемые для защиты от перенапряжения</w:t>
            </w:r>
          </w:p>
        </w:tc>
        <w:tc>
          <w:tcPr>
            <w:tcW w:w="488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±5</w:t>
            </w:r>
          </w:p>
        </w:tc>
      </w:tr>
      <w:tr>
        <w:trPr/>
        <w:tc>
          <w:tcPr>
            <w:tcW w:w="4469" w:type="dxa"/>
            <w:tcBorders>
              <w:left w:val="single" w:sz="8" w:space="0" w:color="000000"/>
              <w:bottom w:val="single" w:sz="8" w:space="0" w:color="000000"/>
              <w:insideH w:val="single" w:sz="8" w:space="0" w:color="000000"/>
            </w:tcBorders>
            <w:shd w:fill="auto" w:val="clear"/>
            <w:vAlign w:val="center"/>
          </w:tcPr>
          <w:p>
            <w:pPr>
              <w:pStyle w:val="Normal"/>
              <w:jc w:val="both"/>
              <w:rPr/>
            </w:pPr>
            <w:r>
              <w:rPr/>
              <w:t>Конденсаторы продольной компенсации</w:t>
            </w:r>
          </w:p>
        </w:tc>
        <w:tc>
          <w:tcPr>
            <w:tcW w:w="4886"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+5</w:t>
            </w:r>
          </w:p>
          <w:p>
            <w:pPr>
              <w:pStyle w:val="Normal"/>
              <w:jc w:val="center"/>
              <w:rPr/>
            </w:pPr>
            <w:r>
              <w:rPr/>
              <w:t>-10</w:t>
            </w:r>
          </w:p>
        </w:tc>
      </w:tr>
    </w:tbl>
    <w:p>
      <w:pPr>
        <w:pStyle w:val="Normal"/>
        <w:spacing w:before="120" w:after="0"/>
        <w:ind w:firstLine="283"/>
        <w:jc w:val="both"/>
        <w:rPr>
          <w:b/>
          <w:b/>
          <w:bCs/>
        </w:rPr>
      </w:pPr>
      <w:r>
        <w:rPr>
          <w:b/>
          <w:bCs/>
        </w:rPr>
        <w:t>1. Измерение сопротивления изоляции.</w:t>
      </w:r>
    </w:p>
    <w:p>
      <w:pPr>
        <w:pStyle w:val="Normal"/>
        <w:ind w:firstLine="283"/>
        <w:jc w:val="both"/>
        <w:rPr/>
      </w:pPr>
      <w:r>
        <w:rPr/>
        <w:t>Производится мегаомметром на напряжение 2,5 кВ. Сопротивление изоляции между выводами и относительно корпуса конденсатора.</w:t>
      </w:r>
    </w:p>
    <w:p>
      <w:pPr>
        <w:pStyle w:val="Normal"/>
        <w:ind w:firstLine="283"/>
        <w:jc w:val="both"/>
        <w:rPr>
          <w:b/>
          <w:b/>
          <w:bCs/>
        </w:rPr>
      </w:pPr>
      <w:r>
        <w:rPr>
          <w:b/>
          <w:bCs/>
        </w:rPr>
        <w:t>2. Измерение емкости.</w:t>
      </w:r>
    </w:p>
    <w:p>
      <w:pPr>
        <w:pStyle w:val="Normal"/>
        <w:ind w:firstLine="283"/>
        <w:jc w:val="both"/>
        <w:rPr/>
      </w:pPr>
      <w:r>
        <w:rPr/>
        <w:t>Производится при температуре 15 - 35 °С. Измеренная емкость должна соответствовать паспортным данным с учетом погрешности измерения и приведенных в таблице 1.8.27 допусков.</w:t>
      </w:r>
    </w:p>
    <w:p>
      <w:pPr>
        <w:pStyle w:val="Normal"/>
        <w:ind w:firstLine="283"/>
        <w:jc w:val="both"/>
        <w:rPr>
          <w:b/>
          <w:b/>
          <w:bCs/>
        </w:rPr>
      </w:pPr>
      <w:r>
        <w:rPr>
          <w:b/>
          <w:bCs/>
        </w:rPr>
        <w:t>3. Измерение тангенса угла диэлектрических потерь.</w:t>
      </w:r>
    </w:p>
    <w:p>
      <w:pPr>
        <w:pStyle w:val="Normal"/>
        <w:ind w:firstLine="283"/>
        <w:jc w:val="both"/>
        <w:rPr/>
      </w:pPr>
      <w:r>
        <w:rPr/>
        <w:t>Измерение производится на конденсаторах связи, конденсаторах отбора мощности и конденсаторах делителей напряжения.</w:t>
      </w:r>
    </w:p>
    <w:p>
      <w:pPr>
        <w:pStyle w:val="Normal"/>
        <w:ind w:firstLine="283"/>
        <w:jc w:val="both"/>
        <w:rPr/>
      </w:pPr>
      <w:r>
        <w:rPr/>
        <w:t xml:space="preserve">Измеренное значение </w:t>
      </w:r>
      <w:r>
        <w:rPr>
          <w:i/>
          <w:iCs/>
        </w:rPr>
        <w:t>tg</w:t>
      </w:r>
      <w:r>
        <w:rPr/>
        <w:t>δ не должно превышать 0,3 % (при температуре 20 °С).</w:t>
      </w:r>
    </w:p>
    <w:p>
      <w:pPr>
        <w:pStyle w:val="Normal"/>
        <w:ind w:firstLine="283"/>
        <w:jc w:val="both"/>
        <w:rPr>
          <w:b/>
          <w:b/>
          <w:bCs/>
        </w:rPr>
      </w:pPr>
      <w:r>
        <w:rPr>
          <w:b/>
          <w:bCs/>
        </w:rPr>
        <w:t>4. Испытание повышенным напряжением.</w:t>
      </w:r>
    </w:p>
    <w:p>
      <w:pPr>
        <w:pStyle w:val="Normal"/>
        <w:ind w:firstLine="283"/>
        <w:jc w:val="both"/>
        <w:rPr/>
      </w:pPr>
      <w:r>
        <w:rPr/>
        <w:t>Испытывается изоляция относительно корпуса при закороченных выводах конденсатора.</w:t>
      </w:r>
    </w:p>
    <w:p>
      <w:pPr>
        <w:pStyle w:val="Normal"/>
        <w:ind w:firstLine="283"/>
        <w:jc w:val="both"/>
        <w:rPr/>
      </w:pPr>
      <w:r>
        <w:rPr/>
        <w:t>Значение и продолжительность приложения испытательного напряжения регламентируется заводскими инструкциями.</w:t>
      </w:r>
    </w:p>
    <w:p>
      <w:pPr>
        <w:pStyle w:val="Normal"/>
        <w:spacing w:before="0" w:after="120"/>
        <w:ind w:firstLine="283"/>
        <w:jc w:val="both"/>
        <w:rPr/>
      </w:pPr>
      <w:r>
        <w:rPr/>
        <w:t>Испытательные напряжения промышленной частоты для различных конденсаторов приведены ниже: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6168"/>
        <w:gridCol w:w="3187"/>
      </w:tblGrid>
      <w:tr>
        <w:trPr>
          <w:tblHeader w:val="true"/>
        </w:trPr>
        <w:tc>
          <w:tcPr>
            <w:tcW w:w="6168"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Конденсаторы для повышения коэффициента мощности с номинальным напряжением, кВ</w:t>
            </w:r>
          </w:p>
        </w:tc>
        <w:tc>
          <w:tcPr>
            <w:tcW w:w="3187"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w:t>
            </w:r>
          </w:p>
        </w:tc>
      </w:tr>
      <w:tr>
        <w:trPr/>
        <w:tc>
          <w:tcPr>
            <w:tcW w:w="6168" w:type="dxa"/>
            <w:tcBorders>
              <w:left w:val="single" w:sz="8" w:space="0" w:color="000000"/>
            </w:tcBorders>
            <w:shd w:fill="auto" w:val="clear"/>
          </w:tcPr>
          <w:p>
            <w:pPr>
              <w:pStyle w:val="Normal"/>
              <w:jc w:val="center"/>
              <w:rPr/>
            </w:pPr>
            <w:r>
              <w:rPr/>
              <w:t>0,22</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2,1</w:t>
            </w:r>
          </w:p>
        </w:tc>
      </w:tr>
      <w:tr>
        <w:trPr/>
        <w:tc>
          <w:tcPr>
            <w:tcW w:w="6168" w:type="dxa"/>
            <w:tcBorders>
              <w:left w:val="single" w:sz="8" w:space="0" w:color="000000"/>
            </w:tcBorders>
            <w:shd w:fill="auto" w:val="clear"/>
          </w:tcPr>
          <w:p>
            <w:pPr>
              <w:pStyle w:val="Normal"/>
              <w:jc w:val="center"/>
              <w:rPr/>
            </w:pPr>
            <w:r>
              <w:rPr/>
              <w:t>0,38</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2,1</w:t>
            </w:r>
          </w:p>
        </w:tc>
      </w:tr>
      <w:tr>
        <w:trPr/>
        <w:tc>
          <w:tcPr>
            <w:tcW w:w="6168" w:type="dxa"/>
            <w:tcBorders>
              <w:left w:val="single" w:sz="8" w:space="0" w:color="000000"/>
            </w:tcBorders>
            <w:shd w:fill="auto" w:val="clear"/>
          </w:tcPr>
          <w:p>
            <w:pPr>
              <w:pStyle w:val="Normal"/>
              <w:jc w:val="center"/>
              <w:rPr/>
            </w:pPr>
            <w:r>
              <w:rPr/>
              <w:t>0,5</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2,1</w:t>
            </w:r>
          </w:p>
        </w:tc>
      </w:tr>
      <w:tr>
        <w:trPr/>
        <w:tc>
          <w:tcPr>
            <w:tcW w:w="6168" w:type="dxa"/>
            <w:tcBorders>
              <w:left w:val="single" w:sz="8" w:space="0" w:color="000000"/>
            </w:tcBorders>
            <w:shd w:fill="auto" w:val="clear"/>
          </w:tcPr>
          <w:p>
            <w:pPr>
              <w:pStyle w:val="Normal"/>
              <w:jc w:val="center"/>
              <w:rPr/>
            </w:pPr>
            <w:r>
              <w:rPr/>
              <w:t>1,05</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4,3</w:t>
            </w:r>
          </w:p>
        </w:tc>
      </w:tr>
      <w:tr>
        <w:trPr/>
        <w:tc>
          <w:tcPr>
            <w:tcW w:w="6168" w:type="dxa"/>
            <w:tcBorders>
              <w:left w:val="single" w:sz="8" w:space="0" w:color="000000"/>
            </w:tcBorders>
            <w:shd w:fill="auto" w:val="clear"/>
          </w:tcPr>
          <w:p>
            <w:pPr>
              <w:pStyle w:val="Normal"/>
              <w:jc w:val="center"/>
              <w:rPr/>
            </w:pPr>
            <w:r>
              <w:rPr/>
              <w:t>3,15</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15,8</w:t>
            </w:r>
          </w:p>
        </w:tc>
      </w:tr>
      <w:tr>
        <w:trPr/>
        <w:tc>
          <w:tcPr>
            <w:tcW w:w="6168" w:type="dxa"/>
            <w:tcBorders>
              <w:left w:val="single" w:sz="8" w:space="0" w:color="000000"/>
            </w:tcBorders>
            <w:shd w:fill="auto" w:val="clear"/>
          </w:tcPr>
          <w:p>
            <w:pPr>
              <w:pStyle w:val="Normal"/>
              <w:jc w:val="center"/>
              <w:rPr/>
            </w:pPr>
            <w:r>
              <w:rPr/>
              <w:t>6,3</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22,3</w:t>
            </w:r>
          </w:p>
        </w:tc>
      </w:tr>
      <w:tr>
        <w:trPr/>
        <w:tc>
          <w:tcPr>
            <w:tcW w:w="6168" w:type="dxa"/>
            <w:tcBorders>
              <w:left w:val="single" w:sz="8" w:space="0" w:color="000000"/>
            </w:tcBorders>
            <w:shd w:fill="auto" w:val="clear"/>
          </w:tcPr>
          <w:p>
            <w:pPr>
              <w:pStyle w:val="Normal"/>
              <w:jc w:val="center"/>
              <w:rPr/>
            </w:pPr>
            <w:r>
              <w:rPr/>
              <w:t>10,5</w:t>
            </w:r>
          </w:p>
        </w:tc>
        <w:tc>
          <w:tcPr>
            <w:tcW w:w="3187"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30,0</w:t>
            </w:r>
          </w:p>
        </w:tc>
      </w:tr>
      <w:tr>
        <w:trPr/>
        <w:tc>
          <w:tcPr>
            <w:tcW w:w="6168" w:type="dxa"/>
            <w:tcBorders>
              <w:left w:val="single" w:sz="8" w:space="0" w:color="000000"/>
            </w:tcBorders>
            <w:shd w:fill="auto" w:val="clear"/>
          </w:tcPr>
          <w:p>
            <w:pPr>
              <w:pStyle w:val="Normal"/>
              <w:jc w:val="center"/>
              <w:rPr/>
            </w:pPr>
            <w:r>
              <w:rPr/>
              <w:t>Конденсаторы для защиты от перенапряжения типа СММ-20/3-0,107</w:t>
            </w:r>
          </w:p>
        </w:tc>
        <w:tc>
          <w:tcPr>
            <w:tcW w:w="3187"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22,5</w:t>
            </w:r>
          </w:p>
        </w:tc>
      </w:tr>
      <w:tr>
        <w:trPr/>
        <w:tc>
          <w:tcPr>
            <w:tcW w:w="6168" w:type="dxa"/>
            <w:tcBorders>
              <w:left w:val="single" w:sz="8" w:space="0" w:color="000000"/>
              <w:bottom w:val="single" w:sz="8" w:space="0" w:color="000000"/>
              <w:insideH w:val="single" w:sz="8" w:space="0" w:color="000000"/>
            </w:tcBorders>
            <w:shd w:fill="auto" w:val="clear"/>
          </w:tcPr>
          <w:p>
            <w:pPr>
              <w:pStyle w:val="Normal"/>
              <w:jc w:val="center"/>
              <w:rPr/>
            </w:pPr>
            <w:r>
              <w:rPr/>
              <w:t>КМ2- 10,5-24</w:t>
            </w:r>
          </w:p>
        </w:tc>
        <w:tc>
          <w:tcPr>
            <w:tcW w:w="3187"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22,5 - 25,0</w:t>
            </w:r>
          </w:p>
        </w:tc>
      </w:tr>
    </w:tbl>
    <w:p>
      <w:pPr>
        <w:pStyle w:val="Normal"/>
        <w:spacing w:before="120" w:after="0"/>
        <w:ind w:firstLine="283"/>
        <w:jc w:val="both"/>
        <w:rPr/>
      </w:pPr>
      <w:r>
        <w:rPr/>
        <w:t>Испытания напряжением 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pPr>
        <w:pStyle w:val="Normal"/>
        <w:ind w:firstLine="283"/>
        <w:jc w:val="both"/>
        <w:rPr>
          <w:b/>
          <w:b/>
          <w:bCs/>
        </w:rPr>
      </w:pPr>
      <w:r>
        <w:rPr>
          <w:b/>
          <w:bCs/>
        </w:rPr>
        <w:t>5. Испытание батареи конденсаторов трёхкратным включением.</w:t>
      </w:r>
    </w:p>
    <w:p>
      <w:pPr>
        <w:pStyle w:val="Normal"/>
        <w:ind w:firstLine="283"/>
        <w:jc w:val="both"/>
        <w:rPr/>
      </w:pPr>
      <w:r>
        <w:rPr/>
        <w:t>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pPr>
        <w:pStyle w:val="Heading3"/>
        <w:rPr/>
      </w:pPr>
      <w:r>
        <w:rPr/>
        <w:t>1.8.31. Вентильные разрядники и ограничители перенапряжений*</w:t>
      </w:r>
    </w:p>
    <w:p>
      <w:pPr>
        <w:pStyle w:val="Normal"/>
        <w:spacing w:before="120" w:after="120"/>
        <w:ind w:firstLine="300"/>
        <w:jc w:val="both"/>
        <w:rPr/>
      </w:pPr>
      <w:r>
        <w:rPr/>
        <w:t>* Испытания ОПН, не указанных в настоящем разделе, следует проводить в соответствии с инструкцией по эксплуатации завода-изготовителя.</w:t>
      </w:r>
    </w:p>
    <w:p>
      <w:pPr>
        <w:pStyle w:val="Normal"/>
        <w:ind w:firstLine="283"/>
        <w:jc w:val="both"/>
        <w:rPr>
          <w:b/>
          <w:b/>
          <w:bCs/>
        </w:rPr>
      </w:pPr>
      <w:r>
        <w:rPr>
          <w:b/>
          <w:bCs/>
        </w:rPr>
        <w:t>1. Измерение сопротивления разрядников и ограничителей перенапряжения.</w:t>
      </w:r>
    </w:p>
    <w:p>
      <w:pPr>
        <w:pStyle w:val="Normal"/>
        <w:ind w:firstLine="283"/>
        <w:jc w:val="both"/>
        <w:rPr/>
      </w:pPr>
      <w:r>
        <w:rPr/>
        <w:t>Измерение проводится:</w:t>
      </w:r>
    </w:p>
    <w:p>
      <w:pPr>
        <w:pStyle w:val="Normal"/>
        <w:ind w:firstLine="283"/>
        <w:jc w:val="both"/>
        <w:rPr/>
      </w:pPr>
      <w:r>
        <w:rPr/>
        <w:t>на разрядниках и ОПН с номинальным напряжением менее 3 кВ - мегаомметром на напряжение 1000 В;</w:t>
      </w:r>
    </w:p>
    <w:p>
      <w:pPr>
        <w:pStyle w:val="Normal"/>
        <w:ind w:firstLine="283"/>
        <w:jc w:val="both"/>
        <w:rPr/>
      </w:pPr>
      <w:r>
        <w:rPr/>
        <w:t>на разрядниках и ОПН с номинальным напряжением 3 кВ и выше - мегаомметром на напряжение 2500 В;</w:t>
      </w:r>
    </w:p>
    <w:p>
      <w:pPr>
        <w:pStyle w:val="Normal"/>
        <w:ind w:firstLine="283"/>
        <w:jc w:val="both"/>
        <w:rPr/>
      </w:pPr>
      <w:r>
        <w:rPr/>
        <w:t xml:space="preserve">Сопротивление разрядников РВН, РВП, РВО, </w:t>
      </w:r>
      <w:r>
        <w:rPr>
          <w:i/>
          <w:iCs/>
        </w:rPr>
        <w:t>CZ</w:t>
      </w:r>
      <w:r>
        <w:rPr/>
        <w:t xml:space="preserve"> должно быть не менее 1000 МОм.</w:t>
      </w:r>
    </w:p>
    <w:p>
      <w:pPr>
        <w:pStyle w:val="Normal"/>
        <w:ind w:firstLine="283"/>
        <w:jc w:val="both"/>
        <w:rPr/>
      </w:pPr>
      <w:r>
        <w:rPr/>
        <w:t>Сопротивление элементов разрядников РВС должно соответствовать требованиям заводской инструкции.</w:t>
      </w:r>
    </w:p>
    <w:p>
      <w:pPr>
        <w:pStyle w:val="Normal"/>
        <w:ind w:firstLine="283"/>
        <w:jc w:val="both"/>
        <w:rPr/>
      </w:pPr>
      <w:r>
        <w:rPr/>
        <w:t>Сопротивление элементов разрядников РВМ, РВРД, РВМГ, РВМК должно соответствовать значениям, указанным в таблице 1.8.28.</w:t>
      </w:r>
    </w:p>
    <w:p>
      <w:pPr>
        <w:pStyle w:val="Normal"/>
        <w:ind w:firstLine="283"/>
        <w:jc w:val="both"/>
        <w:rPr/>
      </w:pPr>
      <w:r>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pPr>
        <w:pStyle w:val="Normal"/>
        <w:ind w:firstLine="283"/>
        <w:jc w:val="both"/>
        <w:rPr/>
      </w:pPr>
      <w:r>
        <w:rPr/>
        <w:t>Сопротивление изоляции изолирующих оснований разрядников с регистраторами срабатывания измеряется мегаомметром на напряжение 2500 В. Значение измеренного сопротивления изоляции должно быть не менее 1 МОм.</w:t>
      </w:r>
    </w:p>
    <w:p>
      <w:pPr>
        <w:pStyle w:val="Normal"/>
        <w:ind w:firstLine="283"/>
        <w:jc w:val="both"/>
        <w:rPr/>
      </w:pPr>
      <w:r>
        <w:rPr/>
        <w:t>Сопротивление ограничителей перенапряжений с номинальным напряжением до 3 кВ должно быть не менее 1000</w:t>
      </w:r>
      <w:r>
        <w:rPr>
          <w:color w:val="000000"/>
        </w:rPr>
        <w:t xml:space="preserve"> МОм.</w:t>
      </w:r>
    </w:p>
    <w:p>
      <w:pPr>
        <w:pStyle w:val="Normal"/>
        <w:spacing w:before="120" w:after="120"/>
        <w:jc w:val="center"/>
        <w:rPr/>
      </w:pPr>
      <w:r>
        <w:rPr>
          <w:b/>
          <w:bCs/>
          <w:i/>
          <w:iCs/>
        </w:rPr>
        <w:t>Значение</w:t>
      </w:r>
      <w:r>
        <w:rPr>
          <w:b/>
          <w:bCs/>
        </w:rPr>
        <w:t xml:space="preserve"> </w:t>
      </w:r>
      <w:r>
        <w:rPr>
          <w:b/>
          <w:bCs/>
          <w:i/>
          <w:iCs/>
        </w:rPr>
        <w:t>сопротивлений</w:t>
      </w:r>
      <w:r>
        <w:rPr>
          <w:b/>
          <w:bCs/>
        </w:rPr>
        <w:t xml:space="preserve"> </w:t>
      </w:r>
      <w:r>
        <w:rPr>
          <w:b/>
          <w:bCs/>
          <w:i/>
          <w:iCs/>
        </w:rPr>
        <w:t>вентильных</w:t>
      </w:r>
      <w:r>
        <w:rPr>
          <w:b/>
          <w:bCs/>
        </w:rPr>
        <w:t xml:space="preserve"> </w:t>
      </w:r>
      <w:r>
        <w:rPr>
          <w:b/>
          <w:bCs/>
          <w:i/>
          <w:iCs/>
        </w:rPr>
        <w:t>разрядников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6648"/>
        <w:gridCol w:w="1436"/>
        <w:gridCol w:w="1271"/>
      </w:tblGrid>
      <w:tr>
        <w:trPr>
          <w:tblHeader w:val="true"/>
        </w:trPr>
        <w:tc>
          <w:tcPr>
            <w:tcW w:w="6648"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разрядника или элемента</w:t>
            </w:r>
          </w:p>
        </w:tc>
        <w:tc>
          <w:tcPr>
            <w:tcW w:w="2707"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Сопротивление, МОм</w:t>
            </w:r>
          </w:p>
        </w:tc>
      </w:tr>
      <w:tr>
        <w:trPr>
          <w:tblHeader w:val="true"/>
        </w:trPr>
        <w:tc>
          <w:tcPr>
            <w:tcW w:w="6648"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36" w:type="dxa"/>
            <w:tcBorders>
              <w:left w:val="single" w:sz="8" w:space="0" w:color="000000"/>
              <w:bottom w:val="single" w:sz="8" w:space="0" w:color="000000"/>
              <w:insideH w:val="single" w:sz="8" w:space="0" w:color="000000"/>
            </w:tcBorders>
            <w:shd w:fill="auto" w:val="clear"/>
            <w:vAlign w:val="center"/>
          </w:tcPr>
          <w:p>
            <w:pPr>
              <w:pStyle w:val="Normal"/>
              <w:jc w:val="center"/>
              <w:rPr/>
            </w:pPr>
            <w:r>
              <w:rPr/>
              <w:t>не менее</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не более</w:t>
            </w:r>
          </w:p>
        </w:tc>
      </w:tr>
      <w:tr>
        <w:trPr/>
        <w:tc>
          <w:tcPr>
            <w:tcW w:w="6648" w:type="dxa"/>
            <w:tcBorders>
              <w:left w:val="single" w:sz="8" w:space="0" w:color="000000"/>
            </w:tcBorders>
            <w:shd w:fill="auto" w:val="clear"/>
          </w:tcPr>
          <w:p>
            <w:pPr>
              <w:pStyle w:val="Normal"/>
              <w:jc w:val="both"/>
              <w:rPr/>
            </w:pPr>
            <w:r>
              <w:rPr/>
              <w:t>РВМ-3</w:t>
            </w:r>
          </w:p>
        </w:tc>
        <w:tc>
          <w:tcPr>
            <w:tcW w:w="1436" w:type="dxa"/>
            <w:tcBorders>
              <w:left w:val="single" w:sz="8" w:space="0" w:color="000000"/>
            </w:tcBorders>
            <w:shd w:fill="auto" w:val="clear"/>
            <w:tcMar>
              <w:left w:w="0" w:type="dxa"/>
              <w:right w:w="0" w:type="dxa"/>
            </w:tcMar>
          </w:tcPr>
          <w:p>
            <w:pPr>
              <w:pStyle w:val="Normal"/>
              <w:jc w:val="center"/>
              <w:rPr/>
            </w:pPr>
            <w:r>
              <w:rPr/>
              <w:t>15</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40</w:t>
            </w:r>
          </w:p>
        </w:tc>
      </w:tr>
      <w:tr>
        <w:trPr/>
        <w:tc>
          <w:tcPr>
            <w:tcW w:w="6648" w:type="dxa"/>
            <w:tcBorders>
              <w:left w:val="single" w:sz="8" w:space="0" w:color="000000"/>
            </w:tcBorders>
            <w:shd w:fill="auto" w:val="clear"/>
          </w:tcPr>
          <w:p>
            <w:pPr>
              <w:pStyle w:val="Normal"/>
              <w:jc w:val="both"/>
              <w:rPr/>
            </w:pPr>
            <w:r>
              <w:rPr/>
              <w:t>РВМ-6</w:t>
            </w:r>
          </w:p>
        </w:tc>
        <w:tc>
          <w:tcPr>
            <w:tcW w:w="1436" w:type="dxa"/>
            <w:tcBorders>
              <w:left w:val="single" w:sz="8" w:space="0" w:color="000000"/>
            </w:tcBorders>
            <w:shd w:fill="auto" w:val="clear"/>
            <w:tcMar>
              <w:left w:w="0" w:type="dxa"/>
              <w:right w:w="0" w:type="dxa"/>
            </w:tcMar>
          </w:tcPr>
          <w:p>
            <w:pPr>
              <w:pStyle w:val="Normal"/>
              <w:jc w:val="center"/>
              <w:rPr/>
            </w:pPr>
            <w:r>
              <w:rPr/>
              <w:t>100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w:t>
            </w:r>
          </w:p>
        </w:tc>
      </w:tr>
      <w:tr>
        <w:trPr/>
        <w:tc>
          <w:tcPr>
            <w:tcW w:w="6648" w:type="dxa"/>
            <w:tcBorders>
              <w:left w:val="single" w:sz="8" w:space="0" w:color="000000"/>
            </w:tcBorders>
            <w:shd w:fill="auto" w:val="clear"/>
          </w:tcPr>
          <w:p>
            <w:pPr>
              <w:pStyle w:val="Normal"/>
              <w:jc w:val="both"/>
              <w:rPr/>
            </w:pPr>
            <w:r>
              <w:rPr/>
              <w:t>РВМ-10</w:t>
            </w:r>
          </w:p>
        </w:tc>
        <w:tc>
          <w:tcPr>
            <w:tcW w:w="1436" w:type="dxa"/>
            <w:tcBorders>
              <w:left w:val="single" w:sz="8" w:space="0" w:color="000000"/>
            </w:tcBorders>
            <w:shd w:fill="auto" w:val="clear"/>
            <w:tcMar>
              <w:left w:w="0" w:type="dxa"/>
              <w:right w:w="0" w:type="dxa"/>
            </w:tcMar>
          </w:tcPr>
          <w:p>
            <w:pPr>
              <w:pStyle w:val="Normal"/>
              <w:jc w:val="center"/>
              <w:rPr/>
            </w:pPr>
            <w:r>
              <w:rPr/>
              <w:t>170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450</w:t>
            </w:r>
          </w:p>
        </w:tc>
      </w:tr>
      <w:tr>
        <w:trPr/>
        <w:tc>
          <w:tcPr>
            <w:tcW w:w="6648" w:type="dxa"/>
            <w:tcBorders>
              <w:left w:val="single" w:sz="8" w:space="0" w:color="000000"/>
            </w:tcBorders>
            <w:shd w:fill="auto" w:val="clear"/>
          </w:tcPr>
          <w:p>
            <w:pPr>
              <w:pStyle w:val="Normal"/>
              <w:jc w:val="both"/>
              <w:rPr/>
            </w:pPr>
            <w:r>
              <w:rPr/>
              <w:t>РВМ-15</w:t>
            </w:r>
          </w:p>
        </w:tc>
        <w:tc>
          <w:tcPr>
            <w:tcW w:w="1436" w:type="dxa"/>
            <w:tcBorders>
              <w:left w:val="single" w:sz="8" w:space="0" w:color="000000"/>
            </w:tcBorders>
            <w:shd w:fill="auto" w:val="clear"/>
            <w:tcMar>
              <w:left w:w="0" w:type="dxa"/>
              <w:right w:w="0" w:type="dxa"/>
            </w:tcMar>
          </w:tcPr>
          <w:p>
            <w:pPr>
              <w:pStyle w:val="Normal"/>
              <w:jc w:val="center"/>
              <w:rPr/>
            </w:pPr>
            <w:r>
              <w:rPr/>
              <w:t>600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2000</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РВМ-20</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10000</w:t>
            </w:r>
          </w:p>
        </w:tc>
      </w:tr>
      <w:tr>
        <w:trPr/>
        <w:tc>
          <w:tcPr>
            <w:tcW w:w="6648" w:type="dxa"/>
            <w:tcBorders>
              <w:left w:val="single" w:sz="8" w:space="0" w:color="000000"/>
            </w:tcBorders>
            <w:shd w:fill="auto" w:val="clear"/>
          </w:tcPr>
          <w:p>
            <w:pPr>
              <w:pStyle w:val="Normal"/>
              <w:jc w:val="both"/>
              <w:rPr/>
            </w:pPr>
            <w:r>
              <w:rPr/>
              <w:t>Элемент разрядника РВМГ</w:t>
            </w:r>
          </w:p>
        </w:tc>
        <w:tc>
          <w:tcPr>
            <w:tcW w:w="1436" w:type="dxa"/>
            <w:tcBorders>
              <w:left w:val="single" w:sz="8" w:space="0" w:color="000000"/>
            </w:tcBorders>
            <w:shd w:fill="auto" w:val="clear"/>
            <w:tcMar>
              <w:left w:w="0" w:type="dxa"/>
              <w:right w:w="0" w:type="dxa"/>
            </w:tcMar>
          </w:tcPr>
          <w:p>
            <w:pPr>
              <w:pStyle w:val="Normal"/>
              <w:snapToGrid w:val="false"/>
              <w:rPr/>
            </w:pPr>
            <w:r>
              <w:rPr/>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snapToGrid w:val="false"/>
              <w:rPr/>
            </w:pPr>
            <w:r>
              <w:rPr/>
            </w:r>
          </w:p>
        </w:tc>
      </w:tr>
      <w:tr>
        <w:trPr/>
        <w:tc>
          <w:tcPr>
            <w:tcW w:w="6648" w:type="dxa"/>
            <w:tcBorders>
              <w:left w:val="single" w:sz="8" w:space="0" w:color="000000"/>
            </w:tcBorders>
            <w:shd w:fill="auto" w:val="clear"/>
          </w:tcPr>
          <w:p>
            <w:pPr>
              <w:pStyle w:val="Normal"/>
              <w:jc w:val="both"/>
              <w:rPr/>
            </w:pPr>
            <w:r>
              <w:rPr/>
              <w:t>110М</w:t>
            </w:r>
          </w:p>
        </w:tc>
        <w:tc>
          <w:tcPr>
            <w:tcW w:w="1436" w:type="dxa"/>
            <w:tcBorders>
              <w:left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tcBorders>
            <w:shd w:fill="auto" w:val="clear"/>
          </w:tcPr>
          <w:p>
            <w:pPr>
              <w:pStyle w:val="Normal"/>
              <w:jc w:val="both"/>
              <w:rPr/>
            </w:pPr>
            <w:r>
              <w:rPr/>
              <w:t>150М</w:t>
            </w:r>
          </w:p>
        </w:tc>
        <w:tc>
          <w:tcPr>
            <w:tcW w:w="1436" w:type="dxa"/>
            <w:tcBorders>
              <w:left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tcBorders>
            <w:shd w:fill="auto" w:val="clear"/>
          </w:tcPr>
          <w:p>
            <w:pPr>
              <w:pStyle w:val="Normal"/>
              <w:jc w:val="both"/>
              <w:rPr/>
            </w:pPr>
            <w:r>
              <w:rPr/>
              <w:t>220М</w:t>
            </w:r>
          </w:p>
        </w:tc>
        <w:tc>
          <w:tcPr>
            <w:tcW w:w="1436" w:type="dxa"/>
            <w:tcBorders>
              <w:left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tcBorders>
            <w:shd w:fill="auto" w:val="clear"/>
          </w:tcPr>
          <w:p>
            <w:pPr>
              <w:pStyle w:val="Normal"/>
              <w:jc w:val="both"/>
              <w:rPr/>
            </w:pPr>
            <w:r>
              <w:rPr/>
              <w:t>330М</w:t>
            </w:r>
          </w:p>
        </w:tc>
        <w:tc>
          <w:tcPr>
            <w:tcW w:w="1436" w:type="dxa"/>
            <w:tcBorders>
              <w:left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tcBorders>
            <w:shd w:fill="auto" w:val="clear"/>
          </w:tcPr>
          <w:p>
            <w:pPr>
              <w:pStyle w:val="Normal"/>
              <w:jc w:val="both"/>
              <w:rPr/>
            </w:pPr>
            <w:r>
              <w:rPr/>
              <w:t>400</w:t>
            </w:r>
          </w:p>
        </w:tc>
        <w:tc>
          <w:tcPr>
            <w:tcW w:w="1436" w:type="dxa"/>
            <w:tcBorders>
              <w:left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500</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400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2500</w:t>
            </w:r>
          </w:p>
        </w:tc>
      </w:tr>
      <w:tr>
        <w:trPr/>
        <w:tc>
          <w:tcPr>
            <w:tcW w:w="6648" w:type="dxa"/>
            <w:tcBorders>
              <w:left w:val="single" w:sz="8" w:space="0" w:color="000000"/>
            </w:tcBorders>
            <w:shd w:fill="auto" w:val="clear"/>
          </w:tcPr>
          <w:p>
            <w:pPr>
              <w:pStyle w:val="Normal"/>
              <w:jc w:val="both"/>
              <w:rPr/>
            </w:pPr>
            <w:r>
              <w:rPr/>
              <w:t>Основной элемент разрядника РВМК-330, 500</w:t>
            </w:r>
          </w:p>
        </w:tc>
        <w:tc>
          <w:tcPr>
            <w:tcW w:w="1436" w:type="dxa"/>
            <w:tcBorders>
              <w:left w:val="single" w:sz="8" w:space="0" w:color="000000"/>
            </w:tcBorders>
            <w:shd w:fill="auto" w:val="clear"/>
            <w:tcMar>
              <w:left w:w="0" w:type="dxa"/>
              <w:right w:w="0" w:type="dxa"/>
            </w:tcMar>
          </w:tcPr>
          <w:p>
            <w:pPr>
              <w:pStyle w:val="Normal"/>
              <w:jc w:val="center"/>
              <w:rPr/>
            </w:pPr>
            <w:r>
              <w:rPr/>
              <w:t>150</w:t>
            </w:r>
          </w:p>
        </w:tc>
        <w:tc>
          <w:tcPr>
            <w:tcW w:w="1271"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500</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Вентильный элемент разрядника РВМК-330, 500</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0,010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0,035</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Искровой элемент разрядника РВМК-330, 500</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600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1000</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Элемент разрядника РВМК-750М</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1300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7000</w:t>
            </w:r>
          </w:p>
        </w:tc>
      </w:tr>
      <w:tr>
        <w:trPr/>
        <w:tc>
          <w:tcPr>
            <w:tcW w:w="6648" w:type="dxa"/>
            <w:tcBorders>
              <w:left w:val="single" w:sz="8" w:space="0" w:color="000000"/>
              <w:bottom w:val="single" w:sz="8" w:space="0" w:color="000000"/>
              <w:insideH w:val="single" w:sz="8" w:space="0" w:color="000000"/>
            </w:tcBorders>
            <w:shd w:fill="auto" w:val="clear"/>
          </w:tcPr>
          <w:p>
            <w:pPr>
              <w:pStyle w:val="Normal"/>
              <w:jc w:val="both"/>
              <w:rPr/>
            </w:pPr>
            <w:r>
              <w:rPr/>
              <w:t>Элемент разрядника РВМК-1150 (при температуре не менее 10 °С в сухую погоду)</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2000</w:t>
            </w:r>
          </w:p>
        </w:tc>
        <w:tc>
          <w:tcPr>
            <w:tcW w:w="127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8000</w:t>
            </w:r>
          </w:p>
        </w:tc>
      </w:tr>
    </w:tbl>
    <w:p>
      <w:pPr>
        <w:pStyle w:val="Normal"/>
        <w:spacing w:before="120" w:after="0"/>
        <w:ind w:firstLine="284"/>
        <w:jc w:val="both"/>
        <w:rPr/>
      </w:pPr>
      <w:r>
        <w:rPr/>
        <w:t>Сопротивление ограничителей перенапряжения с номинальным напряжением 3 - 35 кВ должно соответствовать требованиям инструкций заводов-изготовителей.</w:t>
      </w:r>
    </w:p>
    <w:p>
      <w:pPr>
        <w:pStyle w:val="Normal"/>
        <w:ind w:firstLine="283"/>
        <w:jc w:val="both"/>
        <w:rPr/>
      </w:pPr>
      <w:r>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pPr>
        <w:pStyle w:val="Normal"/>
        <w:ind w:firstLine="283"/>
        <w:jc w:val="both"/>
        <w:rPr>
          <w:b/>
          <w:b/>
          <w:bCs/>
        </w:rPr>
      </w:pPr>
      <w:r>
        <w:rPr>
          <w:b/>
          <w:bCs/>
        </w:rPr>
        <w:t>2. Измерение тока проводимости вентильных разрядников при выпрямленном напряжении.</w:t>
      </w:r>
    </w:p>
    <w:p>
      <w:pPr>
        <w:pStyle w:val="Normal"/>
        <w:ind w:firstLine="283"/>
        <w:jc w:val="both"/>
        <w:rPr/>
      </w:pPr>
      <w:r>
        <w:rPr/>
        <w:t>Измерение проводится у разрядников с шунтирующими сопротивлениями. При отсутствии указаний заводов-изготовителей токи проводимости должны соответствовать приведенным в табл. 1.8.29.</w:t>
      </w:r>
    </w:p>
    <w:p>
      <w:pPr>
        <w:pStyle w:val="Normal"/>
        <w:ind w:firstLine="283"/>
        <w:jc w:val="both"/>
        <w:rPr>
          <w:b/>
          <w:b/>
          <w:bCs/>
        </w:rPr>
      </w:pPr>
      <w:r>
        <w:rPr>
          <w:b/>
          <w:bCs/>
        </w:rPr>
        <w:t>3. Измерение тока проводимости ограничителей перенапряжений.</w:t>
      </w:r>
    </w:p>
    <w:p>
      <w:pPr>
        <w:pStyle w:val="Normal"/>
        <w:ind w:firstLine="283"/>
        <w:jc w:val="both"/>
        <w:rPr/>
      </w:pPr>
      <w:r>
        <w:rPr/>
        <w:t>Измерение тока проводимости ограничителей перенапряжений производится:</w:t>
      </w:r>
    </w:p>
    <w:p>
      <w:pPr>
        <w:pStyle w:val="Normal"/>
        <w:ind w:firstLine="283"/>
        <w:jc w:val="both"/>
        <w:rPr/>
      </w:pPr>
      <w:r>
        <w:rPr/>
        <w:t>- для ограничителей класса напряжения 3 - 110 кВ при приложении наибольшего длительно допустимого фазного напряжения;</w:t>
      </w:r>
    </w:p>
    <w:p>
      <w:pPr>
        <w:pStyle w:val="Normal"/>
        <w:ind w:firstLine="283"/>
        <w:jc w:val="both"/>
        <w:rPr/>
      </w:pPr>
      <w:r>
        <w:rPr/>
        <w:t>- для ограничителей класса напряжения 150, 220, 330, 500 кВ при напряжении 100 кВ частоты 50 Гц.</w:t>
      </w:r>
    </w:p>
    <w:p>
      <w:pPr>
        <w:pStyle w:val="Normal"/>
        <w:ind w:firstLine="283"/>
        <w:jc w:val="both"/>
        <w:rPr/>
      </w:pPr>
      <w:r>
        <w:rPr/>
        <w:t>Предельные значения токов проводимости ОПН должны соответствовать инструкции завода-изготовителя.</w:t>
      </w:r>
    </w:p>
    <w:p>
      <w:pPr>
        <w:pStyle w:val="Normal"/>
        <w:ind w:firstLine="283"/>
        <w:jc w:val="both"/>
        <w:rPr>
          <w:b/>
          <w:b/>
          <w:bCs/>
        </w:rPr>
      </w:pPr>
      <w:r>
        <w:rPr>
          <w:b/>
          <w:bCs/>
        </w:rPr>
        <w:t>4. Проверка элементов, входящих в комплект приспособления для измерения тока проводимости ограничителя перенапряжений под рабочим напряжением.</w:t>
      </w:r>
    </w:p>
    <w:p>
      <w:pPr>
        <w:pStyle w:val="Normal"/>
        <w:ind w:firstLine="283"/>
        <w:jc w:val="both"/>
        <w:rPr/>
      </w:pPr>
      <w:r>
        <w:rPr/>
        <w:t>Проверка электрической прочности изолированного вывода производится для ограничителей ОПН-0330 и 500 кВ перед вводом в эксплуатацию.</w:t>
      </w:r>
    </w:p>
    <w:p>
      <w:pPr>
        <w:pStyle w:val="Normal"/>
        <w:ind w:firstLine="283"/>
        <w:jc w:val="both"/>
        <w:rPr/>
      </w:pPr>
      <w:r>
        <w:rPr/>
        <w:t>Проверка производится при плавном подъёме напряжения частоты 50 Гц до 10 кВ без выдержки времени.</w:t>
      </w:r>
    </w:p>
    <w:p>
      <w:pPr>
        <w:pStyle w:val="Normal"/>
        <w:ind w:firstLine="283"/>
        <w:jc w:val="both"/>
        <w:rPr/>
      </w:pPr>
      <w:r>
        <w:rPr/>
        <w:t>Проверка электрической прочности изолятора ОФР-10-750 производится напряжением 24 кВ частоты 50 Гц в течение 1 мин.</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29</w:t>
      </w:r>
    </w:p>
    <w:p>
      <w:pPr>
        <w:pStyle w:val="Normal"/>
        <w:spacing w:before="0" w:after="120"/>
        <w:jc w:val="center"/>
        <w:rPr/>
      </w:pPr>
      <w:r>
        <w:rPr>
          <w:b/>
          <w:bCs/>
          <w:i/>
          <w:iCs/>
        </w:rPr>
        <w:t>Допустимые</w:t>
      </w:r>
      <w:r>
        <w:rPr>
          <w:b/>
          <w:bCs/>
        </w:rPr>
        <w:t xml:space="preserve"> </w:t>
      </w:r>
      <w:r>
        <w:rPr>
          <w:b/>
          <w:bCs/>
          <w:i/>
          <w:iCs/>
        </w:rPr>
        <w:t>токи</w:t>
      </w:r>
      <w:r>
        <w:rPr>
          <w:b/>
          <w:bCs/>
        </w:rPr>
        <w:t xml:space="preserve"> </w:t>
      </w:r>
      <w:r>
        <w:rPr>
          <w:b/>
          <w:bCs/>
          <w:i/>
          <w:iCs/>
        </w:rPr>
        <w:t>проводимости</w:t>
      </w:r>
      <w:r>
        <w:rPr>
          <w:b/>
          <w:bCs/>
        </w:rPr>
        <w:t xml:space="preserve"> </w:t>
      </w:r>
      <w:r>
        <w:rPr>
          <w:b/>
          <w:bCs/>
          <w:i/>
          <w:iCs/>
        </w:rPr>
        <w:t>вентильных</w:t>
      </w:r>
      <w:r>
        <w:rPr>
          <w:b/>
          <w:bCs/>
        </w:rPr>
        <w:t xml:space="preserve"> </w:t>
      </w:r>
      <w:r>
        <w:rPr>
          <w:b/>
          <w:bCs/>
          <w:i/>
          <w:iCs/>
        </w:rPr>
        <w:t>разрядников</w:t>
      </w:r>
      <w:r>
        <w:rPr>
          <w:b/>
          <w:bCs/>
        </w:rPr>
        <w:t xml:space="preserve"> </w:t>
      </w:r>
      <w:r>
        <w:rPr>
          <w:b/>
          <w:bCs/>
          <w:i/>
          <w:iCs/>
        </w:rPr>
        <w:t>при</w:t>
      </w:r>
      <w:r>
        <w:rPr>
          <w:b/>
          <w:bCs/>
        </w:rPr>
        <w:t xml:space="preserve"> </w:t>
      </w:r>
      <w:r>
        <w:rPr>
          <w:b/>
          <w:bCs/>
          <w:i/>
          <w:iCs/>
        </w:rPr>
        <w:t>выпрямленном</w:t>
      </w:r>
      <w:r>
        <w:rPr>
          <w:b/>
          <w:bCs/>
        </w:rPr>
        <w:t xml:space="preserve"> </w:t>
      </w:r>
      <w:r>
        <w:rPr>
          <w:b/>
          <w:bCs/>
          <w:i/>
          <w:iCs/>
        </w:rPr>
        <w:t>напряжении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357"/>
        <w:gridCol w:w="1797"/>
        <w:gridCol w:w="1801"/>
        <w:gridCol w:w="1400"/>
      </w:tblGrid>
      <w:tr>
        <w:trPr>
          <w:tblHeader w:val="true"/>
        </w:trPr>
        <w:tc>
          <w:tcPr>
            <w:tcW w:w="4357"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разрядника или элемента</w:t>
            </w:r>
          </w:p>
        </w:tc>
        <w:tc>
          <w:tcPr>
            <w:tcW w:w="1797" w:type="dxa"/>
            <w:vMerge w:val="restart"/>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Испытательное выпрямленное напряжение, кВ</w:t>
            </w:r>
          </w:p>
        </w:tc>
        <w:tc>
          <w:tcPr>
            <w:tcW w:w="3201"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Ток проводимости при температуре разрядника 20 °С, мкА</w:t>
            </w:r>
          </w:p>
        </w:tc>
      </w:tr>
      <w:tr>
        <w:trPr>
          <w:tblHeader w:val="true"/>
        </w:trPr>
        <w:tc>
          <w:tcPr>
            <w:tcW w:w="4357"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797" w:type="dxa"/>
            <w:vMerge w:val="continue"/>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snapToGrid w:val="false"/>
              <w:rPr/>
            </w:pPr>
            <w:r>
              <w:rPr/>
            </w:r>
          </w:p>
        </w:tc>
        <w:tc>
          <w:tcPr>
            <w:tcW w:w="1801" w:type="dxa"/>
            <w:tcBorders>
              <w:left w:val="single" w:sz="8" w:space="0" w:color="000000"/>
              <w:bottom w:val="single" w:sz="8" w:space="0" w:color="000000"/>
              <w:insideH w:val="single" w:sz="8" w:space="0" w:color="000000"/>
            </w:tcBorders>
            <w:shd w:fill="auto" w:val="clear"/>
            <w:vAlign w:val="center"/>
          </w:tcPr>
          <w:p>
            <w:pPr>
              <w:pStyle w:val="Normal"/>
              <w:jc w:val="center"/>
              <w:rPr/>
            </w:pPr>
            <w:r>
              <w:rPr/>
              <w:t>не менее</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не более</w:t>
            </w:r>
          </w:p>
        </w:tc>
      </w:tr>
      <w:tr>
        <w:trPr/>
        <w:tc>
          <w:tcPr>
            <w:tcW w:w="4357" w:type="dxa"/>
            <w:tcBorders>
              <w:left w:val="single" w:sz="8" w:space="0" w:color="000000"/>
            </w:tcBorders>
            <w:shd w:fill="auto" w:val="clear"/>
          </w:tcPr>
          <w:p>
            <w:pPr>
              <w:pStyle w:val="Normal"/>
              <w:jc w:val="both"/>
              <w:rPr/>
            </w:pPr>
            <w:r>
              <w:rPr/>
              <w:t>РВС-15</w:t>
            </w:r>
          </w:p>
        </w:tc>
        <w:tc>
          <w:tcPr>
            <w:tcW w:w="1797" w:type="dxa"/>
            <w:tcBorders>
              <w:left w:val="single" w:sz="8" w:space="0" w:color="000000"/>
            </w:tcBorders>
            <w:shd w:fill="auto" w:val="clear"/>
            <w:tcMar>
              <w:left w:w="0" w:type="dxa"/>
              <w:right w:w="0" w:type="dxa"/>
            </w:tcMar>
          </w:tcPr>
          <w:p>
            <w:pPr>
              <w:pStyle w:val="Normal"/>
              <w:jc w:val="center"/>
              <w:rPr/>
            </w:pPr>
            <w:r>
              <w:rPr/>
              <w:t>16</w:t>
            </w:r>
          </w:p>
        </w:tc>
        <w:tc>
          <w:tcPr>
            <w:tcW w:w="1801" w:type="dxa"/>
            <w:tcBorders>
              <w:left w:val="single" w:sz="8" w:space="0" w:color="000000"/>
            </w:tcBorders>
            <w:shd w:fill="auto" w:val="clear"/>
            <w:tcMar>
              <w:left w:w="0" w:type="dxa"/>
              <w:right w:w="0" w:type="dxa"/>
            </w:tcMar>
          </w:tcPr>
          <w:p>
            <w:pPr>
              <w:pStyle w:val="Normal"/>
              <w:jc w:val="center"/>
              <w:rPr/>
            </w:pPr>
            <w:r>
              <w:rPr/>
              <w:t>200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340</w:t>
            </w:r>
          </w:p>
        </w:tc>
      </w:tr>
      <w:tr>
        <w:trPr/>
        <w:tc>
          <w:tcPr>
            <w:tcW w:w="4357" w:type="dxa"/>
            <w:tcBorders>
              <w:left w:val="single" w:sz="8" w:space="0" w:color="000000"/>
            </w:tcBorders>
            <w:shd w:fill="auto" w:val="clear"/>
          </w:tcPr>
          <w:p>
            <w:pPr>
              <w:pStyle w:val="Normal"/>
              <w:jc w:val="both"/>
              <w:rPr/>
            </w:pPr>
            <w:r>
              <w:rPr/>
              <w:t>РВС-20</w:t>
            </w:r>
          </w:p>
        </w:tc>
        <w:tc>
          <w:tcPr>
            <w:tcW w:w="1797" w:type="dxa"/>
            <w:tcBorders>
              <w:left w:val="single" w:sz="8" w:space="0" w:color="000000"/>
            </w:tcBorders>
            <w:shd w:fill="auto" w:val="clear"/>
            <w:tcMar>
              <w:left w:w="0" w:type="dxa"/>
              <w:right w:w="0" w:type="dxa"/>
            </w:tcMar>
          </w:tcPr>
          <w:p>
            <w:pPr>
              <w:pStyle w:val="Normal"/>
              <w:jc w:val="center"/>
              <w:rPr/>
            </w:pPr>
            <w:r>
              <w:rPr/>
              <w:t>20</w:t>
            </w:r>
          </w:p>
        </w:tc>
        <w:tc>
          <w:tcPr>
            <w:tcW w:w="1801" w:type="dxa"/>
            <w:tcBorders>
              <w:left w:val="single" w:sz="8" w:space="0" w:color="000000"/>
            </w:tcBorders>
            <w:shd w:fill="auto" w:val="clear"/>
            <w:tcMar>
              <w:left w:w="0" w:type="dxa"/>
              <w:right w:w="0" w:type="dxa"/>
            </w:tcMar>
          </w:tcPr>
          <w:p>
            <w:pPr>
              <w:pStyle w:val="Normal"/>
              <w:jc w:val="center"/>
              <w:rPr/>
            </w:pPr>
            <w:r>
              <w:rPr/>
              <w:t>200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340</w:t>
            </w:r>
          </w:p>
        </w:tc>
      </w:tr>
      <w:tr>
        <w:trPr/>
        <w:tc>
          <w:tcPr>
            <w:tcW w:w="4357" w:type="dxa"/>
            <w:tcBorders>
              <w:left w:val="single" w:sz="8" w:space="0" w:color="000000"/>
            </w:tcBorders>
            <w:shd w:fill="auto" w:val="clear"/>
          </w:tcPr>
          <w:p>
            <w:pPr>
              <w:pStyle w:val="Normal"/>
              <w:jc w:val="both"/>
              <w:rPr/>
            </w:pPr>
            <w:r>
              <w:rPr/>
              <w:t>РВС-33</w:t>
            </w:r>
          </w:p>
        </w:tc>
        <w:tc>
          <w:tcPr>
            <w:tcW w:w="1797" w:type="dxa"/>
            <w:tcBorders>
              <w:left w:val="single" w:sz="8" w:space="0" w:color="000000"/>
            </w:tcBorders>
            <w:shd w:fill="auto" w:val="clear"/>
            <w:tcMar>
              <w:left w:w="0" w:type="dxa"/>
              <w:right w:w="0" w:type="dxa"/>
            </w:tcMar>
          </w:tcPr>
          <w:p>
            <w:pPr>
              <w:pStyle w:val="Normal"/>
              <w:jc w:val="center"/>
              <w:rPr/>
            </w:pPr>
            <w:r>
              <w:rPr/>
              <w:t>32</w:t>
            </w:r>
          </w:p>
        </w:tc>
        <w:tc>
          <w:tcPr>
            <w:tcW w:w="1801" w:type="dxa"/>
            <w:tcBorders>
              <w:left w:val="single" w:sz="8" w:space="0" w:color="000000"/>
            </w:tcBorders>
            <w:shd w:fill="auto" w:val="clear"/>
            <w:tcMar>
              <w:left w:w="0" w:type="dxa"/>
              <w:right w:w="0" w:type="dxa"/>
            </w:tcMar>
          </w:tcPr>
          <w:p>
            <w:pPr>
              <w:pStyle w:val="Normal"/>
              <w:jc w:val="center"/>
              <w:rPr/>
            </w:pPr>
            <w:r>
              <w:rPr/>
              <w:t>450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620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РВС-35</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32</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340</w:t>
            </w:r>
          </w:p>
        </w:tc>
      </w:tr>
      <w:tr>
        <w:trPr/>
        <w:tc>
          <w:tcPr>
            <w:tcW w:w="4357" w:type="dxa"/>
            <w:tcBorders>
              <w:left w:val="single" w:sz="8" w:space="0" w:color="000000"/>
            </w:tcBorders>
            <w:shd w:fill="auto" w:val="clear"/>
          </w:tcPr>
          <w:p>
            <w:pPr>
              <w:pStyle w:val="Normal"/>
              <w:jc w:val="both"/>
              <w:rPr/>
            </w:pPr>
            <w:r>
              <w:rPr/>
              <w:t>РВМ-3</w:t>
            </w:r>
          </w:p>
        </w:tc>
        <w:tc>
          <w:tcPr>
            <w:tcW w:w="1797" w:type="dxa"/>
            <w:tcBorders>
              <w:left w:val="single" w:sz="8" w:space="0" w:color="000000"/>
            </w:tcBorders>
            <w:shd w:fill="auto" w:val="clear"/>
            <w:tcMar>
              <w:left w:w="0" w:type="dxa"/>
              <w:right w:w="0" w:type="dxa"/>
            </w:tcMar>
          </w:tcPr>
          <w:p>
            <w:pPr>
              <w:pStyle w:val="Normal"/>
              <w:jc w:val="center"/>
              <w:rPr/>
            </w:pPr>
            <w:r>
              <w:rPr/>
              <w:t>4</w:t>
            </w:r>
          </w:p>
        </w:tc>
        <w:tc>
          <w:tcPr>
            <w:tcW w:w="1801" w:type="dxa"/>
            <w:tcBorders>
              <w:left w:val="single" w:sz="8" w:space="0" w:color="000000"/>
            </w:tcBorders>
            <w:shd w:fill="auto" w:val="clear"/>
            <w:tcMar>
              <w:left w:w="0" w:type="dxa"/>
              <w:right w:w="0" w:type="dxa"/>
            </w:tcMar>
          </w:tcPr>
          <w:p>
            <w:pPr>
              <w:pStyle w:val="Normal"/>
              <w:jc w:val="center"/>
              <w:rPr/>
            </w:pPr>
            <w:r>
              <w:rPr/>
              <w:t>380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450</w:t>
            </w:r>
          </w:p>
        </w:tc>
      </w:tr>
      <w:tr>
        <w:trPr/>
        <w:tc>
          <w:tcPr>
            <w:tcW w:w="4357" w:type="dxa"/>
            <w:tcBorders>
              <w:left w:val="single" w:sz="8" w:space="0" w:color="000000"/>
            </w:tcBorders>
            <w:shd w:fill="auto" w:val="clear"/>
          </w:tcPr>
          <w:p>
            <w:pPr>
              <w:pStyle w:val="Normal"/>
              <w:jc w:val="both"/>
              <w:rPr/>
            </w:pPr>
            <w:r>
              <w:rPr/>
              <w:t>РВМ-6</w:t>
            </w:r>
          </w:p>
        </w:tc>
        <w:tc>
          <w:tcPr>
            <w:tcW w:w="1797" w:type="dxa"/>
            <w:tcBorders>
              <w:left w:val="single" w:sz="8" w:space="0" w:color="000000"/>
            </w:tcBorders>
            <w:shd w:fill="auto" w:val="clear"/>
            <w:tcMar>
              <w:left w:w="0" w:type="dxa"/>
              <w:right w:w="0" w:type="dxa"/>
            </w:tcMar>
          </w:tcPr>
          <w:p>
            <w:pPr>
              <w:pStyle w:val="Normal"/>
              <w:jc w:val="center"/>
              <w:rPr/>
            </w:pPr>
            <w:r>
              <w:rPr/>
              <w:t>6</w:t>
            </w:r>
          </w:p>
        </w:tc>
        <w:tc>
          <w:tcPr>
            <w:tcW w:w="1801" w:type="dxa"/>
            <w:tcBorders>
              <w:left w:val="single" w:sz="8" w:space="0" w:color="000000"/>
            </w:tcBorders>
            <w:shd w:fill="auto" w:val="clear"/>
            <w:tcMar>
              <w:left w:w="0" w:type="dxa"/>
              <w:right w:w="0" w:type="dxa"/>
            </w:tcMar>
          </w:tcPr>
          <w:p>
            <w:pPr>
              <w:pStyle w:val="Normal"/>
              <w:jc w:val="center"/>
              <w:rPr/>
            </w:pPr>
            <w:r>
              <w:rPr/>
              <w:t>120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220</w:t>
            </w:r>
          </w:p>
        </w:tc>
      </w:tr>
      <w:tr>
        <w:trPr/>
        <w:tc>
          <w:tcPr>
            <w:tcW w:w="4357" w:type="dxa"/>
            <w:tcBorders>
              <w:left w:val="single" w:sz="8" w:space="0" w:color="000000"/>
            </w:tcBorders>
            <w:shd w:fill="auto" w:val="clear"/>
          </w:tcPr>
          <w:p>
            <w:pPr>
              <w:pStyle w:val="Normal"/>
              <w:jc w:val="both"/>
              <w:rPr/>
            </w:pPr>
            <w:r>
              <w:rPr/>
              <w:t>РВМ-10</w:t>
            </w:r>
          </w:p>
        </w:tc>
        <w:tc>
          <w:tcPr>
            <w:tcW w:w="1797" w:type="dxa"/>
            <w:tcBorders>
              <w:left w:val="single" w:sz="8" w:space="0" w:color="000000"/>
            </w:tcBorders>
            <w:shd w:fill="auto" w:val="clear"/>
            <w:tcMar>
              <w:left w:w="0" w:type="dxa"/>
              <w:right w:w="0" w:type="dxa"/>
            </w:tcMar>
          </w:tcPr>
          <w:p>
            <w:pPr>
              <w:pStyle w:val="Normal"/>
              <w:jc w:val="center"/>
              <w:rPr/>
            </w:pPr>
            <w:r>
              <w:rPr/>
              <w:t>10</w:t>
            </w:r>
          </w:p>
        </w:tc>
        <w:tc>
          <w:tcPr>
            <w:tcW w:w="1801" w:type="dxa"/>
            <w:tcBorders>
              <w:left w:val="single" w:sz="8" w:space="0" w:color="000000"/>
            </w:tcBorders>
            <w:shd w:fill="auto" w:val="clear"/>
            <w:tcMar>
              <w:left w:w="0" w:type="dxa"/>
              <w:right w:w="0" w:type="dxa"/>
            </w:tcMar>
          </w:tcPr>
          <w:p>
            <w:pPr>
              <w:pStyle w:val="Normal"/>
              <w:jc w:val="center"/>
              <w:rPr/>
            </w:pPr>
            <w:r>
              <w:rPr/>
              <w:t>200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280</w:t>
            </w:r>
          </w:p>
        </w:tc>
      </w:tr>
      <w:tr>
        <w:trPr/>
        <w:tc>
          <w:tcPr>
            <w:tcW w:w="4357" w:type="dxa"/>
            <w:tcBorders>
              <w:left w:val="single" w:sz="8" w:space="0" w:color="000000"/>
            </w:tcBorders>
            <w:shd w:fill="auto" w:val="clear"/>
          </w:tcPr>
          <w:p>
            <w:pPr>
              <w:pStyle w:val="Normal"/>
              <w:jc w:val="both"/>
              <w:rPr/>
            </w:pPr>
            <w:r>
              <w:rPr/>
              <w:t>РВМ-15</w:t>
            </w:r>
          </w:p>
        </w:tc>
        <w:tc>
          <w:tcPr>
            <w:tcW w:w="1797" w:type="dxa"/>
            <w:tcBorders>
              <w:left w:val="single" w:sz="8" w:space="0" w:color="000000"/>
            </w:tcBorders>
            <w:shd w:fill="auto" w:val="clear"/>
            <w:tcMar>
              <w:left w:w="0" w:type="dxa"/>
              <w:right w:w="0" w:type="dxa"/>
            </w:tcMar>
          </w:tcPr>
          <w:p>
            <w:pPr>
              <w:pStyle w:val="Normal"/>
              <w:jc w:val="center"/>
              <w:rPr/>
            </w:pPr>
            <w:r>
              <w:rPr/>
              <w:t>18</w:t>
            </w:r>
          </w:p>
        </w:tc>
        <w:tc>
          <w:tcPr>
            <w:tcW w:w="1801" w:type="dxa"/>
            <w:tcBorders>
              <w:left w:val="single" w:sz="8" w:space="0" w:color="000000"/>
            </w:tcBorders>
            <w:shd w:fill="auto" w:val="clear"/>
            <w:tcMar>
              <w:left w:w="0" w:type="dxa"/>
              <w:right w:w="0" w:type="dxa"/>
            </w:tcMar>
          </w:tcPr>
          <w:p>
            <w:pPr>
              <w:pStyle w:val="Normal"/>
              <w:jc w:val="center"/>
              <w:rPr/>
            </w:pPr>
            <w:r>
              <w:rPr/>
              <w:t>500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700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РВМ-20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28</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700</w:t>
            </w:r>
          </w:p>
        </w:tc>
      </w:tr>
      <w:tr>
        <w:trPr/>
        <w:tc>
          <w:tcPr>
            <w:tcW w:w="4357" w:type="dxa"/>
            <w:tcBorders>
              <w:left w:val="single" w:sz="8" w:space="0" w:color="000000"/>
            </w:tcBorders>
            <w:shd w:fill="auto" w:val="clear"/>
          </w:tcPr>
          <w:p>
            <w:pPr>
              <w:pStyle w:val="Normal"/>
              <w:jc w:val="both"/>
              <w:rPr/>
            </w:pPr>
            <w:r>
              <w:rPr/>
              <w:t>РВЭ-25М</w:t>
            </w:r>
          </w:p>
        </w:tc>
        <w:tc>
          <w:tcPr>
            <w:tcW w:w="1797" w:type="dxa"/>
            <w:tcBorders>
              <w:left w:val="single" w:sz="8" w:space="0" w:color="000000"/>
            </w:tcBorders>
            <w:shd w:fill="auto" w:val="clear"/>
            <w:tcMar>
              <w:left w:w="0" w:type="dxa"/>
              <w:right w:w="0" w:type="dxa"/>
            </w:tcMar>
          </w:tcPr>
          <w:p>
            <w:pPr>
              <w:pStyle w:val="Normal"/>
              <w:jc w:val="center"/>
              <w:rPr/>
            </w:pPr>
            <w:r>
              <w:rPr/>
              <w:t>28</w:t>
            </w:r>
          </w:p>
        </w:tc>
        <w:tc>
          <w:tcPr>
            <w:tcW w:w="1801" w:type="dxa"/>
            <w:tcBorders>
              <w:left w:val="single" w:sz="8" w:space="0" w:color="000000"/>
            </w:tcBorders>
            <w:shd w:fill="auto" w:val="clear"/>
            <w:tcMar>
              <w:left w:w="0" w:type="dxa"/>
              <w:right w:w="0" w:type="dxa"/>
            </w:tcMar>
          </w:tcPr>
          <w:p>
            <w:pPr>
              <w:pStyle w:val="Normal"/>
              <w:jc w:val="center"/>
              <w:rPr/>
            </w:pPr>
            <w:r>
              <w:rPr/>
              <w:t>400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650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РВМЭ-25</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32</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450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600</w:t>
            </w:r>
          </w:p>
        </w:tc>
      </w:tr>
      <w:tr>
        <w:trPr/>
        <w:tc>
          <w:tcPr>
            <w:tcW w:w="4357" w:type="dxa"/>
            <w:tcBorders>
              <w:left w:val="single" w:sz="8" w:space="0" w:color="000000"/>
            </w:tcBorders>
            <w:shd w:fill="auto" w:val="clear"/>
          </w:tcPr>
          <w:p>
            <w:pPr>
              <w:pStyle w:val="Normal"/>
              <w:jc w:val="both"/>
              <w:rPr/>
            </w:pPr>
            <w:r>
              <w:rPr/>
              <w:t>РВРД-3</w:t>
            </w:r>
          </w:p>
        </w:tc>
        <w:tc>
          <w:tcPr>
            <w:tcW w:w="1797" w:type="dxa"/>
            <w:tcBorders>
              <w:left w:val="single" w:sz="8" w:space="0" w:color="000000"/>
            </w:tcBorders>
            <w:shd w:fill="auto" w:val="clear"/>
            <w:tcMar>
              <w:left w:w="0" w:type="dxa"/>
              <w:right w:w="0" w:type="dxa"/>
            </w:tcMar>
          </w:tcPr>
          <w:p>
            <w:pPr>
              <w:pStyle w:val="Normal"/>
              <w:jc w:val="center"/>
              <w:rPr/>
            </w:pPr>
            <w:r>
              <w:rPr/>
              <w:t>3</w:t>
            </w:r>
          </w:p>
        </w:tc>
        <w:tc>
          <w:tcPr>
            <w:tcW w:w="1801" w:type="dxa"/>
            <w:tcBorders>
              <w:left w:val="single" w:sz="8" w:space="0" w:color="000000"/>
            </w:tcBorders>
            <w:shd w:fill="auto" w:val="clear"/>
            <w:tcMar>
              <w:left w:w="0" w:type="dxa"/>
              <w:right w:w="0" w:type="dxa"/>
            </w:tcMar>
          </w:tcPr>
          <w:p>
            <w:pPr>
              <w:pStyle w:val="Normal"/>
              <w:jc w:val="center"/>
              <w:rPr/>
            </w:pPr>
            <w:r>
              <w:rPr/>
              <w:t>30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85</w:t>
            </w:r>
          </w:p>
        </w:tc>
      </w:tr>
      <w:tr>
        <w:trPr/>
        <w:tc>
          <w:tcPr>
            <w:tcW w:w="4357" w:type="dxa"/>
            <w:tcBorders>
              <w:left w:val="single" w:sz="8" w:space="0" w:color="000000"/>
            </w:tcBorders>
            <w:shd w:fill="auto" w:val="clear"/>
          </w:tcPr>
          <w:p>
            <w:pPr>
              <w:pStyle w:val="Normal"/>
              <w:jc w:val="both"/>
              <w:rPr/>
            </w:pPr>
            <w:r>
              <w:rPr/>
              <w:t>РБРД-6</w:t>
            </w:r>
          </w:p>
        </w:tc>
        <w:tc>
          <w:tcPr>
            <w:tcW w:w="1797" w:type="dxa"/>
            <w:tcBorders>
              <w:left w:val="single" w:sz="8" w:space="0" w:color="000000"/>
            </w:tcBorders>
            <w:shd w:fill="auto" w:val="clear"/>
            <w:tcMar>
              <w:left w:w="0" w:type="dxa"/>
              <w:right w:w="0" w:type="dxa"/>
            </w:tcMar>
          </w:tcPr>
          <w:p>
            <w:pPr>
              <w:pStyle w:val="Normal"/>
              <w:jc w:val="center"/>
              <w:rPr/>
            </w:pPr>
            <w:r>
              <w:rPr/>
              <w:t>6</w:t>
            </w:r>
          </w:p>
        </w:tc>
        <w:tc>
          <w:tcPr>
            <w:tcW w:w="1801" w:type="dxa"/>
            <w:tcBorders>
              <w:left w:val="single" w:sz="8" w:space="0" w:color="000000"/>
            </w:tcBorders>
            <w:shd w:fill="auto" w:val="clear"/>
            <w:tcMar>
              <w:left w:w="0" w:type="dxa"/>
              <w:right w:w="0" w:type="dxa"/>
            </w:tcMar>
          </w:tcPr>
          <w:p>
            <w:pPr>
              <w:pStyle w:val="Normal"/>
              <w:jc w:val="center"/>
              <w:rPr/>
            </w:pPr>
            <w:r>
              <w:rPr/>
              <w:t>30</w:t>
            </w:r>
          </w:p>
        </w:tc>
        <w:tc>
          <w:tcPr>
            <w:tcW w:w="1400"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85</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РВРД-10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85</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Элемент разрядника РВМГ-110М, 150М, 220М, 330М, 400, 500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30</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1350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Основной элемент разрядника РВМК-330, 500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18</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1350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Искровой элемент разрядника РВМК-330, 500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28</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900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1300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Элемент разрядника РВМК-750 М</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64</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220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330</w:t>
            </w:r>
          </w:p>
        </w:tc>
      </w:tr>
      <w:tr>
        <w:trPr/>
        <w:tc>
          <w:tcPr>
            <w:tcW w:w="4357" w:type="dxa"/>
            <w:tcBorders>
              <w:left w:val="single" w:sz="8" w:space="0" w:color="000000"/>
              <w:bottom w:val="single" w:sz="8" w:space="0" w:color="000000"/>
              <w:insideH w:val="single" w:sz="8" w:space="0" w:color="000000"/>
            </w:tcBorders>
            <w:shd w:fill="auto" w:val="clear"/>
          </w:tcPr>
          <w:p>
            <w:pPr>
              <w:pStyle w:val="Normal"/>
              <w:jc w:val="both"/>
              <w:rPr/>
            </w:pPr>
            <w:r>
              <w:rPr/>
              <w:t>Элемент разрядника РВМК-1150</w:t>
            </w:r>
          </w:p>
        </w:tc>
        <w:tc>
          <w:tcPr>
            <w:tcW w:w="179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64</w:t>
            </w:r>
          </w:p>
        </w:tc>
        <w:tc>
          <w:tcPr>
            <w:tcW w:w="180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180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320</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93"/>
              <w:jc w:val="both"/>
              <w:rPr/>
            </w:pPr>
            <w:r>
              <w:rPr>
                <w:i/>
                <w:iCs/>
                <w:spacing w:val="40"/>
              </w:rPr>
              <w:t>Примечание</w:t>
            </w:r>
            <w:r>
              <w:rPr/>
              <w:t>. Для приведения токов проводимости разрядников к температуре +20 °С следует внести поправку, равную 3 % на каждые 10 градусов отклонения (при температуре больше 20 °С поправка отрицательная).</w:t>
            </w:r>
          </w:p>
        </w:tc>
      </w:tr>
    </w:tbl>
    <w:p>
      <w:pPr>
        <w:pStyle w:val="Normal"/>
        <w:spacing w:before="120" w:after="0"/>
        <w:ind w:firstLine="284"/>
        <w:jc w:val="both"/>
        <w:rPr/>
      </w:pPr>
      <w:r>
        <w:rPr/>
        <w:t>Измерение тока проводимости защитного резистора производится при напряжении 0,75 кВ частоты 50 Гц. Значение тока должно находиться в пределах 1,8 - 4,0 мА.</w:t>
      </w:r>
    </w:p>
    <w:p>
      <w:pPr>
        <w:pStyle w:val="Heading3"/>
        <w:rPr/>
      </w:pPr>
      <w:r>
        <w:rPr/>
        <w:t>1.8.32. Трубчатые разрядники</w:t>
      </w:r>
    </w:p>
    <w:p>
      <w:pPr>
        <w:pStyle w:val="Normal"/>
        <w:ind w:firstLine="283"/>
        <w:jc w:val="both"/>
        <w:rPr>
          <w:b/>
          <w:b/>
          <w:bCs/>
        </w:rPr>
      </w:pPr>
      <w:r>
        <w:rPr>
          <w:b/>
          <w:bCs/>
        </w:rPr>
        <w:t>1. Проверка состояния поверхности разрядника.</w:t>
      </w:r>
    </w:p>
    <w:p>
      <w:pPr>
        <w:pStyle w:val="Normal"/>
        <w:ind w:firstLine="283"/>
        <w:jc w:val="both"/>
        <w:rPr/>
      </w:pPr>
      <w:r>
        <w:rPr/>
        <w:t>Производится путем осмотра перед установкой разрядника на опору. Наружная поверхность разрядника не должна иметь трещин и отслоений.</w:t>
      </w:r>
    </w:p>
    <w:p>
      <w:pPr>
        <w:pStyle w:val="Normal"/>
        <w:ind w:firstLine="283"/>
        <w:jc w:val="both"/>
        <w:rPr>
          <w:b/>
          <w:b/>
          <w:bCs/>
        </w:rPr>
      </w:pPr>
      <w:r>
        <w:rPr>
          <w:b/>
          <w:bCs/>
        </w:rPr>
        <w:t>2. Измерение внешнего искрового промежутка.</w:t>
      </w:r>
    </w:p>
    <w:p>
      <w:pPr>
        <w:pStyle w:val="Normal"/>
        <w:ind w:firstLine="283"/>
        <w:jc w:val="both"/>
        <w:rPr/>
      </w:pPr>
      <w:r>
        <w:rPr/>
        <w:t>Производится на опоре установки разрядника. Искровой промежуток не должен отличаться от заданного.</w:t>
      </w:r>
    </w:p>
    <w:p>
      <w:pPr>
        <w:pStyle w:val="Normal"/>
        <w:ind w:firstLine="283"/>
        <w:jc w:val="both"/>
        <w:rPr>
          <w:b/>
          <w:b/>
          <w:bCs/>
        </w:rPr>
      </w:pPr>
      <w:r>
        <w:rPr>
          <w:b/>
          <w:bCs/>
        </w:rPr>
        <w:t>3. Проверка расположения зон выхлопа.</w:t>
      </w:r>
    </w:p>
    <w:p>
      <w:pPr>
        <w:pStyle w:val="Normal"/>
        <w:ind w:firstLine="283"/>
        <w:jc w:val="both"/>
        <w:rPr/>
      </w:pPr>
      <w:r>
        <w:rPr/>
        <w:t>Производится после установки разрядников. Зоны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pPr>
        <w:pStyle w:val="Heading3"/>
        <w:rPr/>
      </w:pPr>
      <w:r>
        <w:rPr/>
        <w:t>1.8.33. Предохранители, предохранители-разъединители напряжением выше 1 кВ</w:t>
      </w:r>
    </w:p>
    <w:p>
      <w:pPr>
        <w:pStyle w:val="Normal"/>
        <w:ind w:firstLine="283"/>
        <w:jc w:val="both"/>
        <w:rPr>
          <w:b/>
          <w:b/>
          <w:bCs/>
        </w:rPr>
      </w:pPr>
      <w:r>
        <w:rPr>
          <w:b/>
          <w:bCs/>
        </w:rPr>
        <w:t>1. Испытание опорной изоляции предохранителей повышенным напряжением промышленной частоты.</w:t>
      </w:r>
    </w:p>
    <w:p>
      <w:pPr>
        <w:pStyle w:val="Normal"/>
        <w:ind w:firstLine="283"/>
        <w:jc w:val="both"/>
        <w:rPr/>
      </w:pPr>
      <w:r>
        <w:rPr/>
        <w:t>Испытательное напряжение устанавливается согласно табл. 1.8.24.</w:t>
      </w:r>
    </w:p>
    <w:p>
      <w:pPr>
        <w:pStyle w:val="Normal"/>
        <w:ind w:firstLine="283"/>
        <w:jc w:val="both"/>
        <w:rPr/>
      </w:pPr>
      <w:r>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pPr>
        <w:pStyle w:val="Normal"/>
        <w:ind w:firstLine="283"/>
        <w:jc w:val="both"/>
        <w:rPr>
          <w:b/>
          <w:b/>
          <w:bCs/>
        </w:rPr>
      </w:pPr>
      <w:r>
        <w:rPr>
          <w:b/>
          <w:bCs/>
        </w:rPr>
        <w:t>2. Проверка целости плавких вставок и токоограничивающих резисторов.</w:t>
      </w:r>
    </w:p>
    <w:p>
      <w:pPr>
        <w:pStyle w:val="Normal"/>
        <w:ind w:firstLine="283"/>
        <w:jc w:val="both"/>
        <w:rPr/>
      </w:pPr>
      <w:r>
        <w:rPr/>
        <w:t>Проверяются:</w:t>
      </w:r>
    </w:p>
    <w:p>
      <w:pPr>
        <w:pStyle w:val="Normal"/>
        <w:ind w:firstLine="283"/>
        <w:jc w:val="both"/>
        <w:rPr/>
      </w:pPr>
      <w:r>
        <w:rPr/>
        <w:t>омметром - целостность плавкой вставки;</w:t>
      </w:r>
    </w:p>
    <w:p>
      <w:pPr>
        <w:pStyle w:val="Normal"/>
        <w:ind w:firstLine="283"/>
        <w:jc w:val="both"/>
        <w:rPr/>
      </w:pPr>
      <w:r>
        <w:rPr/>
        <w:t>визуально - наличие маркировки на патроне и соответствие тока проектным данным.</w:t>
      </w:r>
    </w:p>
    <w:p>
      <w:pPr>
        <w:pStyle w:val="Normal"/>
        <w:ind w:firstLine="283"/>
        <w:jc w:val="both"/>
        <w:rPr>
          <w:b/>
          <w:b/>
          <w:bCs/>
        </w:rPr>
      </w:pPr>
      <w:r>
        <w:rPr>
          <w:b/>
          <w:bCs/>
        </w:rPr>
        <w:t>3. Измерение сопротивления постоянному току токоведущей части патрона предохранителя-разъединителя.</w:t>
      </w:r>
    </w:p>
    <w:p>
      <w:pPr>
        <w:pStyle w:val="Normal"/>
        <w:ind w:firstLine="283"/>
        <w:jc w:val="both"/>
        <w:rPr/>
      </w:pPr>
      <w:r>
        <w:rPr/>
        <w:t>Измеренное значение сопротивления должно соответствовать значению, указанному заводом-изготовителем.</w:t>
      </w:r>
    </w:p>
    <w:p>
      <w:pPr>
        <w:pStyle w:val="Normal"/>
        <w:ind w:firstLine="283"/>
        <w:jc w:val="both"/>
        <w:rPr>
          <w:b/>
          <w:b/>
          <w:bCs/>
        </w:rPr>
      </w:pPr>
      <w:r>
        <w:rPr>
          <w:b/>
          <w:bCs/>
        </w:rPr>
        <w:t>4. Измерение контактного нажатия в разъемных контактах предохранителя-разъединителя.</w:t>
      </w:r>
    </w:p>
    <w:p>
      <w:pPr>
        <w:pStyle w:val="Normal"/>
        <w:ind w:firstLine="283"/>
        <w:jc w:val="both"/>
        <w:rPr/>
      </w:pPr>
      <w:r>
        <w:rPr/>
        <w:t>Измеренное значение контактного нажатия должно соответствовать указанным заводом-изготовителем.</w:t>
      </w:r>
    </w:p>
    <w:p>
      <w:pPr>
        <w:pStyle w:val="Normal"/>
        <w:ind w:firstLine="283"/>
        <w:jc w:val="both"/>
        <w:rPr>
          <w:b/>
          <w:b/>
          <w:bCs/>
        </w:rPr>
      </w:pPr>
      <w:r>
        <w:rPr>
          <w:b/>
          <w:bCs/>
        </w:rPr>
        <w:t>5. Проверка состояния дугогасительной части патрона предохранителя-разъединителя.</w:t>
      </w:r>
    </w:p>
    <w:p>
      <w:pPr>
        <w:pStyle w:val="Normal"/>
        <w:ind w:firstLine="283"/>
        <w:jc w:val="both"/>
        <w:rPr/>
      </w:pPr>
      <w:r>
        <w:rPr/>
        <w:t>Измеряется внутренний диаметр дугогасительной части патрона предохранителя-разъединителя.</w:t>
      </w:r>
    </w:p>
    <w:p>
      <w:pPr>
        <w:pStyle w:val="Normal"/>
        <w:ind w:firstLine="283"/>
        <w:jc w:val="both"/>
        <w:rPr>
          <w:b/>
          <w:b/>
          <w:bCs/>
        </w:rPr>
      </w:pPr>
      <w:r>
        <w:rPr>
          <w:b/>
          <w:bCs/>
        </w:rPr>
        <w:t>6. Проверка работы предохранителя-разъединителя.</w:t>
      </w:r>
    </w:p>
    <w:p>
      <w:pPr>
        <w:pStyle w:val="Normal"/>
        <w:ind w:firstLine="283"/>
        <w:jc w:val="both"/>
        <w:rPr/>
      </w:pPr>
      <w:r>
        <w:rPr/>
        <w:t>Выполняется 5 циклов операций включения и отключения предохранителя-разъединителя. Выполнение каждой операции должно быть успешным с первой попытки.</w:t>
      </w:r>
    </w:p>
    <w:p>
      <w:pPr>
        <w:pStyle w:val="Heading3"/>
        <w:rPr/>
      </w:pPr>
      <w:r>
        <w:rPr/>
        <w:t>1.8.34. Вводы и проходные изоляторы</w:t>
      </w:r>
    </w:p>
    <w:p>
      <w:pPr>
        <w:pStyle w:val="Normal"/>
        <w:ind w:firstLine="283"/>
        <w:jc w:val="both"/>
        <w:rPr>
          <w:b/>
          <w:b/>
          <w:bCs/>
        </w:rPr>
      </w:pPr>
      <w:r>
        <w:rPr>
          <w:b/>
          <w:bCs/>
        </w:rPr>
        <w:t>1. Измерение сопротивления изоляции.</w:t>
      </w:r>
    </w:p>
    <w:p>
      <w:pPr>
        <w:pStyle w:val="Normal"/>
        <w:ind w:firstLine="283"/>
        <w:jc w:val="both"/>
        <w:rPr/>
      </w:pPr>
      <w:r>
        <w:rPr/>
        <w:t>Производится мегаомметром на напряжение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pPr>
        <w:pStyle w:val="Normal"/>
        <w:ind w:firstLine="283"/>
        <w:jc w:val="both"/>
        <w:rPr/>
      </w:pPr>
      <w:r>
        <w:rPr>
          <w:b/>
          <w:bCs/>
        </w:rPr>
        <w:t xml:space="preserve">2. Измерение </w:t>
      </w:r>
      <w:r>
        <w:rPr>
          <w:b/>
          <w:bCs/>
          <w:i/>
          <w:iCs/>
        </w:rPr>
        <w:t>tg</w:t>
      </w:r>
      <w:r>
        <w:rPr>
          <w:b/>
          <w:bCs/>
        </w:rPr>
        <w:t>δ и емкости изоляции.</w:t>
      </w:r>
    </w:p>
    <w:p>
      <w:pPr>
        <w:pStyle w:val="Normal"/>
        <w:ind w:firstLine="283"/>
        <w:jc w:val="both"/>
        <w:rPr/>
      </w:pPr>
      <w:r>
        <w:rPr/>
        <w:t xml:space="preserve">Производится измерение </w:t>
      </w:r>
      <w:r>
        <w:rPr>
          <w:i/>
          <w:iCs/>
        </w:rPr>
        <w:t>tg</w:t>
      </w:r>
      <w:r>
        <w:rPr/>
        <w:t>δ и емкости изоляции:</w:t>
      </w:r>
    </w:p>
    <w:p>
      <w:pPr>
        <w:pStyle w:val="Normal"/>
        <w:ind w:firstLine="283"/>
        <w:jc w:val="both"/>
        <w:rPr/>
      </w:pPr>
      <w:r>
        <w:rPr/>
        <w:t>- основной изоляции вводов при напряжении 10 кВ;</w:t>
      </w:r>
    </w:p>
    <w:p>
      <w:pPr>
        <w:pStyle w:val="Normal"/>
        <w:ind w:firstLine="284"/>
        <w:jc w:val="both"/>
        <w:rPr/>
      </w:pPr>
      <w:r>
        <w:rPr/>
        <w:t>- изоляции измерительного конденсатора ПИН (С</w:t>
      </w:r>
      <w:r>
        <w:rPr>
          <w:vertAlign w:val="subscript"/>
        </w:rPr>
        <w:t>2</w:t>
      </w:r>
      <w:r>
        <w:rPr/>
        <w:t>) и/или последних слоев изоляции (С</w:t>
      </w:r>
      <w:r>
        <w:rPr>
          <w:vertAlign w:val="subscript"/>
        </w:rPr>
        <w:t>3</w:t>
      </w:r>
      <w:r>
        <w:rPr/>
        <w:t>) при напряжении 5 кВ.</w:t>
      </w:r>
    </w:p>
    <w:p>
      <w:pPr>
        <w:pStyle w:val="Normal"/>
        <w:ind w:firstLine="283"/>
        <w:jc w:val="both"/>
        <w:rPr/>
      </w:pPr>
      <w:r>
        <w:rPr/>
        <w:t xml:space="preserve">Предельные значения </w:t>
      </w:r>
      <w:r>
        <w:rPr>
          <w:i/>
          <w:iCs/>
        </w:rPr>
        <w:t>tg</w:t>
      </w:r>
      <w:r>
        <w:rPr/>
        <w:t>δ приведены в табл. 1.8.30.</w:t>
      </w:r>
    </w:p>
    <w:p>
      <w:pPr>
        <w:pStyle w:val="Normal"/>
        <w:ind w:firstLine="283"/>
        <w:jc w:val="both"/>
        <w:rPr/>
      </w:pPr>
      <w:r>
        <w:rPr/>
        <w:t>Предельное увеличение емкости основной изоляции составляет 5 % относительно измеренной на заводе-изготовителе.</w:t>
      </w:r>
    </w:p>
    <w:p>
      <w:pPr>
        <w:pStyle w:val="Normal"/>
        <w:ind w:firstLine="283"/>
        <w:jc w:val="both"/>
        <w:rPr/>
      </w:pPr>
      <w:r>
        <w:rPr/>
        <w:t xml:space="preserve">Нормируются значения </w:t>
      </w:r>
      <w:r>
        <w:rPr>
          <w:i/>
          <w:iCs/>
        </w:rPr>
        <w:t>tg</w:t>
      </w:r>
      <w:r>
        <w:rPr/>
        <w:t>δ, приведенные к температуре 20 °С. Приведение производится в соответствии с инструкцией по эксплуатации ввода.</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30</w:t>
      </w:r>
    </w:p>
    <w:p>
      <w:pPr>
        <w:pStyle w:val="Normal"/>
        <w:spacing w:before="0" w:after="120"/>
        <w:jc w:val="center"/>
        <w:rPr/>
      </w:pPr>
      <w:r>
        <w:rPr>
          <w:b/>
          <w:bCs/>
          <w:i/>
          <w:iCs/>
        </w:rPr>
        <w:t>Предельные</w:t>
      </w:r>
      <w:r>
        <w:rPr>
          <w:b/>
          <w:bCs/>
        </w:rPr>
        <w:t xml:space="preserve"> </w:t>
      </w:r>
      <w:r>
        <w:rPr>
          <w:b/>
          <w:bCs/>
          <w:i/>
          <w:iCs/>
        </w:rPr>
        <w:t>значения</w:t>
      </w:r>
      <w:r>
        <w:rPr>
          <w:b/>
          <w:bCs/>
        </w:rPr>
        <w:t xml:space="preserve"> </w:t>
      </w:r>
      <w:r>
        <w:rPr>
          <w:b/>
          <w:bCs/>
          <w:i/>
          <w:iCs/>
        </w:rPr>
        <w:t>tg</w:t>
      </w:r>
      <w:r>
        <w:rPr>
          <w:b/>
          <w:bCs/>
        </w:rPr>
        <w:t>δ</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292"/>
        <w:gridCol w:w="878"/>
        <w:gridCol w:w="1199"/>
        <w:gridCol w:w="1038"/>
        <w:gridCol w:w="948"/>
      </w:tblGrid>
      <w:tr>
        <w:trPr>
          <w:tblHeader w:val="true"/>
        </w:trPr>
        <w:tc>
          <w:tcPr>
            <w:tcW w:w="5292"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Тип и зона изоляции ввода</w:t>
            </w:r>
          </w:p>
        </w:tc>
        <w:tc>
          <w:tcPr>
            <w:tcW w:w="4063"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 xml:space="preserve">Предельные значения </w:t>
            </w:r>
            <w:r>
              <w:rPr>
                <w:i/>
                <w:iCs/>
              </w:rPr>
              <w:t>tg</w:t>
            </w:r>
            <w:r>
              <w:rPr/>
              <w:t>δ, %, для вводов номинальным напряжением, кВ</w:t>
            </w:r>
          </w:p>
        </w:tc>
      </w:tr>
      <w:tr>
        <w:trPr>
          <w:tblHeader w:val="true"/>
        </w:trPr>
        <w:tc>
          <w:tcPr>
            <w:tcW w:w="5292"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878" w:type="dxa"/>
            <w:tcBorders>
              <w:left w:val="single" w:sz="8" w:space="0" w:color="000000"/>
              <w:bottom w:val="single" w:sz="8" w:space="0" w:color="000000"/>
              <w:insideH w:val="single" w:sz="8" w:space="0" w:color="000000"/>
            </w:tcBorders>
            <w:shd w:fill="auto" w:val="clear"/>
            <w:vAlign w:val="center"/>
          </w:tcPr>
          <w:p>
            <w:pPr>
              <w:pStyle w:val="Normal"/>
              <w:jc w:val="center"/>
              <w:rPr/>
            </w:pPr>
            <w:r>
              <w:rPr/>
              <w:t>35</w:t>
            </w:r>
          </w:p>
        </w:tc>
        <w:tc>
          <w:tcPr>
            <w:tcW w:w="1199"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110 - 150</w:t>
            </w:r>
          </w:p>
        </w:tc>
        <w:tc>
          <w:tcPr>
            <w:tcW w:w="103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220</w:t>
            </w:r>
          </w:p>
        </w:tc>
        <w:tc>
          <w:tcPr>
            <w:tcW w:w="94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330 - 750</w:t>
            </w:r>
          </w:p>
        </w:tc>
      </w:tr>
      <w:tr>
        <w:trPr/>
        <w:tc>
          <w:tcPr>
            <w:tcW w:w="5292" w:type="dxa"/>
            <w:tcBorders>
              <w:left w:val="single" w:sz="8" w:space="0" w:color="000000"/>
              <w:bottom w:val="single" w:sz="8" w:space="0" w:color="000000"/>
              <w:insideH w:val="single" w:sz="8" w:space="0" w:color="000000"/>
            </w:tcBorders>
            <w:shd w:fill="auto" w:val="clear"/>
          </w:tcPr>
          <w:p>
            <w:pPr>
              <w:pStyle w:val="Normal"/>
              <w:jc w:val="both"/>
              <w:rPr/>
            </w:pPr>
            <w:r>
              <w:rPr/>
              <w:t>Бумажно-масляная изоляция ввода: основная изоляция (С</w:t>
            </w:r>
            <w:r>
              <w:rPr>
                <w:vertAlign w:val="subscript"/>
              </w:rPr>
              <w:t>1</w:t>
            </w:r>
            <w:r>
              <w:rPr/>
              <w:t>) и изоляция конденсатора ПИН (С</w:t>
            </w:r>
            <w:r>
              <w:rPr>
                <w:vertAlign w:val="subscript"/>
              </w:rPr>
              <w:t>2</w:t>
            </w:r>
            <w:r>
              <w:rPr/>
              <w:t>); последние слои изоляции (С</w:t>
            </w:r>
            <w:r>
              <w:rPr>
                <w:vertAlign w:val="subscript"/>
              </w:rPr>
              <w:t>2</w:t>
            </w:r>
            <w:r>
              <w:rPr/>
              <w:t>)</w:t>
            </w:r>
          </w:p>
        </w:tc>
        <w:tc>
          <w:tcPr>
            <w:tcW w:w="87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p>
            <w:pPr>
              <w:pStyle w:val="Normal"/>
              <w:jc w:val="center"/>
              <w:rPr/>
            </w:pPr>
            <w:r>
              <w:rPr/>
              <w:t>-</w:t>
            </w:r>
          </w:p>
        </w:tc>
        <w:tc>
          <w:tcPr>
            <w:tcW w:w="1199"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0,7</w:t>
            </w:r>
          </w:p>
          <w:p>
            <w:pPr>
              <w:pStyle w:val="Normal"/>
              <w:jc w:val="center"/>
              <w:rPr/>
            </w:pPr>
            <w:r>
              <w:rPr/>
              <w:t>1,2</w:t>
            </w:r>
          </w:p>
        </w:tc>
        <w:tc>
          <w:tcPr>
            <w:tcW w:w="103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0,6</w:t>
            </w:r>
          </w:p>
          <w:p>
            <w:pPr>
              <w:pStyle w:val="Normal"/>
              <w:jc w:val="center"/>
              <w:rPr/>
            </w:pPr>
            <w:r>
              <w:rPr/>
              <w:t>1,0</w:t>
            </w:r>
          </w:p>
        </w:tc>
        <w:tc>
          <w:tcPr>
            <w:tcW w:w="94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0,6</w:t>
            </w:r>
          </w:p>
          <w:p>
            <w:pPr>
              <w:pStyle w:val="Normal"/>
              <w:jc w:val="center"/>
              <w:rPr/>
            </w:pPr>
            <w:r>
              <w:rPr/>
              <w:t>0,8</w:t>
            </w:r>
          </w:p>
        </w:tc>
      </w:tr>
      <w:tr>
        <w:trPr/>
        <w:tc>
          <w:tcPr>
            <w:tcW w:w="5292" w:type="dxa"/>
            <w:tcBorders>
              <w:left w:val="single" w:sz="8" w:space="0" w:color="000000"/>
              <w:bottom w:val="single" w:sz="8" w:space="0" w:color="000000"/>
              <w:insideH w:val="single" w:sz="8" w:space="0" w:color="000000"/>
            </w:tcBorders>
            <w:shd w:fill="auto" w:val="clear"/>
          </w:tcPr>
          <w:p>
            <w:pPr>
              <w:pStyle w:val="Normal"/>
              <w:jc w:val="both"/>
              <w:rPr/>
            </w:pPr>
            <w:r>
              <w:rPr/>
              <w:t>Твердая изоляция ввода с масляным заполнением, основная изоляция (С</w:t>
            </w:r>
            <w:r>
              <w:rPr>
                <w:vertAlign w:val="subscript"/>
              </w:rPr>
              <w:t>1</w:t>
            </w:r>
            <w:r>
              <w:rPr/>
              <w:t>)</w:t>
            </w:r>
          </w:p>
        </w:tc>
        <w:tc>
          <w:tcPr>
            <w:tcW w:w="87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w:t>
            </w:r>
          </w:p>
        </w:tc>
        <w:tc>
          <w:tcPr>
            <w:tcW w:w="1199"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w:t>
            </w:r>
          </w:p>
        </w:tc>
        <w:tc>
          <w:tcPr>
            <w:tcW w:w="103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94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5292" w:type="dxa"/>
            <w:tcBorders>
              <w:left w:val="single" w:sz="8" w:space="0" w:color="000000"/>
              <w:bottom w:val="single" w:sz="8" w:space="0" w:color="000000"/>
              <w:insideH w:val="single" w:sz="8" w:space="0" w:color="000000"/>
            </w:tcBorders>
            <w:shd w:fill="auto" w:val="clear"/>
          </w:tcPr>
          <w:p>
            <w:pPr>
              <w:pStyle w:val="Normal"/>
              <w:jc w:val="both"/>
              <w:rPr/>
            </w:pPr>
            <w:r>
              <w:rPr/>
              <w:t>Бумажно-бакелитовая изоляция ввода с мастичным заполнением: основная изоляция (С</w:t>
            </w:r>
            <w:r>
              <w:rPr>
                <w:vertAlign w:val="subscript"/>
              </w:rPr>
              <w:t>1</w:t>
            </w:r>
            <w:r>
              <w:rPr/>
              <w:t>)</w:t>
            </w:r>
          </w:p>
        </w:tc>
        <w:tc>
          <w:tcPr>
            <w:tcW w:w="87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3,0</w:t>
            </w:r>
          </w:p>
        </w:tc>
        <w:tc>
          <w:tcPr>
            <w:tcW w:w="1199"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103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94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bl>
    <w:p>
      <w:pPr>
        <w:pStyle w:val="Normal"/>
        <w:spacing w:before="120" w:after="0"/>
        <w:ind w:firstLine="283"/>
        <w:jc w:val="both"/>
        <w:rPr>
          <w:b/>
          <w:b/>
          <w:bCs/>
        </w:rPr>
      </w:pPr>
      <w:r>
        <w:rPr>
          <w:b/>
          <w:bCs/>
        </w:rPr>
        <w:t>3. Испытание повышенным напряжением промышленной частоты.</w:t>
      </w:r>
    </w:p>
    <w:p>
      <w:pPr>
        <w:pStyle w:val="Normal"/>
        <w:ind w:firstLine="283"/>
        <w:jc w:val="both"/>
        <w:rPr/>
      </w:pPr>
      <w:r>
        <w:rPr/>
        <w:t>Испытание является обязательным для вводов и проходных изоляторов на напряжение до 35 кВ.</w:t>
      </w:r>
    </w:p>
    <w:p>
      <w:pPr>
        <w:pStyle w:val="Normal"/>
        <w:ind w:firstLine="283"/>
        <w:jc w:val="both"/>
        <w:rPr/>
      </w:pPr>
      <w:r>
        <w:rPr/>
        <w:t>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1.8.31.</w:t>
      </w:r>
    </w:p>
    <w:p>
      <w:pPr>
        <w:pStyle w:val="Normal"/>
        <w:ind w:firstLine="283"/>
        <w:jc w:val="both"/>
        <w:rPr/>
      </w:pPr>
      <w:r>
        <w:rPr/>
        <w:t>Испытание вводов, установленных на силовых трансформаторах, следует производить совместно с испытанием обмоток по нормам, принятым для силовых трансформаторов (см. табл. 1.8.12.).</w:t>
      </w:r>
    </w:p>
    <w:p>
      <w:pPr>
        <w:pStyle w:val="Normal"/>
        <w:ind w:firstLine="283"/>
        <w:jc w:val="both"/>
        <w:rPr/>
      </w:pPr>
      <w:r>
        <w:rPr/>
        <w:t>Продолжительность приложения нормированного испытательного напряжения для вводов и проходных изоляторов 1 мин.</w:t>
      </w:r>
    </w:p>
    <w:p>
      <w:pPr>
        <w:pStyle w:val="Normal"/>
        <w:ind w:firstLine="283"/>
        <w:jc w:val="both"/>
        <w:rPr/>
      </w:pPr>
      <w:r>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31</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промышленной</w:t>
      </w:r>
      <w:r>
        <w:rPr>
          <w:b/>
          <w:bCs/>
        </w:rPr>
        <w:t xml:space="preserve"> </w:t>
      </w:r>
      <w:r>
        <w:rPr>
          <w:b/>
          <w:bCs/>
          <w:i/>
          <w:iCs/>
        </w:rPr>
        <w:t>частоты</w:t>
      </w:r>
      <w:r>
        <w:rPr>
          <w:b/>
          <w:bCs/>
        </w:rPr>
        <w:t xml:space="preserve"> </w:t>
      </w:r>
      <w:r>
        <w:rPr>
          <w:b/>
          <w:bCs/>
          <w:i/>
          <w:iCs/>
        </w:rPr>
        <w:t>вводов</w:t>
      </w:r>
      <w:r>
        <w:rPr>
          <w:b/>
          <w:bCs/>
        </w:rPr>
        <w:t xml:space="preserve"> </w:t>
      </w:r>
      <w:r>
        <w:rPr>
          <w:b/>
          <w:bCs/>
          <w:i/>
          <w:iCs/>
        </w:rPr>
        <w:t>и</w:t>
      </w:r>
      <w:r>
        <w:rPr>
          <w:b/>
          <w:bCs/>
        </w:rPr>
        <w:t xml:space="preserve"> </w:t>
      </w:r>
      <w:r>
        <w:rPr>
          <w:b/>
          <w:bCs/>
          <w:i/>
          <w:iCs/>
        </w:rPr>
        <w:t>проходных</w:t>
      </w:r>
      <w:r>
        <w:rPr>
          <w:b/>
          <w:bCs/>
        </w:rPr>
        <w:t xml:space="preserve"> </w:t>
      </w:r>
      <w:r>
        <w:rPr>
          <w:b/>
          <w:bCs/>
          <w:i/>
          <w:iCs/>
        </w:rPr>
        <w:t>изоляторов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464"/>
        <w:gridCol w:w="1991"/>
        <w:gridCol w:w="3191"/>
        <w:gridCol w:w="2709"/>
      </w:tblGrid>
      <w:tr>
        <w:trPr>
          <w:tblHeader w:val="true"/>
        </w:trPr>
        <w:tc>
          <w:tcPr>
            <w:tcW w:w="1464"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Номинальное напряжение, кВ</w:t>
            </w:r>
          </w:p>
        </w:tc>
        <w:tc>
          <w:tcPr>
            <w:tcW w:w="7891"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w:t>
            </w:r>
          </w:p>
        </w:tc>
      </w:tr>
      <w:tr>
        <w:trPr>
          <w:tblHeader w:val="true"/>
        </w:trPr>
        <w:tc>
          <w:tcPr>
            <w:tcW w:w="1464"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991" w:type="dxa"/>
            <w:tcBorders>
              <w:left w:val="single" w:sz="8" w:space="0" w:color="000000"/>
              <w:bottom w:val="single" w:sz="8" w:space="0" w:color="000000"/>
              <w:insideH w:val="single" w:sz="8" w:space="0" w:color="000000"/>
            </w:tcBorders>
            <w:shd w:fill="auto" w:val="clear"/>
            <w:vAlign w:val="center"/>
          </w:tcPr>
          <w:p>
            <w:pPr>
              <w:pStyle w:val="Normal"/>
              <w:jc w:val="center"/>
              <w:rPr/>
            </w:pPr>
            <w:r>
              <w:rPr/>
              <w:t>керамические изоляторы, испытываемые отдельно</w:t>
            </w:r>
          </w:p>
        </w:tc>
        <w:tc>
          <w:tcPr>
            <w:tcW w:w="319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аппаратные вводы и проходные изоляторы с основной керамической или жидкой изоляцией</w:t>
            </w:r>
          </w:p>
        </w:tc>
        <w:tc>
          <w:tcPr>
            <w:tcW w:w="270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аппаратные вводы и проходные изоляторы с основной бакелитовой изоляцией</w:t>
            </w:r>
          </w:p>
        </w:tc>
      </w:tr>
      <w:tr>
        <w:trPr/>
        <w:tc>
          <w:tcPr>
            <w:tcW w:w="1464" w:type="dxa"/>
            <w:tcBorders>
              <w:left w:val="single" w:sz="8" w:space="0" w:color="000000"/>
            </w:tcBorders>
            <w:shd w:fill="auto" w:val="clear"/>
          </w:tcPr>
          <w:p>
            <w:pPr>
              <w:pStyle w:val="Normal"/>
              <w:jc w:val="center"/>
              <w:rPr/>
            </w:pPr>
            <w:r>
              <w:rPr/>
              <w:t>3</w:t>
            </w:r>
          </w:p>
        </w:tc>
        <w:tc>
          <w:tcPr>
            <w:tcW w:w="1991" w:type="dxa"/>
            <w:tcBorders>
              <w:left w:val="single" w:sz="8" w:space="0" w:color="000000"/>
            </w:tcBorders>
            <w:shd w:fill="auto" w:val="clear"/>
            <w:tcMar>
              <w:left w:w="0" w:type="dxa"/>
              <w:right w:w="0" w:type="dxa"/>
            </w:tcMar>
          </w:tcPr>
          <w:p>
            <w:pPr>
              <w:pStyle w:val="Normal"/>
              <w:jc w:val="center"/>
              <w:rPr/>
            </w:pPr>
            <w:r>
              <w:rPr/>
              <w:t>25</w:t>
            </w:r>
          </w:p>
        </w:tc>
        <w:tc>
          <w:tcPr>
            <w:tcW w:w="3191" w:type="dxa"/>
            <w:tcBorders>
              <w:left w:val="single" w:sz="8" w:space="0" w:color="000000"/>
            </w:tcBorders>
            <w:shd w:fill="auto" w:val="clear"/>
            <w:tcMar>
              <w:left w:w="0" w:type="dxa"/>
              <w:right w:w="0" w:type="dxa"/>
            </w:tcMar>
          </w:tcPr>
          <w:p>
            <w:pPr>
              <w:pStyle w:val="Normal"/>
              <w:jc w:val="center"/>
              <w:rPr/>
            </w:pPr>
            <w:r>
              <w:rPr/>
              <w:t>24</w:t>
            </w:r>
          </w:p>
        </w:tc>
        <w:tc>
          <w:tcPr>
            <w:tcW w:w="270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21,6</w:t>
            </w:r>
          </w:p>
        </w:tc>
      </w:tr>
      <w:tr>
        <w:trPr/>
        <w:tc>
          <w:tcPr>
            <w:tcW w:w="1464" w:type="dxa"/>
            <w:tcBorders>
              <w:left w:val="single" w:sz="8" w:space="0" w:color="000000"/>
            </w:tcBorders>
            <w:shd w:fill="auto" w:val="clear"/>
          </w:tcPr>
          <w:p>
            <w:pPr>
              <w:pStyle w:val="Normal"/>
              <w:jc w:val="center"/>
              <w:rPr/>
            </w:pPr>
            <w:r>
              <w:rPr/>
              <w:t>6</w:t>
            </w:r>
          </w:p>
        </w:tc>
        <w:tc>
          <w:tcPr>
            <w:tcW w:w="1991" w:type="dxa"/>
            <w:tcBorders>
              <w:left w:val="single" w:sz="8" w:space="0" w:color="000000"/>
            </w:tcBorders>
            <w:shd w:fill="auto" w:val="clear"/>
            <w:tcMar>
              <w:left w:w="0" w:type="dxa"/>
              <w:right w:w="0" w:type="dxa"/>
            </w:tcMar>
          </w:tcPr>
          <w:p>
            <w:pPr>
              <w:pStyle w:val="Normal"/>
              <w:jc w:val="center"/>
              <w:rPr/>
            </w:pPr>
            <w:r>
              <w:rPr/>
              <w:t>32</w:t>
            </w:r>
          </w:p>
        </w:tc>
        <w:tc>
          <w:tcPr>
            <w:tcW w:w="3191" w:type="dxa"/>
            <w:tcBorders>
              <w:left w:val="single" w:sz="8" w:space="0" w:color="000000"/>
            </w:tcBorders>
            <w:shd w:fill="auto" w:val="clear"/>
            <w:tcMar>
              <w:left w:w="0" w:type="dxa"/>
              <w:right w:w="0" w:type="dxa"/>
            </w:tcMar>
          </w:tcPr>
          <w:p>
            <w:pPr>
              <w:pStyle w:val="Normal"/>
              <w:jc w:val="center"/>
              <w:rPr/>
            </w:pPr>
            <w:r>
              <w:rPr/>
              <w:t>32</w:t>
            </w:r>
          </w:p>
        </w:tc>
        <w:tc>
          <w:tcPr>
            <w:tcW w:w="270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28,8</w:t>
            </w:r>
          </w:p>
        </w:tc>
      </w:tr>
      <w:tr>
        <w:trPr/>
        <w:tc>
          <w:tcPr>
            <w:tcW w:w="1464" w:type="dxa"/>
            <w:tcBorders>
              <w:left w:val="single" w:sz="8" w:space="0" w:color="000000"/>
            </w:tcBorders>
            <w:shd w:fill="auto" w:val="clear"/>
          </w:tcPr>
          <w:p>
            <w:pPr>
              <w:pStyle w:val="Normal"/>
              <w:jc w:val="center"/>
              <w:rPr/>
            </w:pPr>
            <w:r>
              <w:rPr/>
              <w:t>10</w:t>
            </w:r>
          </w:p>
        </w:tc>
        <w:tc>
          <w:tcPr>
            <w:tcW w:w="1991" w:type="dxa"/>
            <w:tcBorders>
              <w:left w:val="single" w:sz="8" w:space="0" w:color="000000"/>
            </w:tcBorders>
            <w:shd w:fill="auto" w:val="clear"/>
            <w:tcMar>
              <w:left w:w="0" w:type="dxa"/>
              <w:right w:w="0" w:type="dxa"/>
            </w:tcMar>
          </w:tcPr>
          <w:p>
            <w:pPr>
              <w:pStyle w:val="Normal"/>
              <w:jc w:val="center"/>
              <w:rPr/>
            </w:pPr>
            <w:r>
              <w:rPr/>
              <w:t>42</w:t>
            </w:r>
          </w:p>
        </w:tc>
        <w:tc>
          <w:tcPr>
            <w:tcW w:w="3191" w:type="dxa"/>
            <w:tcBorders>
              <w:left w:val="single" w:sz="8" w:space="0" w:color="000000"/>
            </w:tcBorders>
            <w:shd w:fill="auto" w:val="clear"/>
            <w:tcMar>
              <w:left w:w="0" w:type="dxa"/>
              <w:right w:w="0" w:type="dxa"/>
            </w:tcMar>
          </w:tcPr>
          <w:p>
            <w:pPr>
              <w:pStyle w:val="Normal"/>
              <w:jc w:val="center"/>
              <w:rPr/>
            </w:pPr>
            <w:r>
              <w:rPr/>
              <w:t>42</w:t>
            </w:r>
          </w:p>
        </w:tc>
        <w:tc>
          <w:tcPr>
            <w:tcW w:w="270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37,8</w:t>
            </w:r>
          </w:p>
        </w:tc>
      </w:tr>
      <w:tr>
        <w:trPr/>
        <w:tc>
          <w:tcPr>
            <w:tcW w:w="1464" w:type="dxa"/>
            <w:tcBorders>
              <w:left w:val="single" w:sz="8" w:space="0" w:color="000000"/>
            </w:tcBorders>
            <w:shd w:fill="auto" w:val="clear"/>
          </w:tcPr>
          <w:p>
            <w:pPr>
              <w:pStyle w:val="Normal"/>
              <w:jc w:val="center"/>
              <w:rPr/>
            </w:pPr>
            <w:r>
              <w:rPr/>
              <w:t>15</w:t>
            </w:r>
          </w:p>
        </w:tc>
        <w:tc>
          <w:tcPr>
            <w:tcW w:w="1991" w:type="dxa"/>
            <w:tcBorders>
              <w:left w:val="single" w:sz="8" w:space="0" w:color="000000"/>
            </w:tcBorders>
            <w:shd w:fill="auto" w:val="clear"/>
            <w:tcMar>
              <w:left w:w="0" w:type="dxa"/>
              <w:right w:w="0" w:type="dxa"/>
            </w:tcMar>
          </w:tcPr>
          <w:p>
            <w:pPr>
              <w:pStyle w:val="Normal"/>
              <w:jc w:val="center"/>
              <w:rPr/>
            </w:pPr>
            <w:r>
              <w:rPr/>
              <w:t>57</w:t>
            </w:r>
          </w:p>
        </w:tc>
        <w:tc>
          <w:tcPr>
            <w:tcW w:w="3191" w:type="dxa"/>
            <w:tcBorders>
              <w:left w:val="single" w:sz="8" w:space="0" w:color="000000"/>
            </w:tcBorders>
            <w:shd w:fill="auto" w:val="clear"/>
            <w:tcMar>
              <w:left w:w="0" w:type="dxa"/>
              <w:right w:w="0" w:type="dxa"/>
            </w:tcMar>
          </w:tcPr>
          <w:p>
            <w:pPr>
              <w:pStyle w:val="Normal"/>
              <w:jc w:val="center"/>
              <w:rPr/>
            </w:pPr>
            <w:r>
              <w:rPr/>
              <w:t>55</w:t>
            </w:r>
          </w:p>
        </w:tc>
        <w:tc>
          <w:tcPr>
            <w:tcW w:w="270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49,5</w:t>
            </w:r>
          </w:p>
        </w:tc>
      </w:tr>
      <w:tr>
        <w:trPr/>
        <w:tc>
          <w:tcPr>
            <w:tcW w:w="1464" w:type="dxa"/>
            <w:tcBorders>
              <w:left w:val="single" w:sz="8" w:space="0" w:color="000000"/>
            </w:tcBorders>
            <w:shd w:fill="auto" w:val="clear"/>
          </w:tcPr>
          <w:p>
            <w:pPr>
              <w:pStyle w:val="Normal"/>
              <w:jc w:val="center"/>
              <w:rPr/>
            </w:pPr>
            <w:r>
              <w:rPr/>
              <w:t>20</w:t>
            </w:r>
          </w:p>
        </w:tc>
        <w:tc>
          <w:tcPr>
            <w:tcW w:w="1991" w:type="dxa"/>
            <w:tcBorders>
              <w:left w:val="single" w:sz="8" w:space="0" w:color="000000"/>
            </w:tcBorders>
            <w:shd w:fill="auto" w:val="clear"/>
            <w:tcMar>
              <w:left w:w="0" w:type="dxa"/>
              <w:right w:w="0" w:type="dxa"/>
            </w:tcMar>
          </w:tcPr>
          <w:p>
            <w:pPr>
              <w:pStyle w:val="Normal"/>
              <w:jc w:val="center"/>
              <w:rPr/>
            </w:pPr>
            <w:r>
              <w:rPr/>
              <w:t>68</w:t>
            </w:r>
          </w:p>
        </w:tc>
        <w:tc>
          <w:tcPr>
            <w:tcW w:w="3191" w:type="dxa"/>
            <w:tcBorders>
              <w:left w:val="single" w:sz="8" w:space="0" w:color="000000"/>
            </w:tcBorders>
            <w:shd w:fill="auto" w:val="clear"/>
            <w:tcMar>
              <w:left w:w="0" w:type="dxa"/>
              <w:right w:w="0" w:type="dxa"/>
            </w:tcMar>
          </w:tcPr>
          <w:p>
            <w:pPr>
              <w:pStyle w:val="Normal"/>
              <w:jc w:val="center"/>
              <w:rPr/>
            </w:pPr>
            <w:r>
              <w:rPr/>
              <w:t>65</w:t>
            </w:r>
          </w:p>
        </w:tc>
        <w:tc>
          <w:tcPr>
            <w:tcW w:w="270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58,5</w:t>
            </w:r>
          </w:p>
        </w:tc>
      </w:tr>
      <w:tr>
        <w:trPr/>
        <w:tc>
          <w:tcPr>
            <w:tcW w:w="1464"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199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w:t>
            </w:r>
          </w:p>
        </w:tc>
        <w:tc>
          <w:tcPr>
            <w:tcW w:w="319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95</w:t>
            </w:r>
          </w:p>
        </w:tc>
        <w:tc>
          <w:tcPr>
            <w:tcW w:w="270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85,5</w:t>
            </w:r>
          </w:p>
        </w:tc>
      </w:tr>
    </w:tbl>
    <w:p>
      <w:pPr>
        <w:pStyle w:val="Normal"/>
        <w:spacing w:before="120" w:after="0"/>
        <w:ind w:firstLine="283"/>
        <w:jc w:val="both"/>
        <w:rPr>
          <w:b/>
          <w:b/>
          <w:bCs/>
        </w:rPr>
      </w:pPr>
      <w:r>
        <w:rPr>
          <w:b/>
          <w:bCs/>
        </w:rPr>
        <w:t>4. Проверка качества уплотнений вводов.</w:t>
      </w:r>
    </w:p>
    <w:p>
      <w:pPr>
        <w:pStyle w:val="Normal"/>
        <w:ind w:firstLine="283"/>
        <w:jc w:val="both"/>
        <w:rPr/>
      </w:pPr>
      <w:r>
        <w:rPr/>
        <w:t>Производится для негерметичных маслонаполненных вводов напряжением 110 кВ и выше с бумажно-масляной изоляцией путем создания в них избыточного давления масла 0,1 МПа. 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p>
    <w:p>
      <w:pPr>
        <w:pStyle w:val="Normal"/>
        <w:ind w:firstLine="283"/>
        <w:jc w:val="both"/>
        <w:rPr>
          <w:b/>
          <w:b/>
          <w:bCs/>
        </w:rPr>
      </w:pPr>
      <w:r>
        <w:rPr>
          <w:b/>
          <w:bCs/>
        </w:rPr>
        <w:t>5. Испытание трансформаторного масла из маслонаполненных вводов.</w:t>
      </w:r>
    </w:p>
    <w:p>
      <w:pPr>
        <w:pStyle w:val="Normal"/>
        <w:ind w:firstLine="283"/>
        <w:jc w:val="both"/>
        <w:rPr/>
      </w:pPr>
      <w:r>
        <w:rPr/>
        <w:t xml:space="preserve">Производится испытание залитого масла по показателям пп. 1 </w:t>
      </w:r>
      <w:r>
        <w:rPr>
          <w:color w:val="000000"/>
        </w:rPr>
        <w:t xml:space="preserve">- </w:t>
      </w:r>
      <w:r>
        <w:rPr/>
        <w:t>6 табл. 1.8.33.</w:t>
      </w:r>
    </w:p>
    <w:p>
      <w:pPr>
        <w:pStyle w:val="Normal"/>
        <w:ind w:firstLine="283"/>
        <w:jc w:val="both"/>
        <w:rPr/>
      </w:pPr>
      <w:r>
        <w:rPr/>
        <w:t>У герметичных вводов испытание масла не производится.</w:t>
      </w:r>
    </w:p>
    <w:p>
      <w:pPr>
        <w:pStyle w:val="Heading3"/>
        <w:rPr/>
      </w:pPr>
      <w:r>
        <w:rPr/>
        <w:t>1.8.35. Подвесные и опорные изоляторы</w:t>
      </w:r>
    </w:p>
    <w:p>
      <w:pPr>
        <w:pStyle w:val="Normal"/>
        <w:ind w:firstLine="283"/>
        <w:jc w:val="both"/>
        <w:rPr/>
      </w:pPr>
      <w:r>
        <w:rPr/>
        <w:t>Для опорно-стержневых изоляторов испытание повышенным напряжением промышленной частоты не обязательно.</w:t>
      </w:r>
    </w:p>
    <w:p>
      <w:pPr>
        <w:pStyle w:val="Normal"/>
        <w:ind w:firstLine="283"/>
        <w:jc w:val="both"/>
        <w:rPr/>
      </w:pPr>
      <w:r>
        <w:rPr/>
        <w:t>Электрические испытания стеклянных подвесных изоляторов не производятся. Контроль их состояния осуществляется путем внешнего осмотра.</w:t>
      </w:r>
    </w:p>
    <w:p>
      <w:pPr>
        <w:pStyle w:val="Normal"/>
        <w:ind w:firstLine="283"/>
        <w:jc w:val="both"/>
        <w:rPr>
          <w:b/>
          <w:b/>
          <w:bCs/>
        </w:rPr>
      </w:pPr>
      <w:r>
        <w:rPr>
          <w:b/>
          <w:bCs/>
        </w:rPr>
        <w:t>1. Измерение сопротивления изоляции подвесных и многоэлементных изоляторов.</w:t>
      </w:r>
    </w:p>
    <w:p>
      <w:pPr>
        <w:pStyle w:val="Normal"/>
        <w:ind w:firstLine="283"/>
        <w:jc w:val="both"/>
        <w:rPr/>
      </w:pPr>
      <w:r>
        <w:rPr/>
        <w:t>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фарфорового изолятора или каждого элемента штыревого изолятора должно быть не менее 300 МОм.</w:t>
      </w:r>
    </w:p>
    <w:p>
      <w:pPr>
        <w:pStyle w:val="Normal"/>
        <w:ind w:firstLine="283"/>
        <w:jc w:val="both"/>
        <w:rPr>
          <w:b/>
          <w:b/>
          <w:bCs/>
        </w:rPr>
      </w:pPr>
      <w:r>
        <w:rPr>
          <w:b/>
          <w:bCs/>
        </w:rPr>
        <w:t>2. Испытание повышенным напряжением промышленной частоты:</w:t>
      </w:r>
    </w:p>
    <w:p>
      <w:pPr>
        <w:pStyle w:val="Normal"/>
        <w:ind w:firstLine="283"/>
        <w:jc w:val="both"/>
        <w:rPr/>
      </w:pPr>
      <w:r>
        <w:rPr/>
        <w:t>а) опорных одноэлементных изоляторов. Для изоляторов внутренней и наружной установок значения испытательного напряжения приводятся в табл. 1.8.32;</w:t>
      </w:r>
    </w:p>
    <w:p>
      <w:pPr>
        <w:pStyle w:val="Normal"/>
        <w:ind w:firstLine="283"/>
        <w:jc w:val="both"/>
        <w:rPr/>
      </w:pPr>
      <w:r>
        <w:rP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 Допускается не производить испытание подвесных изоляторов.</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32</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опорных</w:t>
      </w:r>
      <w:r>
        <w:rPr>
          <w:b/>
          <w:bCs/>
        </w:rPr>
        <w:t xml:space="preserve"> </w:t>
      </w:r>
      <w:r>
        <w:rPr>
          <w:b/>
          <w:bCs/>
          <w:i/>
          <w:iCs/>
        </w:rPr>
        <w:t>одноэлементных</w:t>
      </w:r>
      <w:r>
        <w:rPr>
          <w:b/>
          <w:bCs/>
        </w:rPr>
        <w:t xml:space="preserve"> </w:t>
      </w:r>
      <w:r>
        <w:rPr>
          <w:b/>
          <w:bCs/>
          <w:i/>
          <w:iCs/>
        </w:rPr>
        <w:t>изоляторов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733"/>
        <w:gridCol w:w="767"/>
        <w:gridCol w:w="768"/>
        <w:gridCol w:w="767"/>
        <w:gridCol w:w="768"/>
        <w:gridCol w:w="768"/>
        <w:gridCol w:w="784"/>
      </w:tblGrid>
      <w:tr>
        <w:trPr>
          <w:tblHeader w:val="true"/>
        </w:trPr>
        <w:tc>
          <w:tcPr>
            <w:tcW w:w="4733"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Испытуемые изоляторы</w:t>
            </w:r>
          </w:p>
        </w:tc>
        <w:tc>
          <w:tcPr>
            <w:tcW w:w="4622"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Испытательное напряжение, кВ, для номинального напряжения электроустановки, кВ</w:t>
            </w:r>
          </w:p>
        </w:tc>
      </w:tr>
      <w:tr>
        <w:trPr>
          <w:tblHeader w:val="true"/>
        </w:trPr>
        <w:tc>
          <w:tcPr>
            <w:tcW w:w="4733"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767" w:type="dxa"/>
            <w:tcBorders>
              <w:left w:val="single" w:sz="8" w:space="0" w:color="000000"/>
              <w:bottom w:val="single" w:sz="8" w:space="0" w:color="000000"/>
              <w:insideH w:val="single" w:sz="8" w:space="0" w:color="000000"/>
            </w:tcBorders>
            <w:shd w:fill="auto" w:val="clear"/>
            <w:vAlign w:val="center"/>
          </w:tcPr>
          <w:p>
            <w:pPr>
              <w:pStyle w:val="Normal"/>
              <w:jc w:val="center"/>
              <w:rPr/>
            </w:pPr>
            <w:r>
              <w:rPr/>
              <w:t>3</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w:t>
            </w:r>
          </w:p>
        </w:tc>
        <w:tc>
          <w:tcPr>
            <w:tcW w:w="7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10</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15</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20</w:t>
            </w:r>
          </w:p>
        </w:tc>
        <w:tc>
          <w:tcPr>
            <w:tcW w:w="7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35</w:t>
            </w:r>
          </w:p>
        </w:tc>
      </w:tr>
      <w:tr>
        <w:trPr/>
        <w:tc>
          <w:tcPr>
            <w:tcW w:w="4733" w:type="dxa"/>
            <w:tcBorders>
              <w:left w:val="single" w:sz="8" w:space="0" w:color="000000"/>
              <w:bottom w:val="single" w:sz="8" w:space="0" w:color="000000"/>
              <w:insideH w:val="single" w:sz="8" w:space="0" w:color="000000"/>
            </w:tcBorders>
            <w:shd w:fill="auto" w:val="clear"/>
            <w:vAlign w:val="center"/>
          </w:tcPr>
          <w:p>
            <w:pPr>
              <w:pStyle w:val="Normal"/>
              <w:jc w:val="both"/>
              <w:rPr/>
            </w:pPr>
            <w:r>
              <w:rPr/>
              <w:t>Изоляторы, испытываемые отдельно</w:t>
            </w:r>
          </w:p>
        </w:tc>
        <w:tc>
          <w:tcPr>
            <w:tcW w:w="7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25</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32</w:t>
            </w:r>
          </w:p>
        </w:tc>
        <w:tc>
          <w:tcPr>
            <w:tcW w:w="7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42</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57</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68</w:t>
            </w:r>
          </w:p>
        </w:tc>
        <w:tc>
          <w:tcPr>
            <w:tcW w:w="7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100</w:t>
            </w:r>
          </w:p>
        </w:tc>
      </w:tr>
      <w:tr>
        <w:trPr/>
        <w:tc>
          <w:tcPr>
            <w:tcW w:w="4733" w:type="dxa"/>
            <w:tcBorders>
              <w:left w:val="single" w:sz="8" w:space="0" w:color="000000"/>
              <w:bottom w:val="single" w:sz="8" w:space="0" w:color="000000"/>
              <w:insideH w:val="single" w:sz="8" w:space="0" w:color="000000"/>
            </w:tcBorders>
            <w:shd w:fill="auto" w:val="clear"/>
            <w:vAlign w:val="center"/>
          </w:tcPr>
          <w:p>
            <w:pPr>
              <w:pStyle w:val="Normal"/>
              <w:jc w:val="both"/>
              <w:rPr/>
            </w:pPr>
            <w:r>
              <w:rPr/>
              <w:t>Изоляторы, установленные в цепях шин и аппаратов</w:t>
            </w:r>
          </w:p>
        </w:tc>
        <w:tc>
          <w:tcPr>
            <w:tcW w:w="7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24</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32</w:t>
            </w:r>
          </w:p>
        </w:tc>
        <w:tc>
          <w:tcPr>
            <w:tcW w:w="767"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42</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55</w:t>
            </w:r>
          </w:p>
        </w:tc>
        <w:tc>
          <w:tcPr>
            <w:tcW w:w="768"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65</w:t>
            </w:r>
          </w:p>
        </w:tc>
        <w:tc>
          <w:tcPr>
            <w:tcW w:w="78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95</w:t>
            </w:r>
          </w:p>
        </w:tc>
      </w:tr>
    </w:tbl>
    <w:p>
      <w:pPr>
        <w:pStyle w:val="Normal"/>
        <w:spacing w:before="120" w:after="0"/>
        <w:ind w:firstLine="283"/>
        <w:jc w:val="both"/>
        <w:rPr/>
      </w:pPr>
      <w:r>
        <w:rPr/>
        <w:t>Длительность приложения нормированного испытательного напряжения - 1 мин.</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33</w:t>
      </w:r>
    </w:p>
    <w:p>
      <w:pPr>
        <w:pStyle w:val="Normal"/>
        <w:spacing w:before="0" w:after="120"/>
        <w:jc w:val="center"/>
        <w:rPr/>
      </w:pPr>
      <w:r>
        <w:rPr>
          <w:b/>
          <w:bCs/>
          <w:i/>
          <w:iCs/>
        </w:rPr>
        <w:t>Предельно</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показателей</w:t>
      </w:r>
      <w:r>
        <w:rPr>
          <w:b/>
          <w:bCs/>
        </w:rPr>
        <w:t xml:space="preserve"> </w:t>
      </w:r>
      <w:r>
        <w:rPr>
          <w:b/>
          <w:bCs/>
          <w:i/>
          <w:iCs/>
        </w:rPr>
        <w:t>качества</w:t>
      </w:r>
      <w:r>
        <w:rPr>
          <w:b/>
          <w:bCs/>
        </w:rPr>
        <w:t xml:space="preserve"> </w:t>
      </w:r>
      <w:r>
        <w:rPr>
          <w:b/>
          <w:bCs/>
          <w:i/>
          <w:iCs/>
        </w:rPr>
        <w:t>трансформаторного</w:t>
      </w:r>
      <w:r>
        <w:rPr>
          <w:b/>
          <w:bCs/>
        </w:rPr>
        <w:t xml:space="preserve"> </w:t>
      </w:r>
      <w:r>
        <w:rPr>
          <w:b/>
          <w:bCs/>
          <w:i/>
          <w:iCs/>
        </w:rPr>
        <w:t>масла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132"/>
        <w:gridCol w:w="1994"/>
        <w:gridCol w:w="2229"/>
      </w:tblGrid>
      <w:tr>
        <w:trPr>
          <w:tblHeader w:val="true"/>
        </w:trPr>
        <w:tc>
          <w:tcPr>
            <w:tcW w:w="5132"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Показатель качества масла и номер стандарта на метод испытания</w:t>
            </w:r>
          </w:p>
        </w:tc>
        <w:tc>
          <w:tcPr>
            <w:tcW w:w="1994"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Свежее сухое масло перед заливкой в оборудование</w:t>
            </w:r>
          </w:p>
        </w:tc>
        <w:tc>
          <w:tcPr>
            <w:tcW w:w="222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Масло непосредственно после заливки в оборудование</w:t>
            </w:r>
          </w:p>
        </w:tc>
      </w:tr>
      <w:tr>
        <w:trPr/>
        <w:tc>
          <w:tcPr>
            <w:tcW w:w="5132" w:type="dxa"/>
            <w:tcBorders>
              <w:left w:val="single" w:sz="8" w:space="0" w:color="000000"/>
            </w:tcBorders>
            <w:shd w:fill="auto" w:val="clear"/>
          </w:tcPr>
          <w:p>
            <w:pPr>
              <w:pStyle w:val="Normal"/>
              <w:jc w:val="both"/>
              <w:rPr/>
            </w:pPr>
            <w:r>
              <w:rPr/>
              <w:t>1. Пробивное напряжение по ГОСТ 6581-75, (кВ) не менее, электрооборудование:</w:t>
            </w:r>
          </w:p>
          <w:p>
            <w:pPr>
              <w:pStyle w:val="Normal"/>
              <w:ind w:left="1092" w:hanging="0"/>
              <w:jc w:val="both"/>
              <w:rPr/>
            </w:pPr>
            <w:r>
              <w:rPr/>
              <w:t>до 15 кВ включительно</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30</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25</w:t>
            </w:r>
          </w:p>
        </w:tc>
      </w:tr>
      <w:tr>
        <w:trPr/>
        <w:tc>
          <w:tcPr>
            <w:tcW w:w="5132" w:type="dxa"/>
            <w:tcBorders>
              <w:left w:val="single" w:sz="8" w:space="0" w:color="000000"/>
            </w:tcBorders>
            <w:shd w:fill="auto" w:val="clear"/>
          </w:tcPr>
          <w:p>
            <w:pPr>
              <w:pStyle w:val="Normal"/>
              <w:ind w:left="1092" w:hanging="0"/>
              <w:jc w:val="both"/>
              <w:rPr/>
            </w:pPr>
            <w:r>
              <w:rPr/>
              <w:t>до 35 кВ включительно</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35</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30</w:t>
            </w:r>
          </w:p>
        </w:tc>
      </w:tr>
      <w:tr>
        <w:trPr/>
        <w:tc>
          <w:tcPr>
            <w:tcW w:w="5132" w:type="dxa"/>
            <w:tcBorders>
              <w:left w:val="single" w:sz="8" w:space="0" w:color="000000"/>
            </w:tcBorders>
            <w:shd w:fill="auto" w:val="clear"/>
          </w:tcPr>
          <w:p>
            <w:pPr>
              <w:pStyle w:val="Normal"/>
              <w:ind w:left="1092" w:hanging="0"/>
              <w:jc w:val="both"/>
              <w:rPr/>
            </w:pPr>
            <w:r>
              <w:rPr/>
              <w:t>от 60 кВ до 150 кВ</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60</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55</w:t>
            </w:r>
          </w:p>
        </w:tc>
      </w:tr>
      <w:tr>
        <w:trPr/>
        <w:tc>
          <w:tcPr>
            <w:tcW w:w="5132" w:type="dxa"/>
            <w:tcBorders>
              <w:left w:val="single" w:sz="8" w:space="0" w:color="000000"/>
              <w:bottom w:val="single" w:sz="8" w:space="0" w:color="000000"/>
              <w:insideH w:val="single" w:sz="8" w:space="0" w:color="000000"/>
            </w:tcBorders>
            <w:shd w:fill="auto" w:val="clear"/>
          </w:tcPr>
          <w:p>
            <w:pPr>
              <w:pStyle w:val="Normal"/>
              <w:ind w:left="1092" w:hanging="0"/>
              <w:jc w:val="both"/>
              <w:rPr/>
            </w:pPr>
            <w:r>
              <w:rPr/>
              <w:t>от 220 кВ до 500 кВ</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65</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60</w:t>
            </w:r>
          </w:p>
        </w:tc>
      </w:tr>
      <w:tr>
        <w:trPr/>
        <w:tc>
          <w:tcPr>
            <w:tcW w:w="5132" w:type="dxa"/>
            <w:tcBorders>
              <w:left w:val="single" w:sz="8" w:space="0" w:color="000000"/>
            </w:tcBorders>
            <w:shd w:fill="auto" w:val="clear"/>
          </w:tcPr>
          <w:p>
            <w:pPr>
              <w:pStyle w:val="Normal"/>
              <w:jc w:val="both"/>
              <w:rPr/>
            </w:pPr>
            <w:r>
              <w:rPr/>
              <w:t>2. Кислотное число ГОСТ 5985-79 мг КОН на 1 г масла, не более, электрооборудование:</w:t>
            </w:r>
          </w:p>
          <w:p>
            <w:pPr>
              <w:pStyle w:val="Normal"/>
              <w:ind w:left="1092" w:hanging="0"/>
              <w:jc w:val="both"/>
              <w:rPr/>
            </w:pPr>
            <w:r>
              <w:rPr/>
              <w:t>до 220 кВ</w:t>
            </w:r>
          </w:p>
        </w:tc>
        <w:tc>
          <w:tcPr>
            <w:tcW w:w="1994" w:type="dxa"/>
            <w:tcBorders>
              <w:left w:val="single" w:sz="8" w:space="0" w:color="000000"/>
            </w:tcBorders>
            <w:shd w:fill="auto" w:val="clear"/>
            <w:tcMar>
              <w:left w:w="0" w:type="dxa"/>
              <w:right w:w="0" w:type="dxa"/>
            </w:tcMar>
            <w:vAlign w:val="bottom"/>
          </w:tcPr>
          <w:p>
            <w:pPr>
              <w:pStyle w:val="Normal"/>
              <w:jc w:val="center"/>
              <w:rPr/>
            </w:pPr>
            <w:r>
              <w:rPr/>
              <w:t>0,02</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0,02</w:t>
            </w:r>
          </w:p>
        </w:tc>
      </w:tr>
      <w:tr>
        <w:trPr/>
        <w:tc>
          <w:tcPr>
            <w:tcW w:w="5132" w:type="dxa"/>
            <w:tcBorders>
              <w:left w:val="single" w:sz="8" w:space="0" w:color="000000"/>
              <w:bottom w:val="single" w:sz="8" w:space="0" w:color="000000"/>
              <w:insideH w:val="single" w:sz="8" w:space="0" w:color="000000"/>
            </w:tcBorders>
            <w:shd w:fill="auto" w:val="clear"/>
          </w:tcPr>
          <w:p>
            <w:pPr>
              <w:pStyle w:val="Normal"/>
              <w:ind w:left="1092" w:hanging="0"/>
              <w:jc w:val="both"/>
              <w:rPr/>
            </w:pPr>
            <w:r>
              <w:rPr/>
              <w:t>выше 220 кВ</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0,01</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0,01</w:t>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3. Температура вспышки в закрытом тигле по ГОСТ 6356-75 °С, не ниже</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135</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135</w:t>
            </w:r>
          </w:p>
        </w:tc>
      </w:tr>
      <w:tr>
        <w:trPr/>
        <w:tc>
          <w:tcPr>
            <w:tcW w:w="5132" w:type="dxa"/>
            <w:tcBorders>
              <w:left w:val="single" w:sz="8" w:space="0" w:color="000000"/>
            </w:tcBorders>
            <w:shd w:fill="auto" w:val="clear"/>
          </w:tcPr>
          <w:p>
            <w:pPr>
              <w:pStyle w:val="Normal"/>
              <w:jc w:val="both"/>
              <w:rPr/>
            </w:pPr>
            <w:r>
              <w:rPr/>
              <w:t>4. Влагосодержание по ГОСТ 7822-75, % массы (г/т), не более ГОСТ 1547-84 качественно</w:t>
            </w:r>
          </w:p>
        </w:tc>
        <w:tc>
          <w:tcPr>
            <w:tcW w:w="1994" w:type="dxa"/>
            <w:tcBorders>
              <w:left w:val="single" w:sz="8" w:space="0" w:color="000000"/>
            </w:tcBorders>
            <w:shd w:fill="auto" w:val="clear"/>
            <w:tcMar>
              <w:left w:w="0" w:type="dxa"/>
              <w:right w:w="0" w:type="dxa"/>
            </w:tcMar>
            <w:vAlign w:val="bottom"/>
          </w:tcPr>
          <w:p>
            <w:pPr>
              <w:pStyle w:val="Normal"/>
              <w:jc w:val="center"/>
              <w:rPr/>
            </w:pPr>
            <w:r>
              <w:rPr/>
              <w:t>0,001 % (10 г/т)</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0,001 % (10 г/т)</w:t>
            </w:r>
          </w:p>
        </w:tc>
      </w:tr>
      <w:tr>
        <w:trPr/>
        <w:tc>
          <w:tcPr>
            <w:tcW w:w="5132" w:type="dxa"/>
            <w:tcBorders>
              <w:left w:val="single" w:sz="8" w:space="0" w:color="000000"/>
            </w:tcBorders>
            <w:shd w:fill="auto" w:val="clear"/>
          </w:tcPr>
          <w:p>
            <w:pPr>
              <w:pStyle w:val="Normal"/>
              <w:jc w:val="both"/>
              <w:rPr/>
            </w:pPr>
            <w:r>
              <w:rPr/>
              <w:t>а) трансформаторы с пленочной или азотной защитой, герметичные маслонаполненные вводы и измерительные трансформаторы</w:t>
            </w:r>
          </w:p>
        </w:tc>
        <w:tc>
          <w:tcPr>
            <w:tcW w:w="1994" w:type="dxa"/>
            <w:tcBorders>
              <w:left w:val="single" w:sz="8" w:space="0" w:color="000000"/>
            </w:tcBorders>
            <w:shd w:fill="auto" w:val="clear"/>
            <w:tcMar>
              <w:left w:w="0" w:type="dxa"/>
              <w:right w:w="0" w:type="dxa"/>
            </w:tcMar>
            <w:vAlign w:val="bottom"/>
          </w:tcPr>
          <w:p>
            <w:pPr>
              <w:pStyle w:val="Normal"/>
              <w:jc w:val="center"/>
              <w:rPr/>
            </w:pPr>
            <w:r>
              <w:rPr/>
              <w:t>0,001 (10)</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0,001 (10)</w:t>
            </w:r>
          </w:p>
        </w:tc>
      </w:tr>
      <w:tr>
        <w:trPr/>
        <w:tc>
          <w:tcPr>
            <w:tcW w:w="5132" w:type="dxa"/>
            <w:tcBorders>
              <w:left w:val="single" w:sz="8" w:space="0" w:color="000000"/>
            </w:tcBorders>
            <w:shd w:fill="auto" w:val="clear"/>
          </w:tcPr>
          <w:p>
            <w:pPr>
              <w:pStyle w:val="Normal"/>
              <w:jc w:val="both"/>
              <w:rPr/>
            </w:pPr>
            <w:r>
              <w:rPr/>
              <w:t>б) силовые и измерительные трансформаторы без специальных защит масла, негерметичные вводы</w:t>
            </w:r>
          </w:p>
        </w:tc>
        <w:tc>
          <w:tcPr>
            <w:tcW w:w="1994" w:type="dxa"/>
            <w:tcBorders>
              <w:left w:val="single" w:sz="8" w:space="0" w:color="000000"/>
            </w:tcBorders>
            <w:shd w:fill="auto" w:val="clear"/>
            <w:tcMar>
              <w:left w:w="0" w:type="dxa"/>
              <w:right w:w="0" w:type="dxa"/>
            </w:tcMar>
            <w:vAlign w:val="bottom"/>
          </w:tcPr>
          <w:p>
            <w:pPr>
              <w:pStyle w:val="Normal"/>
              <w:jc w:val="center"/>
              <w:rPr/>
            </w:pPr>
            <w:r>
              <w:rPr/>
              <w:t>0,002 % (20)</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0,0025 % (25)</w:t>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в) электрооборудование при отсутствии требований предприятий-изготовителей по количественному определению данного показателя</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отсутствует</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отсутствует</w:t>
            </w:r>
          </w:p>
        </w:tc>
      </w:tr>
      <w:tr>
        <w:trPr/>
        <w:tc>
          <w:tcPr>
            <w:tcW w:w="5132" w:type="dxa"/>
            <w:tcBorders>
              <w:left w:val="single" w:sz="8" w:space="0" w:color="000000"/>
            </w:tcBorders>
            <w:shd w:fill="auto" w:val="clear"/>
          </w:tcPr>
          <w:p>
            <w:pPr>
              <w:pStyle w:val="Normal"/>
              <w:jc w:val="both"/>
              <w:rPr/>
            </w:pPr>
            <w:r>
              <w:rPr/>
              <w:t>5. Содержание механических примесей ГОСТ 6370-83 и РТМ 17216-71 электрооборудование</w:t>
            </w:r>
          </w:p>
          <w:p>
            <w:pPr>
              <w:pStyle w:val="Normal"/>
              <w:ind w:left="312" w:hanging="0"/>
              <w:jc w:val="both"/>
              <w:rPr/>
            </w:pPr>
            <w:r>
              <w:rPr/>
              <w:t>до 220 кВ включительно</w:t>
            </w:r>
          </w:p>
        </w:tc>
        <w:tc>
          <w:tcPr>
            <w:tcW w:w="1994" w:type="dxa"/>
            <w:tcBorders>
              <w:left w:val="single" w:sz="8" w:space="0" w:color="000000"/>
            </w:tcBorders>
            <w:shd w:fill="auto" w:val="clear"/>
            <w:tcMar>
              <w:left w:w="0" w:type="dxa"/>
              <w:right w:w="0" w:type="dxa"/>
            </w:tcMar>
            <w:vAlign w:val="bottom"/>
          </w:tcPr>
          <w:p>
            <w:pPr>
              <w:pStyle w:val="Normal"/>
              <w:jc w:val="center"/>
              <w:rPr/>
            </w:pPr>
            <w:r>
              <w:rPr/>
              <w:t>отсутствие</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отсутствие</w:t>
            </w:r>
          </w:p>
        </w:tc>
      </w:tr>
      <w:tr>
        <w:trPr/>
        <w:tc>
          <w:tcPr>
            <w:tcW w:w="5132" w:type="dxa"/>
            <w:tcBorders>
              <w:left w:val="single" w:sz="8" w:space="0" w:color="000000"/>
              <w:bottom w:val="single" w:sz="8" w:space="0" w:color="000000"/>
              <w:insideH w:val="single" w:sz="8" w:space="0" w:color="000000"/>
            </w:tcBorders>
            <w:shd w:fill="auto" w:val="clear"/>
          </w:tcPr>
          <w:p>
            <w:pPr>
              <w:pStyle w:val="Normal"/>
              <w:ind w:left="312" w:hanging="0"/>
              <w:jc w:val="both"/>
              <w:rPr/>
            </w:pPr>
            <w:r>
              <w:rPr/>
              <w:t>свыше 220 кВ, % не более</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0,0008</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0,0008</w:t>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6. Тангенс угла диэлектрических потерь ГОСТ 6581-75, % не более, при 90 °С</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1,7</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2,0</w:t>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7. Водорастворимые кислоты и щелочи по ГОСТ 6307-75</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отсутствие</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отсутствие</w:t>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8. Содержание антиокислительной присадки по РД 34.43.105-89</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0,2</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0,18</w:t>
            </w:r>
          </w:p>
        </w:tc>
      </w:tr>
      <w:tr>
        <w:trPr/>
        <w:tc>
          <w:tcPr>
            <w:tcW w:w="5132" w:type="dxa"/>
            <w:tcBorders>
              <w:left w:val="single" w:sz="8" w:space="0" w:color="000000"/>
            </w:tcBorders>
            <w:shd w:fill="auto" w:val="clear"/>
          </w:tcPr>
          <w:p>
            <w:pPr>
              <w:pStyle w:val="Normal"/>
              <w:jc w:val="both"/>
              <w:rPr/>
            </w:pPr>
            <w:r>
              <w:rPr/>
              <w:t>9. Температура застывания по ГОСТ 20287-91 °С не выше</w:t>
            </w:r>
          </w:p>
        </w:tc>
        <w:tc>
          <w:tcPr>
            <w:tcW w:w="1994" w:type="dxa"/>
            <w:tcBorders>
              <w:left w:val="single" w:sz="8" w:space="0" w:color="000000"/>
            </w:tcBorders>
            <w:shd w:fill="auto" w:val="clear"/>
            <w:tcMar>
              <w:left w:w="0" w:type="dxa"/>
              <w:right w:w="0" w:type="dxa"/>
            </w:tcMar>
            <w:vAlign w:val="bottom"/>
          </w:tcPr>
          <w:p>
            <w:pPr>
              <w:pStyle w:val="Normal"/>
              <w:jc w:val="center"/>
              <w:rPr/>
            </w:pPr>
            <w:r>
              <w:rPr/>
              <w:t>-45</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snapToGrid w:val="false"/>
              <w:rPr/>
            </w:pPr>
            <w:r>
              <w:rPr/>
            </w:r>
          </w:p>
        </w:tc>
      </w:tr>
      <w:tr>
        <w:trPr/>
        <w:tc>
          <w:tcPr>
            <w:tcW w:w="5132" w:type="dxa"/>
            <w:tcBorders>
              <w:left w:val="single" w:sz="8" w:space="0" w:color="000000"/>
              <w:bottom w:val="single" w:sz="8" w:space="0" w:color="000000"/>
              <w:insideH w:val="single" w:sz="8" w:space="0" w:color="000000"/>
            </w:tcBorders>
            <w:shd w:fill="auto" w:val="clear"/>
          </w:tcPr>
          <w:p>
            <w:pPr>
              <w:pStyle w:val="Normal"/>
              <w:ind w:left="2262" w:hanging="0"/>
              <w:jc w:val="both"/>
              <w:rPr/>
            </w:pPr>
            <w:r>
              <w:rPr/>
              <w:t>арктическое масло</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-60</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snapToGrid w:val="false"/>
              <w:rPr/>
            </w:pPr>
            <w:r>
              <w:rPr/>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10. Газосодержание % объема не более, по РД 34.43.107-95</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0,5</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jc w:val="center"/>
              <w:rPr/>
            </w:pPr>
            <w:r>
              <w:rPr/>
              <w:t>1,0</w:t>
            </w:r>
          </w:p>
        </w:tc>
      </w:tr>
      <w:tr>
        <w:trPr/>
        <w:tc>
          <w:tcPr>
            <w:tcW w:w="5132" w:type="dxa"/>
            <w:tcBorders>
              <w:left w:val="single" w:sz="8" w:space="0" w:color="000000"/>
            </w:tcBorders>
            <w:shd w:fill="auto" w:val="clear"/>
          </w:tcPr>
          <w:p>
            <w:pPr>
              <w:pStyle w:val="Normal"/>
              <w:jc w:val="both"/>
              <w:rPr/>
            </w:pPr>
            <w:r>
              <w:rPr/>
              <w:t>11. Стабильность против окисления по ГОСТ 981-75 для силовых и измерительных трансформаторов от 110 до 220 кВ</w:t>
            </w:r>
          </w:p>
          <w:p>
            <w:pPr>
              <w:pStyle w:val="Normal"/>
              <w:jc w:val="both"/>
              <w:rPr/>
            </w:pPr>
            <w:r>
              <w:rPr/>
              <w:t>а) содержание осадка, % массы, не более</w:t>
            </w:r>
          </w:p>
        </w:tc>
        <w:tc>
          <w:tcPr>
            <w:tcW w:w="1994" w:type="dxa"/>
            <w:tcBorders>
              <w:left w:val="single" w:sz="8" w:space="0" w:color="000000"/>
            </w:tcBorders>
            <w:shd w:fill="auto" w:val="clear"/>
            <w:tcMar>
              <w:left w:w="0" w:type="dxa"/>
              <w:right w:w="0" w:type="dxa"/>
            </w:tcMar>
            <w:vAlign w:val="bottom"/>
          </w:tcPr>
          <w:p>
            <w:pPr>
              <w:pStyle w:val="Normal"/>
              <w:jc w:val="center"/>
              <w:rPr/>
            </w:pPr>
            <w:r>
              <w:rPr/>
              <w:t>0,01</w:t>
            </w:r>
          </w:p>
        </w:tc>
        <w:tc>
          <w:tcPr>
            <w:tcW w:w="222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snapToGrid w:val="false"/>
              <w:rPr/>
            </w:pPr>
            <w:r>
              <w:rPr/>
            </w:r>
          </w:p>
        </w:tc>
      </w:tr>
      <w:tr>
        <w:trPr/>
        <w:tc>
          <w:tcPr>
            <w:tcW w:w="5132" w:type="dxa"/>
            <w:tcBorders>
              <w:left w:val="single" w:sz="8" w:space="0" w:color="000000"/>
              <w:bottom w:val="single" w:sz="8" w:space="0" w:color="000000"/>
              <w:insideH w:val="single" w:sz="8" w:space="0" w:color="000000"/>
            </w:tcBorders>
            <w:shd w:fill="auto" w:val="clear"/>
          </w:tcPr>
          <w:p>
            <w:pPr>
              <w:pStyle w:val="Normal"/>
              <w:jc w:val="both"/>
              <w:rPr/>
            </w:pPr>
            <w:r>
              <w:rPr/>
              <w:t>б) кислотное число окисленного масла мг КОН на 1 г масла, не более</w:t>
            </w:r>
          </w:p>
        </w:tc>
        <w:tc>
          <w:tcPr>
            <w:tcW w:w="1994" w:type="dxa"/>
            <w:tcBorders>
              <w:left w:val="single" w:sz="8" w:space="0" w:color="000000"/>
              <w:bottom w:val="single" w:sz="8" w:space="0" w:color="000000"/>
              <w:insideH w:val="single" w:sz="8" w:space="0" w:color="000000"/>
            </w:tcBorders>
            <w:shd w:fill="auto" w:val="clear"/>
            <w:tcMar>
              <w:left w:w="0" w:type="dxa"/>
              <w:right w:w="0" w:type="dxa"/>
            </w:tcMar>
            <w:vAlign w:val="bottom"/>
          </w:tcPr>
          <w:p>
            <w:pPr>
              <w:pStyle w:val="Normal"/>
              <w:jc w:val="center"/>
              <w:rPr/>
            </w:pPr>
            <w:r>
              <w:rPr/>
              <w:t>0,1</w:t>
            </w:r>
          </w:p>
        </w:tc>
        <w:tc>
          <w:tcPr>
            <w:tcW w:w="222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bottom"/>
          </w:tcPr>
          <w:p>
            <w:pPr>
              <w:pStyle w:val="Normal"/>
              <w:snapToGrid w:val="false"/>
              <w:rPr/>
            </w:pPr>
            <w:r>
              <w:rPr/>
            </w:r>
          </w:p>
        </w:tc>
      </w:tr>
    </w:tbl>
    <w:p>
      <w:pPr>
        <w:pStyle w:val="Heading3"/>
        <w:rPr/>
      </w:pPr>
      <w:r>
        <w:rPr/>
        <w:t>1.8.36. Трансформаторное масло</w:t>
      </w:r>
    </w:p>
    <w:p>
      <w:pPr>
        <w:pStyle w:val="Normal"/>
        <w:ind w:firstLine="283"/>
        <w:jc w:val="both"/>
        <w:rPr>
          <w:b/>
          <w:b/>
          <w:bCs/>
        </w:rPr>
      </w:pPr>
      <w:r>
        <w:rPr>
          <w:b/>
          <w:bCs/>
        </w:rPr>
        <w:t>1. Анализ масла перед заливкой в оборудование.</w:t>
      </w:r>
    </w:p>
    <w:p>
      <w:pPr>
        <w:pStyle w:val="Normal"/>
        <w:ind w:firstLine="283"/>
        <w:jc w:val="both"/>
        <w:rPr/>
      </w:pPr>
      <w:r>
        <w:rPr/>
        <w:t>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1.8.33. Значения показателей, полученные при испытаниях, должны быть не хуже приведенных в таблице.</w:t>
      </w:r>
    </w:p>
    <w:p>
      <w:pPr>
        <w:pStyle w:val="Normal"/>
        <w:ind w:firstLine="283"/>
        <w:jc w:val="both"/>
        <w:rPr>
          <w:b/>
          <w:b/>
          <w:bCs/>
        </w:rPr>
      </w:pPr>
      <w:r>
        <w:rPr>
          <w:b/>
          <w:bCs/>
        </w:rPr>
        <w:t>2. Анализ масла перед включением оборудования.</w:t>
      </w:r>
    </w:p>
    <w:p>
      <w:pPr>
        <w:pStyle w:val="Normal"/>
        <w:ind w:firstLine="283"/>
        <w:jc w:val="both"/>
        <w:rPr/>
      </w:pPr>
      <w:r>
        <w:rP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параграфах данной главы и указаниям заводов-изготовителей.</w:t>
      </w:r>
    </w:p>
    <w:p>
      <w:pPr>
        <w:pStyle w:val="Heading3"/>
        <w:rPr/>
      </w:pPr>
      <w:r>
        <w:rPr/>
        <w:t>1.8.37. Электрические аппараты, вторичные цепи и электропроводки напряжением до 1 кВ</w:t>
      </w:r>
    </w:p>
    <w:p>
      <w:pPr>
        <w:pStyle w:val="Normal"/>
        <w:ind w:firstLine="283"/>
        <w:jc w:val="both"/>
        <w:rPr/>
      </w:pPr>
      <w:r>
        <w:rPr/>
        <w:t>Электрические аппараты и вторичные цепи схем защит,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 1.</w:t>
      </w:r>
    </w:p>
    <w:p>
      <w:pPr>
        <w:pStyle w:val="Normal"/>
        <w:ind w:firstLine="283"/>
        <w:jc w:val="both"/>
        <w:rPr>
          <w:b/>
          <w:b/>
          <w:bCs/>
        </w:rPr>
      </w:pPr>
      <w:r>
        <w:rPr>
          <w:b/>
          <w:bCs/>
        </w:rPr>
        <w:t>1. Измерение сопротивления изоляции.</w:t>
      </w:r>
    </w:p>
    <w:p>
      <w:pPr>
        <w:pStyle w:val="Normal"/>
        <w:ind w:firstLine="283"/>
        <w:jc w:val="both"/>
        <w:rPr/>
      </w:pPr>
      <w:r>
        <w:rPr/>
        <w:t>Сопротивление изоляции должно быть не менее значений, приведенных в табл. 1.8.34.</w:t>
      </w:r>
    </w:p>
    <w:p>
      <w:pPr>
        <w:pStyle w:val="Normal"/>
        <w:ind w:firstLine="283"/>
        <w:jc w:val="both"/>
        <w:rPr>
          <w:b/>
          <w:b/>
          <w:bCs/>
        </w:rPr>
      </w:pPr>
      <w:r>
        <w:rPr>
          <w:b/>
          <w:bCs/>
        </w:rPr>
        <w:t>2. Испытание повышенным напряжением промышленной частоты.</w:t>
      </w:r>
    </w:p>
    <w:p>
      <w:pPr>
        <w:pStyle w:val="Normal"/>
        <w:ind w:firstLine="284"/>
        <w:jc w:val="both"/>
        <w:rPr/>
      </w:pPr>
      <w:r>
        <w:rP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p>
    <w:p>
      <w:pPr>
        <w:pStyle w:val="Normal"/>
        <w:ind w:firstLine="283"/>
        <w:jc w:val="both"/>
        <w:rPr>
          <w:b/>
          <w:b/>
          <w:bCs/>
        </w:rPr>
      </w:pPr>
      <w:r>
        <w:rPr>
          <w:b/>
          <w:bCs/>
        </w:rPr>
        <w:t>3. Проверка действия автоматических выключателей.</w:t>
      </w:r>
    </w:p>
    <w:p>
      <w:pPr>
        <w:pStyle w:val="Normal"/>
        <w:ind w:firstLine="283"/>
        <w:jc w:val="both"/>
        <w:rPr>
          <w:b/>
          <w:b/>
          <w:bCs/>
        </w:rPr>
      </w:pPr>
      <w:r>
        <w:rPr>
          <w:b/>
          <w:bCs/>
        </w:rPr>
        <w:t>3.1. Проверка сопротивления изоляции. Производится у выключателей на номинальный ток 400 А и более. Значение сопротивления изоляции - не менее 1 МОм.</w:t>
      </w:r>
    </w:p>
    <w:p>
      <w:pPr>
        <w:pStyle w:val="Normal"/>
        <w:ind w:firstLine="283"/>
        <w:jc w:val="both"/>
        <w:rPr>
          <w:b/>
          <w:b/>
          <w:bCs/>
        </w:rPr>
      </w:pPr>
      <w:r>
        <w:rPr>
          <w:b/>
          <w:bCs/>
        </w:rPr>
        <w:t>3.2. 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заводом-изготовителем.</w:t>
      </w:r>
    </w:p>
    <w:p>
      <w:pPr>
        <w:pStyle w:val="Normal"/>
        <w:ind w:firstLine="283"/>
        <w:jc w:val="both"/>
        <w:rPr/>
      </w:pPr>
      <w:r>
        <w:rPr/>
        <w:t>В электроустановках, выполненных по требованиям раздела 6, глав 7.1 и 7.2 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2 % выключателей распределительных и групповых сетей.</w:t>
      </w:r>
    </w:p>
    <w:p>
      <w:pPr>
        <w:pStyle w:val="Normal"/>
        <w:ind w:firstLine="284"/>
        <w:jc w:val="both"/>
        <w:rPr/>
      </w:pPr>
      <w:r>
        <w:rPr/>
        <w:t>В других электроустановках испытываются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1 % остальных выключателей.</w:t>
      </w:r>
    </w:p>
    <w:p>
      <w:pPr>
        <w:pStyle w:val="Normal"/>
        <w:ind w:firstLine="283"/>
        <w:jc w:val="both"/>
        <w:rPr/>
      </w:pPr>
      <w:r>
        <w:rPr/>
        <w:t>Проверка производится в соответствии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количестве выключателей.</w:t>
      </w:r>
    </w:p>
    <w:p>
      <w:pPr>
        <w:pStyle w:val="Normal"/>
        <w:ind w:firstLine="283"/>
        <w:jc w:val="both"/>
        <w:rPr>
          <w:b/>
          <w:b/>
          <w:bCs/>
        </w:rPr>
      </w:pPr>
      <w:r>
        <w:rPr>
          <w:b/>
          <w:bCs/>
        </w:rPr>
        <w:t>4. Проверка работы автоматических выключателей и контакторов при пониженном и номинальном напряжениях оперативного тока.</w:t>
      </w:r>
    </w:p>
    <w:p>
      <w:pPr>
        <w:pStyle w:val="Normal"/>
        <w:ind w:firstLine="283"/>
        <w:jc w:val="both"/>
        <w:rPr/>
      </w:pPr>
      <w:r>
        <w:rPr/>
        <w:t>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1.8.35.</w:t>
      </w:r>
    </w:p>
    <w:p>
      <w:pPr>
        <w:pStyle w:val="Normal"/>
        <w:ind w:firstLine="283"/>
        <w:jc w:val="both"/>
        <w:rPr/>
      </w:pPr>
      <w:r>
        <w:rPr>
          <w:b/>
          <w:bCs/>
        </w:rPr>
        <w:t>5. Устройства защитного отключения (УЗО), выключатели дифференциального тока (ВДТ)</w:t>
      </w:r>
      <w:r>
        <w:rPr/>
        <w:t xml:space="preserve"> проверяются в соответствии с указаниями завода-изготовителя.</w:t>
      </w:r>
    </w:p>
    <w:p>
      <w:pPr>
        <w:pStyle w:val="Normal"/>
        <w:ind w:firstLine="283"/>
        <w:jc w:val="both"/>
        <w:rPr/>
      </w:pPr>
      <w:r>
        <w:rPr>
          <w:b/>
          <w:bCs/>
        </w:rPr>
        <w:t>6. Проверка релейной аппаратуры.</w:t>
      </w:r>
      <w:r>
        <w:rPr/>
        <w:t xml:space="preserve">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pPr>
        <w:pStyle w:val="Normal"/>
        <w:ind w:firstLine="283"/>
        <w:jc w:val="both"/>
        <w:rPr>
          <w:b/>
          <w:b/>
          <w:bCs/>
        </w:rPr>
      </w:pPr>
      <w:r>
        <w:rPr>
          <w:b/>
          <w:bCs/>
        </w:rPr>
        <w:t>7. Проверка правильности функционирования полностью собранных схем при различных значениях оперативного тока.</w:t>
      </w:r>
    </w:p>
    <w:p>
      <w:pPr>
        <w:pStyle w:val="Normal"/>
        <w:ind w:firstLine="283"/>
        <w:jc w:val="both"/>
        <w:rPr/>
      </w:pPr>
      <w:r>
        <w:rPr/>
        <w:t>Все элементы схем должны надежно функционировать в предусмотренной проектом последовательности при значениях оперативного тока, приведенных в табл. 1.8.36.</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34</w:t>
      </w:r>
    </w:p>
    <w:p>
      <w:pPr>
        <w:pStyle w:val="Normal"/>
        <w:spacing w:before="0" w:after="120"/>
        <w:jc w:val="center"/>
        <w:rPr/>
      </w:pPr>
      <w:r>
        <w:rPr>
          <w:b/>
          <w:bCs/>
          <w:i/>
          <w:iCs/>
        </w:rPr>
        <w:t>Допустимые</w:t>
      </w:r>
      <w:r>
        <w:rPr>
          <w:b/>
          <w:bCs/>
        </w:rPr>
        <w:t xml:space="preserve"> </w:t>
      </w:r>
      <w:r>
        <w:rPr>
          <w:b/>
          <w:bCs/>
          <w:i/>
          <w:iCs/>
        </w:rPr>
        <w:t>значения</w:t>
      </w:r>
      <w:r>
        <w:rPr>
          <w:b/>
          <w:bCs/>
        </w:rPr>
        <w:t xml:space="preserve"> </w:t>
      </w:r>
      <w:r>
        <w:rPr>
          <w:b/>
          <w:bCs/>
          <w:i/>
          <w:iCs/>
        </w:rPr>
        <w:t>сопротивления</w:t>
      </w:r>
      <w:r>
        <w:rPr>
          <w:b/>
          <w:bCs/>
        </w:rPr>
        <w:t xml:space="preserve"> </w:t>
      </w:r>
      <w:r>
        <w:rPr>
          <w:b/>
          <w:bCs/>
          <w:i/>
          <w:iCs/>
        </w:rPr>
        <w:t>изоляции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439"/>
        <w:gridCol w:w="1621"/>
        <w:gridCol w:w="2295"/>
      </w:tblGrid>
      <w:tr>
        <w:trPr>
          <w:tblHeader w:val="true"/>
        </w:trPr>
        <w:tc>
          <w:tcPr>
            <w:tcW w:w="5439"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элемент</w:t>
            </w:r>
          </w:p>
        </w:tc>
        <w:tc>
          <w:tcPr>
            <w:tcW w:w="1621"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Напряжение мегаомметра, В</w:t>
            </w:r>
          </w:p>
        </w:tc>
        <w:tc>
          <w:tcPr>
            <w:tcW w:w="229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Наименьшее допустимое значение сопротивления изоляции, МОм</w:t>
            </w:r>
          </w:p>
        </w:tc>
      </w:tr>
      <w:tr>
        <w:trPr/>
        <w:tc>
          <w:tcPr>
            <w:tcW w:w="5439" w:type="dxa"/>
            <w:tcBorders>
              <w:left w:val="single" w:sz="8" w:space="0" w:color="000000"/>
            </w:tcBorders>
            <w:shd w:fill="auto" w:val="clear"/>
          </w:tcPr>
          <w:p>
            <w:pPr>
              <w:pStyle w:val="Normal"/>
              <w:jc w:val="both"/>
              <w:rPr/>
            </w:pPr>
            <w:r>
              <w:rPr/>
              <w:t>1. Шины постоянного тока на щитах управления и в распределительных устройствах (при отсоединенных цепях)</w:t>
            </w:r>
          </w:p>
        </w:tc>
        <w:tc>
          <w:tcPr>
            <w:tcW w:w="1621" w:type="dxa"/>
            <w:tcBorders>
              <w:left w:val="single" w:sz="8" w:space="0" w:color="000000"/>
            </w:tcBorders>
            <w:shd w:fill="auto" w:val="clear"/>
            <w:tcMar>
              <w:left w:w="0" w:type="dxa"/>
              <w:right w:w="0" w:type="dxa"/>
            </w:tcMar>
            <w:vAlign w:val="center"/>
          </w:tcPr>
          <w:p>
            <w:pPr>
              <w:pStyle w:val="Normal"/>
              <w:jc w:val="center"/>
              <w:rPr/>
            </w:pPr>
            <w:r>
              <w:rPr/>
              <w:t>500 - 1000</w:t>
            </w:r>
          </w:p>
        </w:tc>
        <w:tc>
          <w:tcPr>
            <w:tcW w:w="2295"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10</w:t>
            </w:r>
          </w:p>
        </w:tc>
      </w:tr>
      <w:tr>
        <w:trPr/>
        <w:tc>
          <w:tcPr>
            <w:tcW w:w="5439" w:type="dxa"/>
            <w:tcBorders>
              <w:left w:val="single" w:sz="8" w:space="0" w:color="000000"/>
            </w:tcBorders>
            <w:shd w:fill="auto" w:val="clear"/>
          </w:tcPr>
          <w:p>
            <w:pPr>
              <w:pStyle w:val="Normal"/>
              <w:jc w:val="both"/>
              <w:rPr/>
            </w:pPr>
            <w:r>
              <w:rPr/>
              <w:t>2. Вторичные цепи каждого присоединения и цепи питания приводов выключателей и разъединителей</w:t>
            </w:r>
            <w:r>
              <w:rPr>
                <w:vertAlign w:val="superscript"/>
              </w:rPr>
              <w:t>1)</w:t>
            </w:r>
          </w:p>
        </w:tc>
        <w:tc>
          <w:tcPr>
            <w:tcW w:w="1621" w:type="dxa"/>
            <w:tcBorders>
              <w:left w:val="single" w:sz="8" w:space="0" w:color="000000"/>
            </w:tcBorders>
            <w:shd w:fill="auto" w:val="clear"/>
            <w:tcMar>
              <w:left w:w="0" w:type="dxa"/>
              <w:right w:w="0" w:type="dxa"/>
            </w:tcMar>
            <w:vAlign w:val="center"/>
          </w:tcPr>
          <w:p>
            <w:pPr>
              <w:pStyle w:val="Normal"/>
              <w:jc w:val="center"/>
              <w:rPr/>
            </w:pPr>
            <w:r>
              <w:rPr/>
              <w:t>500 - 1000</w:t>
            </w:r>
          </w:p>
        </w:tc>
        <w:tc>
          <w:tcPr>
            <w:tcW w:w="2295"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1</w:t>
            </w:r>
          </w:p>
        </w:tc>
      </w:tr>
      <w:tr>
        <w:trPr/>
        <w:tc>
          <w:tcPr>
            <w:tcW w:w="5439" w:type="dxa"/>
            <w:tcBorders>
              <w:left w:val="single" w:sz="8" w:space="0" w:color="000000"/>
            </w:tcBorders>
            <w:shd w:fill="auto" w:val="clear"/>
          </w:tcPr>
          <w:p>
            <w:pPr>
              <w:pStyle w:val="Normal"/>
              <w:jc w:val="both"/>
              <w:rPr/>
            </w:pPr>
            <w:r>
              <w:rPr/>
              <w:t>3. Цепи управления, защиты, автоматики и измерений, а также цепи возбуждения машин постоянного тока, присоединенные к силовым цепям</w:t>
            </w:r>
          </w:p>
        </w:tc>
        <w:tc>
          <w:tcPr>
            <w:tcW w:w="1621" w:type="dxa"/>
            <w:tcBorders>
              <w:left w:val="single" w:sz="8" w:space="0" w:color="000000"/>
            </w:tcBorders>
            <w:shd w:fill="auto" w:val="clear"/>
            <w:tcMar>
              <w:left w:w="0" w:type="dxa"/>
              <w:right w:w="0" w:type="dxa"/>
            </w:tcMar>
            <w:vAlign w:val="center"/>
          </w:tcPr>
          <w:p>
            <w:pPr>
              <w:pStyle w:val="Normal"/>
              <w:jc w:val="center"/>
              <w:rPr/>
            </w:pPr>
            <w:r>
              <w:rPr/>
              <w:t>500 - 1000</w:t>
            </w:r>
          </w:p>
        </w:tc>
        <w:tc>
          <w:tcPr>
            <w:tcW w:w="2295"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1</w:t>
            </w:r>
          </w:p>
        </w:tc>
      </w:tr>
      <w:tr>
        <w:trPr/>
        <w:tc>
          <w:tcPr>
            <w:tcW w:w="5439" w:type="dxa"/>
            <w:tcBorders>
              <w:left w:val="single" w:sz="8" w:space="0" w:color="000000"/>
            </w:tcBorders>
            <w:shd w:fill="auto" w:val="clear"/>
          </w:tcPr>
          <w:p>
            <w:pPr>
              <w:pStyle w:val="Normal"/>
              <w:jc w:val="both"/>
              <w:rPr/>
            </w:pPr>
            <w:r>
              <w:rPr/>
              <w:t>4. Вторичные цепи и элементы при питании от отдельного источника или через разделительный трансформатор, рассчитанные на рабочее напряжение 60 В и ниже</w:t>
            </w:r>
            <w:r>
              <w:rPr>
                <w:vertAlign w:val="superscript"/>
              </w:rPr>
              <w:t>2)</w:t>
            </w:r>
          </w:p>
        </w:tc>
        <w:tc>
          <w:tcPr>
            <w:tcW w:w="1621" w:type="dxa"/>
            <w:tcBorders>
              <w:left w:val="single" w:sz="8" w:space="0" w:color="000000"/>
            </w:tcBorders>
            <w:shd w:fill="auto" w:val="clear"/>
            <w:tcMar>
              <w:left w:w="0" w:type="dxa"/>
              <w:right w:w="0" w:type="dxa"/>
            </w:tcMar>
            <w:vAlign w:val="center"/>
          </w:tcPr>
          <w:p>
            <w:pPr>
              <w:pStyle w:val="Normal"/>
              <w:jc w:val="center"/>
              <w:rPr/>
            </w:pPr>
            <w:r>
              <w:rPr/>
              <w:t>500</w:t>
            </w:r>
          </w:p>
        </w:tc>
        <w:tc>
          <w:tcPr>
            <w:tcW w:w="2295"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0,5</w:t>
            </w:r>
          </w:p>
        </w:tc>
      </w:tr>
      <w:tr>
        <w:trPr/>
        <w:tc>
          <w:tcPr>
            <w:tcW w:w="5439" w:type="dxa"/>
            <w:tcBorders>
              <w:left w:val="single" w:sz="8" w:space="0" w:color="000000"/>
            </w:tcBorders>
            <w:shd w:fill="auto" w:val="clear"/>
          </w:tcPr>
          <w:p>
            <w:pPr>
              <w:pStyle w:val="Normal"/>
              <w:jc w:val="both"/>
              <w:rPr/>
            </w:pPr>
            <w:r>
              <w:rPr/>
              <w:t>5. Электропроводки, в том числе осветительные сети</w:t>
            </w:r>
          </w:p>
        </w:tc>
        <w:tc>
          <w:tcPr>
            <w:tcW w:w="1621" w:type="dxa"/>
            <w:tcBorders>
              <w:left w:val="single" w:sz="8" w:space="0" w:color="000000"/>
            </w:tcBorders>
            <w:shd w:fill="auto" w:val="clear"/>
            <w:tcMar>
              <w:left w:w="0" w:type="dxa"/>
              <w:right w:w="0" w:type="dxa"/>
            </w:tcMar>
            <w:vAlign w:val="center"/>
          </w:tcPr>
          <w:p>
            <w:pPr>
              <w:pStyle w:val="Normal"/>
              <w:jc w:val="center"/>
              <w:rPr/>
            </w:pPr>
            <w:r>
              <w:rPr/>
              <w:t>1000</w:t>
            </w:r>
          </w:p>
        </w:tc>
        <w:tc>
          <w:tcPr>
            <w:tcW w:w="2295"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0,5</w:t>
            </w:r>
          </w:p>
        </w:tc>
      </w:tr>
      <w:tr>
        <w:trPr/>
        <w:tc>
          <w:tcPr>
            <w:tcW w:w="5439" w:type="dxa"/>
            <w:tcBorders>
              <w:left w:val="single" w:sz="8" w:space="0" w:color="000000"/>
              <w:bottom w:val="single" w:sz="8" w:space="0" w:color="000000"/>
              <w:insideH w:val="single" w:sz="8" w:space="0" w:color="000000"/>
            </w:tcBorders>
            <w:shd w:fill="auto" w:val="clear"/>
          </w:tcPr>
          <w:p>
            <w:pPr>
              <w:pStyle w:val="Normal"/>
              <w:jc w:val="both"/>
              <w:rPr/>
            </w:pPr>
            <w:r>
              <w:rPr/>
              <w:t>6. Распределительные устройства</w:t>
            </w:r>
            <w:r>
              <w:rPr>
                <w:vertAlign w:val="superscript"/>
              </w:rPr>
              <w:t>4)</w:t>
            </w:r>
            <w:r>
              <w:rPr/>
              <w:t>, щиты и токопроводы (шинопроводы)</w:t>
            </w:r>
          </w:p>
        </w:tc>
        <w:tc>
          <w:tcPr>
            <w:tcW w:w="1621"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500 - 1000</w:t>
            </w:r>
          </w:p>
        </w:tc>
        <w:tc>
          <w:tcPr>
            <w:tcW w:w="229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0,5</w:t>
            </w:r>
          </w:p>
        </w:tc>
      </w:tr>
      <w:tr>
        <w:trPr/>
        <w:tc>
          <w:tcPr>
            <w:tcW w:w="9355" w:type="dxa"/>
            <w:gridSpan w:val="3"/>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300"/>
              <w:jc w:val="both"/>
              <w:rPr/>
            </w:pPr>
            <w:r>
              <w:rPr>
                <w:vertAlign w:val="superscript"/>
              </w:rPr>
              <w:t>1)</w:t>
            </w:r>
            <w:r>
              <w:rPr>
                <w:color w:val="000000"/>
              </w:rPr>
              <w:t xml:space="preserve"> Измерение производится со всеми присоединенными аппаратами (катушки приводов, контакторы, пускатели, автоматические выключатели, реле, приборы, вторичные обмотки трансформаторов тока и напряжения и т.п.).</w:t>
            </w:r>
          </w:p>
          <w:p>
            <w:pPr>
              <w:pStyle w:val="Normal"/>
              <w:ind w:firstLine="300"/>
              <w:jc w:val="both"/>
              <w:rPr/>
            </w:pPr>
            <w:r>
              <w:rPr>
                <w:vertAlign w:val="superscript"/>
              </w:rPr>
              <w:t>2)</w:t>
            </w:r>
            <w:r>
              <w:rPr/>
              <w:t xml:space="preserve"> Должны быть приняты меры для предотвращения повреждения устройств, в особенности микроэлектронных и полупроводниковых элементов.</w:t>
            </w:r>
          </w:p>
          <w:p>
            <w:pPr>
              <w:pStyle w:val="Normal"/>
              <w:ind w:firstLine="300"/>
              <w:jc w:val="both"/>
              <w:rPr/>
            </w:pPr>
            <w:r>
              <w:rPr>
                <w:vertAlign w:val="superscript"/>
              </w:rPr>
              <w:t>3)</w:t>
            </w:r>
            <w:r>
              <w:rPr/>
              <w:t xml:space="preserve"> Сопротивление изоляции измеряется между каждым проводом и землей, а также между каждыми двумя проводами.</w:t>
            </w:r>
          </w:p>
          <w:p>
            <w:pPr>
              <w:pStyle w:val="Normal"/>
              <w:ind w:firstLine="233"/>
              <w:jc w:val="both"/>
              <w:rPr/>
            </w:pPr>
            <w:r>
              <w:rPr>
                <w:vertAlign w:val="superscript"/>
              </w:rPr>
              <w:t>4)</w:t>
            </w:r>
            <w:r>
              <w:rPr/>
              <w:t xml:space="preserve"> Измеряется сопротивление изоляции каждой секции распределительного устройства.</w:t>
            </w:r>
          </w:p>
        </w:tc>
      </w:tr>
    </w:tbl>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35</w:t>
      </w:r>
    </w:p>
    <w:p>
      <w:pPr>
        <w:pStyle w:val="Normal"/>
        <w:spacing w:before="0" w:after="120"/>
        <w:jc w:val="center"/>
        <w:rPr/>
      </w:pPr>
      <w:r>
        <w:rPr>
          <w:b/>
          <w:bCs/>
          <w:i/>
          <w:iCs/>
        </w:rPr>
        <w:t>Испытание</w:t>
      </w:r>
      <w:r>
        <w:rPr>
          <w:b/>
          <w:bCs/>
        </w:rPr>
        <w:t xml:space="preserve"> </w:t>
      </w:r>
      <w:r>
        <w:rPr>
          <w:b/>
          <w:bCs/>
          <w:i/>
          <w:iCs/>
        </w:rPr>
        <w:t>контакторов</w:t>
      </w:r>
      <w:r>
        <w:rPr>
          <w:b/>
          <w:bCs/>
        </w:rPr>
        <w:t xml:space="preserve"> </w:t>
      </w:r>
      <w:r>
        <w:rPr>
          <w:b/>
          <w:bCs/>
          <w:i/>
          <w:iCs/>
        </w:rPr>
        <w:t>и</w:t>
      </w:r>
      <w:r>
        <w:rPr>
          <w:b/>
          <w:bCs/>
        </w:rPr>
        <w:t xml:space="preserve"> </w:t>
      </w:r>
      <w:r>
        <w:rPr>
          <w:b/>
          <w:bCs/>
          <w:i/>
          <w:iCs/>
        </w:rPr>
        <w:t>автоматических</w:t>
      </w:r>
      <w:r>
        <w:rPr>
          <w:b/>
          <w:bCs/>
        </w:rPr>
        <w:t xml:space="preserve"> </w:t>
      </w:r>
      <w:r>
        <w:rPr>
          <w:b/>
          <w:bCs/>
          <w:i/>
          <w:iCs/>
        </w:rPr>
        <w:t>выключателей</w:t>
      </w:r>
      <w:r>
        <w:rPr>
          <w:b/>
          <w:bCs/>
        </w:rPr>
        <w:t xml:space="preserve"> </w:t>
      </w:r>
      <w:r>
        <w:rPr>
          <w:b/>
          <w:bCs/>
          <w:i/>
          <w:iCs/>
        </w:rPr>
        <w:t>многократными</w:t>
      </w:r>
      <w:r>
        <w:rPr>
          <w:b/>
          <w:bCs/>
        </w:rPr>
        <w:t xml:space="preserve"> </w:t>
      </w:r>
      <w:r>
        <w:rPr>
          <w:b/>
          <w:bCs/>
          <w:i/>
          <w:iCs/>
        </w:rPr>
        <w:t>включениями</w:t>
      </w:r>
      <w:r>
        <w:rPr>
          <w:b/>
          <w:bCs/>
        </w:rPr>
        <w:t xml:space="preserve"> </w:t>
      </w:r>
      <w:r>
        <w:rPr>
          <w:b/>
          <w:bCs/>
          <w:i/>
          <w:iCs/>
        </w:rPr>
        <w:t>и</w:t>
      </w:r>
      <w:r>
        <w:rPr>
          <w:b/>
          <w:bCs/>
        </w:rPr>
        <w:t xml:space="preserve"> </w:t>
      </w:r>
      <w:r>
        <w:rPr>
          <w:b/>
          <w:bCs/>
          <w:i/>
          <w:iCs/>
        </w:rPr>
        <w:t>отключениями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943"/>
        <w:gridCol w:w="4787"/>
        <w:gridCol w:w="2625"/>
      </w:tblGrid>
      <w:tr>
        <w:trPr>
          <w:tblHeader w:val="true"/>
        </w:trPr>
        <w:tc>
          <w:tcPr>
            <w:tcW w:w="1943"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Операция</w:t>
            </w:r>
          </w:p>
        </w:tc>
        <w:tc>
          <w:tcPr>
            <w:tcW w:w="4787"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Напряжение оперативного тока, % номинального</w:t>
            </w:r>
          </w:p>
        </w:tc>
        <w:tc>
          <w:tcPr>
            <w:tcW w:w="262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Количество операций</w:t>
            </w:r>
          </w:p>
        </w:tc>
      </w:tr>
      <w:tr>
        <w:trPr/>
        <w:tc>
          <w:tcPr>
            <w:tcW w:w="1943" w:type="dxa"/>
            <w:tcBorders>
              <w:left w:val="single" w:sz="8" w:space="0" w:color="000000"/>
            </w:tcBorders>
            <w:shd w:fill="auto" w:val="clear"/>
          </w:tcPr>
          <w:p>
            <w:pPr>
              <w:pStyle w:val="Normal"/>
              <w:jc w:val="center"/>
              <w:rPr/>
            </w:pPr>
            <w:r>
              <w:rPr/>
              <w:t>Включение</w:t>
            </w:r>
          </w:p>
        </w:tc>
        <w:tc>
          <w:tcPr>
            <w:tcW w:w="4787" w:type="dxa"/>
            <w:tcBorders>
              <w:left w:val="single" w:sz="8" w:space="0" w:color="000000"/>
            </w:tcBorders>
            <w:shd w:fill="auto" w:val="clear"/>
            <w:tcMar>
              <w:left w:w="0" w:type="dxa"/>
              <w:right w:w="0" w:type="dxa"/>
            </w:tcMar>
          </w:tcPr>
          <w:p>
            <w:pPr>
              <w:pStyle w:val="Normal"/>
              <w:jc w:val="center"/>
              <w:rPr/>
            </w:pPr>
            <w:r>
              <w:rPr/>
              <w:t>90</w:t>
            </w:r>
          </w:p>
        </w:tc>
        <w:tc>
          <w:tcPr>
            <w:tcW w:w="2625"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5</w:t>
            </w:r>
          </w:p>
        </w:tc>
      </w:tr>
      <w:tr>
        <w:trPr/>
        <w:tc>
          <w:tcPr>
            <w:tcW w:w="1943" w:type="dxa"/>
            <w:tcBorders>
              <w:left w:val="single" w:sz="8" w:space="0" w:color="000000"/>
              <w:bottom w:val="single" w:sz="8" w:space="0" w:color="000000"/>
              <w:insideH w:val="single" w:sz="8" w:space="0" w:color="000000"/>
            </w:tcBorders>
            <w:shd w:fill="auto" w:val="clear"/>
          </w:tcPr>
          <w:p>
            <w:pPr>
              <w:pStyle w:val="Normal"/>
              <w:jc w:val="center"/>
              <w:rPr/>
            </w:pPr>
            <w:r>
              <w:rPr/>
              <w:t>Отключение</w:t>
            </w:r>
          </w:p>
        </w:tc>
        <w:tc>
          <w:tcPr>
            <w:tcW w:w="478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80</w:t>
            </w:r>
          </w:p>
        </w:tc>
        <w:tc>
          <w:tcPr>
            <w:tcW w:w="262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5</w:t>
            </w:r>
          </w:p>
        </w:tc>
      </w:tr>
    </w:tbl>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36</w:t>
      </w:r>
    </w:p>
    <w:p>
      <w:pPr>
        <w:pStyle w:val="Normal"/>
        <w:spacing w:before="0" w:after="120"/>
        <w:jc w:val="center"/>
        <w:rPr/>
      </w:pPr>
      <w:r>
        <w:rPr>
          <w:b/>
          <w:bCs/>
          <w:i/>
          <w:iCs/>
        </w:rPr>
        <w:t>Напряжение</w:t>
      </w:r>
      <w:r>
        <w:rPr>
          <w:b/>
          <w:bCs/>
        </w:rPr>
        <w:t xml:space="preserve"> </w:t>
      </w:r>
      <w:r>
        <w:rPr>
          <w:b/>
          <w:bCs/>
          <w:i/>
          <w:iCs/>
        </w:rPr>
        <w:t>оперативного</w:t>
      </w:r>
      <w:r>
        <w:rPr>
          <w:b/>
          <w:bCs/>
        </w:rPr>
        <w:t xml:space="preserve"> </w:t>
      </w:r>
      <w:r>
        <w:rPr>
          <w:b/>
          <w:bCs/>
          <w:i/>
          <w:iCs/>
        </w:rPr>
        <w:t>тока</w:t>
      </w:r>
      <w:r>
        <w:rPr>
          <w:b/>
          <w:bCs/>
        </w:rPr>
        <w:t xml:space="preserve">, </w:t>
      </w:r>
      <w:r>
        <w:rPr>
          <w:b/>
          <w:bCs/>
          <w:i/>
          <w:iCs/>
        </w:rPr>
        <w:t>при</w:t>
      </w:r>
      <w:r>
        <w:rPr>
          <w:b/>
          <w:bCs/>
        </w:rPr>
        <w:t xml:space="preserve"> </w:t>
      </w:r>
      <w:r>
        <w:rPr>
          <w:b/>
          <w:bCs/>
          <w:i/>
          <w:iCs/>
        </w:rPr>
        <w:t>котором</w:t>
      </w:r>
      <w:r>
        <w:rPr>
          <w:b/>
          <w:bCs/>
        </w:rPr>
        <w:t xml:space="preserve"> </w:t>
      </w:r>
      <w:r>
        <w:rPr>
          <w:b/>
          <w:bCs/>
          <w:i/>
          <w:iCs/>
        </w:rPr>
        <w:t>должно</w:t>
      </w:r>
      <w:r>
        <w:rPr>
          <w:b/>
          <w:bCs/>
        </w:rPr>
        <w:t xml:space="preserve"> </w:t>
      </w:r>
      <w:r>
        <w:rPr>
          <w:b/>
          <w:bCs/>
          <w:i/>
          <w:iCs/>
        </w:rPr>
        <w:t>обеспечиваться</w:t>
      </w:r>
      <w:r>
        <w:rPr>
          <w:b/>
          <w:bCs/>
        </w:rPr>
        <w:t xml:space="preserve"> </w:t>
      </w:r>
      <w:r>
        <w:rPr>
          <w:b/>
          <w:bCs/>
          <w:i/>
          <w:iCs/>
        </w:rPr>
        <w:t>нормальное</w:t>
      </w:r>
      <w:r>
        <w:rPr>
          <w:b/>
          <w:bCs/>
        </w:rPr>
        <w:t xml:space="preserve"> </w:t>
      </w:r>
      <w:r>
        <w:rPr>
          <w:b/>
          <w:bCs/>
          <w:i/>
          <w:iCs/>
        </w:rPr>
        <w:t>функционирование</w:t>
      </w:r>
      <w:r>
        <w:rPr>
          <w:b/>
          <w:bCs/>
        </w:rPr>
        <w:t xml:space="preserve"> </w:t>
      </w:r>
      <w:r>
        <w:rPr>
          <w:b/>
          <w:bCs/>
          <w:i/>
          <w:iCs/>
        </w:rPr>
        <w:t>схем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458"/>
        <w:gridCol w:w="2393"/>
        <w:gridCol w:w="3504"/>
      </w:tblGrid>
      <w:tr>
        <w:trPr>
          <w:tblHeader w:val="true"/>
        </w:trPr>
        <w:tc>
          <w:tcPr>
            <w:tcW w:w="3458"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Испытуемый объект</w:t>
            </w:r>
          </w:p>
        </w:tc>
        <w:tc>
          <w:tcPr>
            <w:tcW w:w="2393"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Напряжение оперативного тока, % номинального</w:t>
            </w:r>
          </w:p>
        </w:tc>
        <w:tc>
          <w:tcPr>
            <w:tcW w:w="350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Примечание</w:t>
            </w:r>
          </w:p>
        </w:tc>
      </w:tr>
      <w:tr>
        <w:trPr/>
        <w:tc>
          <w:tcPr>
            <w:tcW w:w="3458" w:type="dxa"/>
            <w:tcBorders>
              <w:left w:val="single" w:sz="8" w:space="0" w:color="000000"/>
            </w:tcBorders>
            <w:shd w:fill="auto" w:val="clear"/>
          </w:tcPr>
          <w:p>
            <w:pPr>
              <w:pStyle w:val="Normal"/>
              <w:jc w:val="both"/>
              <w:rPr/>
            </w:pPr>
            <w:r>
              <w:rPr/>
              <w:t>Схемы защиты и сигнализации в установках напряжением выше 1 кВ</w:t>
            </w:r>
          </w:p>
        </w:tc>
        <w:tc>
          <w:tcPr>
            <w:tcW w:w="2393" w:type="dxa"/>
            <w:tcBorders>
              <w:left w:val="single" w:sz="8" w:space="0" w:color="000000"/>
            </w:tcBorders>
            <w:shd w:fill="auto" w:val="clear"/>
            <w:tcMar>
              <w:left w:w="0" w:type="dxa"/>
              <w:right w:w="0" w:type="dxa"/>
            </w:tcMar>
          </w:tcPr>
          <w:p>
            <w:pPr>
              <w:pStyle w:val="Normal"/>
              <w:jc w:val="center"/>
              <w:rPr/>
            </w:pPr>
            <w:r>
              <w:rPr/>
              <w:t>80, 100</w:t>
            </w:r>
          </w:p>
        </w:tc>
        <w:tc>
          <w:tcPr>
            <w:tcW w:w="3504"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3458" w:type="dxa"/>
            <w:tcBorders>
              <w:left w:val="single" w:sz="8" w:space="0" w:color="000000"/>
            </w:tcBorders>
            <w:shd w:fill="auto" w:val="clear"/>
          </w:tcPr>
          <w:p>
            <w:pPr>
              <w:pStyle w:val="Normal"/>
              <w:jc w:val="both"/>
              <w:rPr/>
            </w:pPr>
            <w:r>
              <w:rPr/>
              <w:t>Схемы управления в установках напряжением выше 1 кВ:</w:t>
            </w:r>
          </w:p>
        </w:tc>
        <w:tc>
          <w:tcPr>
            <w:tcW w:w="2393" w:type="dxa"/>
            <w:tcBorders>
              <w:left w:val="single" w:sz="8" w:space="0" w:color="000000"/>
            </w:tcBorders>
            <w:shd w:fill="auto" w:val="clear"/>
            <w:tcMar>
              <w:left w:w="0" w:type="dxa"/>
              <w:right w:w="0" w:type="dxa"/>
            </w:tcMar>
          </w:tcPr>
          <w:p>
            <w:pPr>
              <w:pStyle w:val="Normal"/>
              <w:snapToGrid w:val="false"/>
              <w:rPr/>
            </w:pPr>
            <w:r>
              <w:rPr/>
            </w:r>
          </w:p>
        </w:tc>
        <w:tc>
          <w:tcPr>
            <w:tcW w:w="3504"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3458" w:type="dxa"/>
            <w:tcBorders>
              <w:left w:val="single" w:sz="8" w:space="0" w:color="000000"/>
            </w:tcBorders>
            <w:shd w:fill="auto" w:val="clear"/>
          </w:tcPr>
          <w:p>
            <w:pPr>
              <w:pStyle w:val="Normal"/>
              <w:ind w:left="546" w:hanging="0"/>
              <w:jc w:val="both"/>
              <w:rPr/>
            </w:pPr>
            <w:r>
              <w:rPr/>
              <w:t>испытание на включение</w:t>
            </w:r>
          </w:p>
        </w:tc>
        <w:tc>
          <w:tcPr>
            <w:tcW w:w="2393" w:type="dxa"/>
            <w:tcBorders>
              <w:left w:val="single" w:sz="8" w:space="0" w:color="000000"/>
            </w:tcBorders>
            <w:shd w:fill="auto" w:val="clear"/>
            <w:tcMar>
              <w:left w:w="0" w:type="dxa"/>
              <w:right w:w="0" w:type="dxa"/>
            </w:tcMar>
          </w:tcPr>
          <w:p>
            <w:pPr>
              <w:pStyle w:val="Normal"/>
              <w:jc w:val="center"/>
              <w:rPr/>
            </w:pPr>
            <w:r>
              <w:rPr/>
              <w:t>90, 100</w:t>
            </w:r>
          </w:p>
        </w:tc>
        <w:tc>
          <w:tcPr>
            <w:tcW w:w="3504"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3458" w:type="dxa"/>
            <w:tcBorders>
              <w:left w:val="single" w:sz="8" w:space="0" w:color="000000"/>
            </w:tcBorders>
            <w:shd w:fill="auto" w:val="clear"/>
          </w:tcPr>
          <w:p>
            <w:pPr>
              <w:pStyle w:val="Normal"/>
              <w:ind w:left="546" w:hanging="0"/>
              <w:jc w:val="both"/>
              <w:rPr/>
            </w:pPr>
            <w:r>
              <w:rPr/>
              <w:t>то же, но на отключение</w:t>
            </w:r>
          </w:p>
        </w:tc>
        <w:tc>
          <w:tcPr>
            <w:tcW w:w="2393" w:type="dxa"/>
            <w:tcBorders>
              <w:left w:val="single" w:sz="8" w:space="0" w:color="000000"/>
            </w:tcBorders>
            <w:shd w:fill="auto" w:val="clear"/>
            <w:tcMar>
              <w:left w:w="0" w:type="dxa"/>
              <w:right w:w="0" w:type="dxa"/>
            </w:tcMar>
          </w:tcPr>
          <w:p>
            <w:pPr>
              <w:pStyle w:val="Normal"/>
              <w:jc w:val="center"/>
              <w:rPr/>
            </w:pPr>
            <w:r>
              <w:rPr/>
              <w:t>80, 100</w:t>
            </w:r>
          </w:p>
        </w:tc>
        <w:tc>
          <w:tcPr>
            <w:tcW w:w="3504"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snapToGrid w:val="false"/>
              <w:rPr/>
            </w:pPr>
            <w:r>
              <w:rPr/>
            </w:r>
          </w:p>
        </w:tc>
      </w:tr>
      <w:tr>
        <w:trPr/>
        <w:tc>
          <w:tcPr>
            <w:tcW w:w="3458" w:type="dxa"/>
            <w:tcBorders>
              <w:left w:val="single" w:sz="8" w:space="0" w:color="000000"/>
            </w:tcBorders>
            <w:shd w:fill="auto" w:val="clear"/>
          </w:tcPr>
          <w:p>
            <w:pPr>
              <w:pStyle w:val="Normal"/>
              <w:jc w:val="both"/>
              <w:rPr/>
            </w:pPr>
            <w:r>
              <w:rPr/>
              <w:t>Релейно-контакторные схемы в установках напряжением до 1 кВ</w:t>
            </w:r>
          </w:p>
        </w:tc>
        <w:tc>
          <w:tcPr>
            <w:tcW w:w="2393" w:type="dxa"/>
            <w:tcBorders>
              <w:left w:val="single" w:sz="8" w:space="0" w:color="000000"/>
            </w:tcBorders>
            <w:shd w:fill="auto" w:val="clear"/>
            <w:tcMar>
              <w:left w:w="0" w:type="dxa"/>
              <w:right w:w="0" w:type="dxa"/>
            </w:tcMar>
          </w:tcPr>
          <w:p>
            <w:pPr>
              <w:pStyle w:val="Normal"/>
              <w:jc w:val="center"/>
              <w:rPr/>
            </w:pPr>
            <w:r>
              <w:rPr/>
              <w:t>90, 100</w:t>
            </w:r>
          </w:p>
        </w:tc>
        <w:tc>
          <w:tcPr>
            <w:tcW w:w="3504"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both"/>
              <w:rPr/>
            </w:pPr>
            <w:r>
              <w:rPr/>
              <w:t>Для простых схем кнопка - магнитный пускатель проверка работы на пониженном напряжении не производится.</w:t>
            </w:r>
          </w:p>
        </w:tc>
      </w:tr>
      <w:tr>
        <w:trPr/>
        <w:tc>
          <w:tcPr>
            <w:tcW w:w="3458" w:type="dxa"/>
            <w:tcBorders>
              <w:left w:val="single" w:sz="8" w:space="0" w:color="000000"/>
              <w:bottom w:val="single" w:sz="8" w:space="0" w:color="000000"/>
              <w:insideH w:val="single" w:sz="8" w:space="0" w:color="000000"/>
            </w:tcBorders>
            <w:shd w:fill="auto" w:val="clear"/>
          </w:tcPr>
          <w:p>
            <w:pPr>
              <w:pStyle w:val="Normal"/>
              <w:jc w:val="both"/>
              <w:rPr/>
            </w:pPr>
            <w:r>
              <w:rPr/>
              <w:t>Бесконтактные схемы на логических элементах</w:t>
            </w:r>
          </w:p>
        </w:tc>
        <w:tc>
          <w:tcPr>
            <w:tcW w:w="2393"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85, 100, 110</w:t>
            </w:r>
          </w:p>
        </w:tc>
        <w:tc>
          <w:tcPr>
            <w:tcW w:w="3504"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both"/>
              <w:rPr/>
            </w:pPr>
            <w:r>
              <w:rPr/>
              <w:t>Изменение напряжения производится на входе в блок питания.</w:t>
            </w:r>
          </w:p>
        </w:tc>
      </w:tr>
    </w:tbl>
    <w:p>
      <w:pPr>
        <w:pStyle w:val="Heading3"/>
        <w:rPr/>
      </w:pPr>
      <w:r>
        <w:rPr/>
        <w:t>1.8.38. Аккумуляторные батареи</w:t>
      </w:r>
    </w:p>
    <w:p>
      <w:pPr>
        <w:pStyle w:val="Normal"/>
        <w:ind w:firstLine="283"/>
        <w:jc w:val="both"/>
        <w:rPr>
          <w:b/>
          <w:b/>
          <w:bCs/>
        </w:rPr>
      </w:pPr>
      <w:r>
        <w:rPr>
          <w:b/>
          <w:bCs/>
        </w:rPr>
        <w:t>1. Измерение сопротивления изоляции.</w:t>
      </w:r>
    </w:p>
    <w:p>
      <w:pPr>
        <w:pStyle w:val="Normal"/>
        <w:ind w:firstLine="283"/>
        <w:jc w:val="both"/>
        <w:rPr/>
      </w:pPr>
      <w:r>
        <w:rPr/>
        <w:t>Измерение производится вольтметром (внутреннее сопротивление вольтметра должно быть точно известно, класс не ниже 1).</w:t>
      </w:r>
    </w:p>
    <w:p>
      <w:pPr>
        <w:pStyle w:val="Normal"/>
        <w:ind w:firstLine="283"/>
        <w:jc w:val="both"/>
        <w:rPr/>
      </w:pPr>
      <w:r>
        <w:rPr/>
        <w:t>При полностью снятой нагрузке должно быть измерено напряжение батареи на зажимах и между каждым из зажимов и землей.</w:t>
      </w:r>
    </w:p>
    <w:p>
      <w:pPr>
        <w:pStyle w:val="Normal"/>
        <w:ind w:firstLine="283"/>
        <w:jc w:val="both"/>
        <w:rPr/>
      </w:pPr>
      <w:r>
        <w:rPr/>
        <w:t xml:space="preserve">Сопротивление изоляции </w:t>
      </w:r>
      <w:r>
        <w:rPr>
          <w:i/>
          <w:iCs/>
        </w:rPr>
        <w:t>R</w:t>
      </w:r>
      <w:r>
        <w:rPr>
          <w:i/>
          <w:iCs/>
          <w:vertAlign w:val="subscript"/>
        </w:rPr>
        <w:t>x</w:t>
      </w:r>
      <w:r>
        <w:rPr/>
        <w:t xml:space="preserve"> вычисляется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390650" cy="476250"/>
            <wp:effectExtent l="0" t="0" r="0" b="0"/>
            <wp:docPr id="18" name="image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8" descr=""/>
                    <pic:cNvPicPr>
                      <a:picLocks noChangeAspect="1" noChangeArrowheads="1"/>
                    </pic:cNvPicPr>
                  </pic:nvPicPr>
                  <pic:blipFill>
                    <a:blip r:embed="rId26"/>
                    <a:srcRect l="-25" t="-75" r="-25" b="-75"/>
                    <a:stretch>
                      <a:fillRect/>
                    </a:stretch>
                  </pic:blipFill>
                  <pic:spPr bwMode="auto">
                    <a:xfrm>
                      <a:off x="0" y="0"/>
                      <a:ext cx="1390650" cy="476250"/>
                    </a:xfrm>
                    <a:prstGeom prst="rect">
                      <a:avLst/>
                    </a:prstGeom>
                  </pic:spPr>
                </pic:pic>
              </a:graphicData>
            </a:graphic>
          </wp:inline>
        </w:drawing>
      </w:r>
    </w:p>
    <w:p>
      <w:pPr>
        <w:pStyle w:val="Normal"/>
        <w:jc w:val="both"/>
        <w:rPr/>
      </w:pPr>
      <w:r>
        <w:rPr/>
        <w:t xml:space="preserve">где </w:t>
      </w:r>
      <w:r>
        <w:rPr>
          <w:i/>
          <w:iCs/>
        </w:rPr>
        <w:t>R</w:t>
      </w:r>
      <w:r>
        <w:rPr>
          <w:i/>
          <w:iCs/>
          <w:vertAlign w:val="subscript"/>
        </w:rPr>
        <w:t>q</w:t>
      </w:r>
      <w:r>
        <w:rPr/>
        <w:t xml:space="preserve"> - внутреннее сопротивление вольтметра; </w:t>
      </w:r>
      <w:r>
        <w:rPr>
          <w:i/>
          <w:iCs/>
        </w:rPr>
        <w:t xml:space="preserve">U </w:t>
      </w:r>
      <w:r>
        <w:rPr/>
        <w:t xml:space="preserve">- напряжение на зажимах батареи; </w:t>
      </w:r>
      <w:r>
        <w:rPr>
          <w:i/>
          <w:iCs/>
        </w:rPr>
        <w:t>U</w:t>
      </w:r>
      <w:r>
        <w:rPr>
          <w:vertAlign w:val="subscript"/>
        </w:rPr>
        <w:t>1</w:t>
      </w:r>
      <w:r>
        <w:rPr/>
        <w:t xml:space="preserve"> и </w:t>
      </w:r>
      <w:r>
        <w:rPr>
          <w:i/>
          <w:iCs/>
        </w:rPr>
        <w:t>U</w:t>
      </w:r>
      <w:r>
        <w:rPr>
          <w:vertAlign w:val="subscript"/>
        </w:rPr>
        <w:t>2</w:t>
      </w:r>
      <w:r>
        <w:rPr/>
        <w:t xml:space="preserve"> - напряжение между положительным зажимом и землей и отрицательным зажимом и землей.</w:t>
      </w:r>
    </w:p>
    <w:p>
      <w:pPr>
        <w:pStyle w:val="Normal"/>
        <w:ind w:firstLine="283"/>
        <w:jc w:val="both"/>
        <w:rPr/>
      </w:pPr>
      <w:r>
        <w:rPr/>
        <w:t>Сопротивление изоляции батареи должно быть не менее указанного ниже:</w:t>
      </w:r>
    </w:p>
    <w:p>
      <w:pPr>
        <w:pStyle w:val="Normal"/>
        <w:ind w:firstLine="283"/>
        <w:jc w:val="both"/>
        <w:rPr/>
      </w:pPr>
      <w:r>
        <w:rPr/>
        <w:t>Номинальное напряжение, В      24         48         110      220</w:t>
      </w:r>
    </w:p>
    <w:p>
      <w:pPr>
        <w:pStyle w:val="Normal"/>
        <w:ind w:firstLine="283"/>
        <w:jc w:val="both"/>
        <w:rPr/>
      </w:pPr>
      <w:r>
        <w:rPr/>
        <w:t>Сопротивление, кОм                   60         60         60        150</w:t>
      </w:r>
    </w:p>
    <w:p>
      <w:pPr>
        <w:pStyle w:val="Normal"/>
        <w:ind w:firstLine="283"/>
        <w:jc w:val="both"/>
        <w:rPr>
          <w:b/>
          <w:b/>
          <w:bCs/>
        </w:rPr>
      </w:pPr>
      <w:r>
        <w:rPr>
          <w:b/>
          <w:bCs/>
        </w:rPr>
        <w:t>2. Проверка емкости отформованной аккумуляторной батареи.</w:t>
      </w:r>
    </w:p>
    <w:p>
      <w:pPr>
        <w:pStyle w:val="Normal"/>
        <w:ind w:firstLine="283"/>
        <w:jc w:val="both"/>
        <w:rPr/>
      </w:pPr>
      <w:r>
        <w:rPr/>
        <w:t>Полностью заряженные аккумуляторы разряжают током 3-или 10-часового режима.</w:t>
      </w:r>
    </w:p>
    <w:p>
      <w:pPr>
        <w:pStyle w:val="Normal"/>
        <w:ind w:firstLine="283"/>
        <w:jc w:val="both"/>
        <w:rPr/>
      </w:pPr>
      <w:r>
        <w:rPr/>
        <w:t>Емкость аккумуляторной батареи, приведенная к температуре +25 °С, должна соответствовать данным завода-изготовителя.</w:t>
      </w:r>
    </w:p>
    <w:p>
      <w:pPr>
        <w:pStyle w:val="Normal"/>
        <w:ind w:firstLine="283"/>
        <w:jc w:val="both"/>
        <w:rPr>
          <w:b/>
          <w:b/>
          <w:bCs/>
        </w:rPr>
      </w:pPr>
      <w:r>
        <w:rPr>
          <w:b/>
          <w:bCs/>
        </w:rPr>
        <w:t>3. Проверка электролита.</w:t>
      </w:r>
    </w:p>
    <w:p>
      <w:pPr>
        <w:pStyle w:val="Normal"/>
        <w:ind w:firstLine="283"/>
        <w:jc w:val="both"/>
        <w:rPr/>
      </w:pPr>
      <w:r>
        <w:rPr/>
        <w:t>Плотность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p>
    <w:p>
      <w:pPr>
        <w:pStyle w:val="Normal"/>
        <w:ind w:firstLine="283"/>
        <w:jc w:val="both"/>
        <w:rPr>
          <w:b/>
          <w:b/>
          <w:bCs/>
        </w:rPr>
      </w:pPr>
      <w:r>
        <w:rPr>
          <w:b/>
          <w:bCs/>
        </w:rPr>
        <w:t>4. Химический анализ электролита.</w:t>
      </w:r>
    </w:p>
    <w:p>
      <w:pPr>
        <w:pStyle w:val="Normal"/>
        <w:ind w:firstLine="283"/>
        <w:jc w:val="both"/>
        <w:rPr/>
      </w:pPr>
      <w:r>
        <w:rPr/>
        <w:t>Электролит для заливки кислотных аккумуляторных батарей должен готовиться из серной аккумуляторной кислоты сорта А по ГОСТ 667-73 и дистиллированной воды по ГОСТ 6709-72.</w:t>
      </w:r>
    </w:p>
    <w:p>
      <w:pPr>
        <w:pStyle w:val="Normal"/>
        <w:ind w:firstLine="283"/>
        <w:jc w:val="both"/>
        <w:rPr/>
      </w:pPr>
      <w:r>
        <w:rPr/>
        <w:t>Содержание примесей и нелетучего остатка в разведенном электролите не должно превышать значений, приведенных в табл. 1.8.37.</w:t>
      </w:r>
    </w:p>
    <w:p>
      <w:pPr>
        <w:pStyle w:val="Normal"/>
        <w:ind w:firstLine="283"/>
        <w:jc w:val="both"/>
        <w:rPr>
          <w:b/>
          <w:b/>
          <w:bCs/>
        </w:rPr>
      </w:pPr>
      <w:r>
        <w:rPr>
          <w:b/>
          <w:bCs/>
        </w:rPr>
        <w:t>5. Измерение напряжения на элементах.</w:t>
      </w:r>
    </w:p>
    <w:p>
      <w:pPr>
        <w:pStyle w:val="Normal"/>
        <w:ind w:firstLine="283"/>
        <w:jc w:val="both"/>
        <w:rPr/>
      </w:pPr>
      <w:r>
        <w:rPr/>
        <w:t>Напряжение отстающих элементов в конце разряда не должно отличаться более чем на 1 - 1,5 % от среднего напряжения остальных элементов, а количество отстающих элементов должно быть не более 5 % их общего количества в батарее. Значение напряжения в конце разряда должно соответствовать данным завода-изготовителя.</w:t>
      </w:r>
    </w:p>
    <w:p>
      <w:pPr>
        <w:pStyle w:val="Heading3"/>
        <w:rPr/>
      </w:pPr>
      <w:r>
        <w:rPr/>
        <w:t>1.8.39. Заземляющие устройства</w:t>
      </w:r>
    </w:p>
    <w:p>
      <w:pPr>
        <w:pStyle w:val="Normal"/>
        <w:ind w:firstLine="283"/>
        <w:jc w:val="both"/>
        <w:rPr>
          <w:b/>
          <w:b/>
          <w:bCs/>
        </w:rPr>
      </w:pPr>
      <w:r>
        <w:rPr>
          <w:b/>
          <w:bCs/>
        </w:rPr>
        <w:t>1. Проверка элементов заземляющего устройства.</w:t>
      </w:r>
    </w:p>
    <w:p>
      <w:pPr>
        <w:pStyle w:val="Normal"/>
        <w:ind w:firstLine="283"/>
        <w:jc w:val="both"/>
        <w:rPr/>
      </w:pPr>
      <w:r>
        <w:rPr/>
        <w:t>Проверку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включая главную заземляющую шину, должны соответствовать требованиям настоящих Правил и проектным данным.</w:t>
      </w:r>
    </w:p>
    <w:p>
      <w:pPr>
        <w:pStyle w:val="Normal"/>
        <w:ind w:firstLine="283"/>
        <w:jc w:val="both"/>
        <w:rPr>
          <w:b/>
          <w:b/>
          <w:bCs/>
        </w:rPr>
      </w:pPr>
      <w:r>
        <w:rPr>
          <w:b/>
          <w:bCs/>
        </w:rPr>
        <w:t>2. Проверка цепи между заземлителями и заземляемыми элементами.</w:t>
      </w:r>
    </w:p>
    <w:p>
      <w:pPr>
        <w:pStyle w:val="Normal"/>
        <w:ind w:firstLine="283"/>
        <w:jc w:val="both"/>
        <w:rPr/>
      </w:pPr>
      <w:r>
        <w:rP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молотка.</w:t>
      </w:r>
    </w:p>
    <w:p>
      <w:pPr>
        <w:pStyle w:val="Normal"/>
        <w:ind w:firstLine="283"/>
        <w:jc w:val="both"/>
        <w:rPr>
          <w:b/>
          <w:b/>
          <w:bCs/>
        </w:rPr>
      </w:pPr>
      <w:r>
        <w:rPr>
          <w:b/>
          <w:bCs/>
        </w:rPr>
        <w:t>3. Проверка состояния пробивных предохранителей в электроустановках до 1 кВ.</w:t>
      </w:r>
    </w:p>
    <w:p>
      <w:pPr>
        <w:pStyle w:val="Normal"/>
        <w:ind w:firstLine="283"/>
        <w:jc w:val="both"/>
        <w:rPr/>
      </w:pPr>
      <w:r>
        <w:rPr/>
        <w:t>Пробивные предохранители должны быть исправны и соответствовать номинальному напряжению электроустановки.</w:t>
      </w:r>
    </w:p>
    <w:p>
      <w:pPr>
        <w:pStyle w:val="Normal"/>
        <w:ind w:firstLine="283"/>
        <w:jc w:val="both"/>
        <w:rPr>
          <w:b/>
          <w:b/>
          <w:bCs/>
        </w:rPr>
      </w:pPr>
      <w:r>
        <w:rPr>
          <w:b/>
          <w:bCs/>
        </w:rPr>
        <w:t>4. Проверка цепи фаза - нуль в электроустановках до 1 кВ с системой TN.</w:t>
      </w:r>
    </w:p>
    <w:p>
      <w:pPr>
        <w:pStyle w:val="Normal"/>
        <w:ind w:firstLine="283"/>
        <w:jc w:val="both"/>
        <w:rPr/>
      </w:pPr>
      <w:r>
        <w:rPr/>
        <w:t xml:space="preserve">Проверка производится одним из следующих способов: </w:t>
      </w:r>
    </w:p>
    <w:p>
      <w:pPr>
        <w:pStyle w:val="Normal"/>
        <w:ind w:firstLine="283"/>
        <w:jc w:val="both"/>
        <w:rPr/>
      </w:pPr>
      <w:r>
        <w:rPr/>
        <w:t>- непосредственным измерением тока однофазного замыкания на корпус или нулевой защитный проводник;</w:t>
      </w:r>
    </w:p>
    <w:p>
      <w:pPr>
        <w:pStyle w:val="Normal"/>
        <w:ind w:firstLine="284"/>
        <w:jc w:val="both"/>
        <w:rPr/>
      </w:pPr>
      <w:r>
        <w:rPr/>
        <w:t>- измерением полного сопротивления цепи фаза - нулевой защитный проводник с последующим вычислением тока однофазного замыкания.</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37</w:t>
      </w:r>
    </w:p>
    <w:p>
      <w:pPr>
        <w:pStyle w:val="Normal"/>
        <w:spacing w:before="0" w:after="120"/>
        <w:jc w:val="center"/>
        <w:rPr/>
      </w:pPr>
      <w:r>
        <w:rPr>
          <w:b/>
          <w:bCs/>
          <w:i/>
          <w:iCs/>
        </w:rPr>
        <w:t>Нормы</w:t>
      </w:r>
      <w:r>
        <w:rPr>
          <w:b/>
          <w:bCs/>
        </w:rPr>
        <w:t xml:space="preserve"> </w:t>
      </w:r>
      <w:r>
        <w:rPr>
          <w:b/>
          <w:bCs/>
          <w:i/>
          <w:iCs/>
        </w:rPr>
        <w:t>на</w:t>
      </w:r>
      <w:r>
        <w:rPr>
          <w:b/>
          <w:bCs/>
        </w:rPr>
        <w:t xml:space="preserve"> </w:t>
      </w:r>
      <w:r>
        <w:rPr>
          <w:b/>
          <w:bCs/>
          <w:i/>
          <w:iCs/>
        </w:rPr>
        <w:t>характеристики</w:t>
      </w:r>
      <w:r>
        <w:rPr>
          <w:b/>
          <w:bCs/>
        </w:rPr>
        <w:t xml:space="preserve"> </w:t>
      </w:r>
      <w:r>
        <w:rPr>
          <w:b/>
          <w:bCs/>
          <w:i/>
          <w:iCs/>
        </w:rPr>
        <w:t>серной</w:t>
      </w:r>
      <w:r>
        <w:rPr>
          <w:b/>
          <w:bCs/>
        </w:rPr>
        <w:t xml:space="preserve"> </w:t>
      </w:r>
      <w:r>
        <w:rPr>
          <w:b/>
          <w:bCs/>
          <w:i/>
          <w:iCs/>
        </w:rPr>
        <w:t>кислоты</w:t>
      </w:r>
      <w:r>
        <w:rPr>
          <w:b/>
          <w:bCs/>
        </w:rPr>
        <w:t xml:space="preserve"> </w:t>
      </w:r>
      <w:r>
        <w:rPr>
          <w:b/>
          <w:bCs/>
          <w:i/>
          <w:iCs/>
        </w:rPr>
        <w:t>и</w:t>
      </w:r>
      <w:r>
        <w:rPr>
          <w:b/>
          <w:bCs/>
        </w:rPr>
        <w:t xml:space="preserve"> </w:t>
      </w:r>
      <w:r>
        <w:rPr>
          <w:b/>
          <w:bCs/>
          <w:i/>
          <w:iCs/>
        </w:rPr>
        <w:t>электролита</w:t>
      </w:r>
      <w:r>
        <w:rPr>
          <w:b/>
          <w:bCs/>
        </w:rPr>
        <w:t xml:space="preserve"> </w:t>
      </w:r>
      <w:r>
        <w:rPr>
          <w:b/>
          <w:bCs/>
          <w:i/>
          <w:iCs/>
        </w:rPr>
        <w:t>для</w:t>
      </w:r>
      <w:r>
        <w:rPr>
          <w:b/>
          <w:bCs/>
        </w:rPr>
        <w:t xml:space="preserve"> </w:t>
      </w:r>
      <w:r>
        <w:rPr>
          <w:b/>
          <w:bCs/>
          <w:i/>
          <w:iCs/>
        </w:rPr>
        <w:t>аккумуляторных</w:t>
      </w:r>
      <w:r>
        <w:rPr>
          <w:b/>
          <w:bCs/>
        </w:rPr>
        <w:t xml:space="preserve"> </w:t>
      </w:r>
      <w:r>
        <w:rPr>
          <w:b/>
          <w:bCs/>
          <w:i/>
          <w:iCs/>
        </w:rPr>
        <w:t>батарей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450"/>
        <w:gridCol w:w="1474"/>
        <w:gridCol w:w="1953"/>
        <w:gridCol w:w="1478"/>
      </w:tblGrid>
      <w:tr>
        <w:trPr>
          <w:tblHeader w:val="true"/>
        </w:trPr>
        <w:tc>
          <w:tcPr>
            <w:tcW w:w="4450"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Показатель</w:t>
            </w:r>
          </w:p>
        </w:tc>
        <w:tc>
          <w:tcPr>
            <w:tcW w:w="1474"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Нормы для серной кислоты</w:t>
            </w:r>
          </w:p>
        </w:tc>
        <w:tc>
          <w:tcPr>
            <w:tcW w:w="3431"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Нормы для электролита</w:t>
            </w:r>
          </w:p>
        </w:tc>
      </w:tr>
      <w:tr>
        <w:trPr>
          <w:tblHeader w:val="true"/>
        </w:trPr>
        <w:tc>
          <w:tcPr>
            <w:tcW w:w="4450"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74" w:type="dxa"/>
            <w:tcBorders>
              <w:left w:val="single" w:sz="8" w:space="0" w:color="000000"/>
              <w:bottom w:val="single" w:sz="8" w:space="0" w:color="000000"/>
              <w:insideH w:val="single" w:sz="8" w:space="0" w:color="000000"/>
            </w:tcBorders>
            <w:shd w:fill="auto" w:val="clear"/>
            <w:vAlign w:val="center"/>
          </w:tcPr>
          <w:p>
            <w:pPr>
              <w:pStyle w:val="Normal"/>
              <w:jc w:val="center"/>
              <w:rPr/>
            </w:pPr>
            <w:r>
              <w:rPr/>
              <w:t>Высшего сорта</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Разведенная свежая кислота для заливки в аккумуляторы</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Электролит из работающего аккумулятора</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1. Внешний вид</w:t>
            </w:r>
          </w:p>
        </w:tc>
        <w:tc>
          <w:tcPr>
            <w:tcW w:w="1474"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Прозрачная</w:t>
            </w:r>
          </w:p>
        </w:tc>
        <w:tc>
          <w:tcPr>
            <w:tcW w:w="3431"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Прозрачная</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2. Интенсивность окраски (определяется колориметрическим способом), мл</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0,6</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0,6</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3. Плотность при температуре 20 °С, г/см</w:t>
            </w:r>
            <w:r>
              <w:rPr>
                <w:vertAlign w:val="superscript"/>
              </w:rPr>
              <w:t>3</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1,83 ÷ 1,84</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1,18 ± 0,005</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1,2 ÷ 1,21</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4. Содержание железа,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0,005</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0,006</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0,008</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5. Содержание нелетучего остатка после прокаливания,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0,02</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0,03</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6. Содержание окислов азота,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0,00003</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0,00005,</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7. Содержание мышьяка,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0,00005</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0,00005</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8. Содержание хлористых соединений,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0,0002</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0,0003</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0,0005</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9. Содержание марганца,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0,00005</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0,00005</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10. Содержание меди,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0,0005</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0,0005</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11. Содержание веществ, восстанавливающих марганцевокислый калий, мл 0,01Н раствора KMnO</w:t>
            </w:r>
            <w:r>
              <w:rPr>
                <w:vertAlign w:val="subscript"/>
              </w:rPr>
              <w:t>4</w:t>
            </w:r>
            <w:r>
              <w:rPr/>
              <w:t>,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4,5</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4450" w:type="dxa"/>
            <w:tcBorders>
              <w:left w:val="single" w:sz="8" w:space="0" w:color="000000"/>
              <w:bottom w:val="single" w:sz="8" w:space="0" w:color="000000"/>
              <w:insideH w:val="single" w:sz="8" w:space="0" w:color="000000"/>
            </w:tcBorders>
            <w:shd w:fill="auto" w:val="clear"/>
          </w:tcPr>
          <w:p>
            <w:pPr>
              <w:pStyle w:val="Normal"/>
              <w:jc w:val="both"/>
              <w:rPr/>
            </w:pPr>
            <w:r>
              <w:rPr/>
              <w:t>12. Содержание суммы тяжелых металлов в пересчете на свинец, %, не более</w:t>
            </w:r>
          </w:p>
        </w:tc>
        <w:tc>
          <w:tcPr>
            <w:tcW w:w="1474"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0,01</w:t>
            </w:r>
          </w:p>
        </w:tc>
        <w:tc>
          <w:tcPr>
            <w:tcW w:w="1953"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w:t>
            </w:r>
          </w:p>
        </w:tc>
        <w:tc>
          <w:tcPr>
            <w:tcW w:w="1478"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93"/>
              <w:jc w:val="both"/>
              <w:rPr/>
            </w:pPr>
            <w:r>
              <w:rPr>
                <w:i/>
                <w:iCs/>
                <w:spacing w:val="40"/>
              </w:rPr>
              <w:t>Примечание</w:t>
            </w:r>
            <w:r>
              <w:rPr/>
              <w:t>. Для дистиллированной воды допускается наличие тех же примесей, что допускает ГОСТ 667-73 для аккумуляторной кислоты, но в 10 раз меньшей концентрации.</w:t>
            </w:r>
          </w:p>
        </w:tc>
      </w:tr>
    </w:tbl>
    <w:p>
      <w:pPr>
        <w:pStyle w:val="Normal"/>
        <w:spacing w:before="120" w:after="0"/>
        <w:ind w:firstLine="283"/>
        <w:jc w:val="both"/>
        <w:rPr/>
      </w:pPr>
      <w:r>
        <w:rPr/>
        <w:t>Кратность 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главе 3.1 ПУЭ.</w:t>
      </w:r>
    </w:p>
    <w:p>
      <w:pPr>
        <w:pStyle w:val="Normal"/>
        <w:ind w:firstLine="283"/>
        <w:jc w:val="both"/>
        <w:rPr>
          <w:b/>
          <w:b/>
          <w:bCs/>
        </w:rPr>
      </w:pPr>
      <w:r>
        <w:rPr>
          <w:b/>
          <w:bCs/>
        </w:rPr>
        <w:t>5. Измерение сопротивления заземляющих устройств.</w:t>
      </w:r>
    </w:p>
    <w:p>
      <w:pPr>
        <w:pStyle w:val="Normal"/>
        <w:ind w:firstLine="283"/>
        <w:jc w:val="both"/>
        <w:rPr/>
      </w:pPr>
      <w:r>
        <w:rPr/>
        <w:t>Значения сопротивления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таблице 1.8.38.</w:t>
      </w:r>
    </w:p>
    <w:p>
      <w:pPr>
        <w:pStyle w:val="Normal"/>
        <w:ind w:firstLine="283"/>
        <w:jc w:val="both"/>
        <w:rPr>
          <w:b/>
          <w:b/>
          <w:bCs/>
        </w:rPr>
      </w:pPr>
      <w:r>
        <w:rPr>
          <w:b/>
          <w:bCs/>
        </w:rPr>
        <w:t>6. Измерение напряжения прикосновения (в электроустановках, выполненных по нормам на напряжение прикосновения).</w:t>
      </w:r>
    </w:p>
    <w:p>
      <w:pPr>
        <w:pStyle w:val="Normal"/>
        <w:ind w:firstLine="283"/>
        <w:jc w:val="both"/>
        <w:rPr/>
      </w:pPr>
      <w:r>
        <w:rPr/>
        <w:t>Измерение напряжения прикосновения производится при присоединенных естественных заземлителях.</w:t>
      </w:r>
    </w:p>
    <w:p>
      <w:pPr>
        <w:pStyle w:val="Normal"/>
        <w:ind w:firstLine="283"/>
        <w:jc w:val="both"/>
        <w:rPr/>
      </w:pPr>
      <w:r>
        <w:rPr/>
        <w:t>Напряжение прикосновения измеряется в контрольных точках, в которых эти значения определены расчетом при проектировании (см. также 1.7.91).</w:t>
      </w:r>
    </w:p>
    <w:p>
      <w:pPr>
        <w:pStyle w:val="Heading3"/>
        <w:rPr/>
      </w:pPr>
      <w:r>
        <w:rPr/>
        <w:t>1.8.40. Силовые кабельные линии</w:t>
      </w:r>
    </w:p>
    <w:p>
      <w:pPr>
        <w:pStyle w:val="Normal"/>
        <w:ind w:firstLine="283"/>
        <w:jc w:val="both"/>
        <w:rPr/>
      </w:pPr>
      <w:r>
        <w:rPr/>
        <w:t>Силовые кабельные линии напряжением до 1 кВ испытываются по пп. 1, 2, 7, 13, напряжением выше 1 кВ и до 35 кВ - по пп. 1 - 3, 6, 7, 11, 13, напряжением 110 кВ и выше - в полном объеме, предусмотренном настоящим параграфом.</w:t>
      </w:r>
    </w:p>
    <w:p>
      <w:pPr>
        <w:pStyle w:val="Normal"/>
        <w:ind w:firstLine="283"/>
        <w:jc w:val="both"/>
        <w:rPr/>
      </w:pPr>
      <w:r>
        <w:rPr>
          <w:b/>
          <w:bCs/>
        </w:rPr>
        <w:t>1. Проверка целостности и фазировки жил кабеля.</w:t>
      </w:r>
      <w:r>
        <w:rPr/>
        <w:t xml:space="preserve"> Проверяются целостность и совпадение обозначений фаз подключаемых жил кабеля.</w:t>
      </w:r>
    </w:p>
    <w:p>
      <w:pPr>
        <w:pStyle w:val="Normal"/>
        <w:ind w:firstLine="283"/>
        <w:jc w:val="both"/>
        <w:rPr/>
      </w:pPr>
      <w:r>
        <w:rPr>
          <w:b/>
          <w:bCs/>
        </w:rPr>
        <w:t>2. Измерение сопротивления изоляции.</w:t>
      </w:r>
      <w:r>
        <w:rPr/>
        <w:t xml:space="preserve">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38</w:t>
      </w:r>
    </w:p>
    <w:p>
      <w:pPr>
        <w:pStyle w:val="Normal"/>
        <w:spacing w:before="0" w:after="120"/>
        <w:jc w:val="center"/>
        <w:rPr/>
      </w:pPr>
      <w:r>
        <w:rPr>
          <w:b/>
          <w:bCs/>
          <w:i/>
          <w:iCs/>
        </w:rPr>
        <w:t>Наибольшие</w:t>
      </w:r>
      <w:r>
        <w:rPr>
          <w:b/>
          <w:bCs/>
        </w:rPr>
        <w:t xml:space="preserve"> </w:t>
      </w:r>
      <w:r>
        <w:rPr>
          <w:b/>
          <w:bCs/>
          <w:i/>
          <w:iCs/>
        </w:rPr>
        <w:t>допустимые</w:t>
      </w:r>
      <w:r>
        <w:rPr>
          <w:b/>
          <w:bCs/>
        </w:rPr>
        <w:t xml:space="preserve"> </w:t>
      </w:r>
      <w:r>
        <w:rPr>
          <w:b/>
          <w:bCs/>
          <w:i/>
          <w:iCs/>
        </w:rPr>
        <w:t>значения</w:t>
      </w:r>
      <w:r>
        <w:rPr>
          <w:b/>
          <w:bCs/>
        </w:rPr>
        <w:t xml:space="preserve"> </w:t>
      </w:r>
      <w:r>
        <w:rPr>
          <w:b/>
          <w:bCs/>
          <w:i/>
          <w:iCs/>
        </w:rPr>
        <w:t>сопротивлений</w:t>
      </w:r>
      <w:r>
        <w:rPr>
          <w:b/>
          <w:bCs/>
        </w:rPr>
        <w:t xml:space="preserve"> </w:t>
      </w:r>
      <w:r>
        <w:rPr>
          <w:b/>
          <w:bCs/>
          <w:i/>
          <w:iCs/>
        </w:rPr>
        <w:t>заземляющих</w:t>
      </w:r>
      <w:r>
        <w:rPr>
          <w:b/>
          <w:bCs/>
        </w:rPr>
        <w:t xml:space="preserve"> </w:t>
      </w:r>
      <w:r>
        <w:rPr>
          <w:b/>
          <w:bCs/>
          <w:i/>
          <w:iCs/>
        </w:rPr>
        <w:t>устройств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41"/>
        <w:gridCol w:w="5255"/>
        <w:gridCol w:w="2059"/>
      </w:tblGrid>
      <w:tr>
        <w:trPr>
          <w:tblHeader w:val="true"/>
        </w:trPr>
        <w:tc>
          <w:tcPr>
            <w:tcW w:w="204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Вид электроустановки</w:t>
            </w:r>
          </w:p>
        </w:tc>
        <w:tc>
          <w:tcPr>
            <w:tcW w:w="5255"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Характеристика электроустановки</w:t>
            </w:r>
          </w:p>
        </w:tc>
        <w:tc>
          <w:tcPr>
            <w:tcW w:w="205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Сопротивление, Ом</w:t>
            </w:r>
          </w:p>
        </w:tc>
      </w:tr>
      <w:tr>
        <w:trPr/>
        <w:tc>
          <w:tcPr>
            <w:tcW w:w="2041" w:type="dxa"/>
            <w:vMerge w:val="restart"/>
            <w:tcBorders>
              <w:left w:val="single" w:sz="8" w:space="0" w:color="000000"/>
              <w:bottom w:val="single" w:sz="8" w:space="0" w:color="000000"/>
              <w:insideH w:val="single" w:sz="8" w:space="0" w:color="000000"/>
            </w:tcBorders>
            <w:shd w:fill="auto" w:val="clear"/>
          </w:tcPr>
          <w:p>
            <w:pPr>
              <w:pStyle w:val="Normal"/>
              <w:jc w:val="both"/>
              <w:rPr/>
            </w:pPr>
            <w:r>
              <w:rPr/>
              <w:t>1. Подстанции и распределительные пункты напряжением выше 1 кВ</w:t>
            </w:r>
          </w:p>
        </w:tc>
        <w:tc>
          <w:tcPr>
            <w:tcW w:w="525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Электроустановки электрических сетей с глухозаземленной и эффективно заземленной нейтралью.</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0,5</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bottom w:val="single" w:sz="8" w:space="0" w:color="000000"/>
              <w:insideH w:val="single" w:sz="8" w:space="0" w:color="000000"/>
            </w:tcBorders>
            <w:shd w:fill="auto" w:val="clear"/>
          </w:tcPr>
          <w:p>
            <w:pPr>
              <w:pStyle w:val="Normal"/>
              <w:jc w:val="both"/>
              <w:rPr/>
            </w:pPr>
            <w:r>
              <w:rPr/>
              <w:t>Электроустановки электрических сетей с изолированной нейтралью, с нейтралью, заземленной через дугогасящий реактор или резистор</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250/</w:t>
            </w:r>
            <w:r>
              <w:rPr>
                <w:i/>
                <w:iCs/>
              </w:rPr>
              <w:t>I</w:t>
            </w:r>
            <w:r>
              <w:rPr>
                <w:vertAlign w:val="subscript"/>
              </w:rPr>
              <w:t>р</w:t>
            </w:r>
            <w:r>
              <w:rPr>
                <w:vertAlign w:val="superscript"/>
              </w:rPr>
              <w:t>*</w:t>
            </w:r>
          </w:p>
        </w:tc>
      </w:tr>
      <w:tr>
        <w:trPr/>
        <w:tc>
          <w:tcPr>
            <w:tcW w:w="2041" w:type="dxa"/>
            <w:vMerge w:val="restart"/>
            <w:tcBorders>
              <w:left w:val="single" w:sz="8" w:space="0" w:color="000000"/>
              <w:bottom w:val="single" w:sz="8" w:space="0" w:color="000000"/>
              <w:insideH w:val="single" w:sz="8" w:space="0" w:color="000000"/>
            </w:tcBorders>
            <w:shd w:fill="auto" w:val="clear"/>
          </w:tcPr>
          <w:p>
            <w:pPr>
              <w:pStyle w:val="Normal"/>
              <w:jc w:val="both"/>
              <w:rPr/>
            </w:pPr>
            <w:r>
              <w:rPr/>
              <w:t>2. Воздушные линии электропередачи напряжением выше 1 кВ</w:t>
            </w:r>
          </w:p>
        </w:tc>
        <w:tc>
          <w:tcPr>
            <w:tcW w:w="5255" w:type="dxa"/>
            <w:tcBorders>
              <w:left w:val="single" w:sz="8" w:space="0" w:color="000000"/>
            </w:tcBorders>
            <w:shd w:fill="auto" w:val="clear"/>
            <w:tcMar>
              <w:left w:w="0" w:type="dxa"/>
              <w:right w:w="0" w:type="dxa"/>
            </w:tcMar>
          </w:tcPr>
          <w:p>
            <w:pPr>
              <w:pStyle w:val="Normal"/>
              <w:jc w:val="both"/>
              <w:rPr/>
            </w:pPr>
            <w:r>
              <w:rPr/>
              <w:t>Заземляющие устройства опор ВЛ (см. также 2.5.129 - 2.5.131) при удельном сопротивлении грунта, ρ, Ом·м:</w:t>
            </w:r>
          </w:p>
        </w:tc>
        <w:tc>
          <w:tcPr>
            <w:tcW w:w="205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snapToGrid w:val="false"/>
              <w:rPr/>
            </w:pPr>
            <w:r>
              <w:rPr/>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tcBorders>
            <w:shd w:fill="auto" w:val="clear"/>
          </w:tcPr>
          <w:p>
            <w:pPr>
              <w:pStyle w:val="Normal"/>
              <w:jc w:val="both"/>
              <w:rPr/>
            </w:pPr>
            <w:r>
              <w:rPr/>
              <w:t>- до 100</w:t>
            </w:r>
          </w:p>
        </w:tc>
        <w:tc>
          <w:tcPr>
            <w:tcW w:w="2059" w:type="dxa"/>
            <w:tcBorders>
              <w:left w:val="single" w:sz="8" w:space="0" w:color="000000"/>
              <w:right w:val="single" w:sz="8" w:space="0" w:color="000000"/>
              <w:insideV w:val="single" w:sz="8" w:space="0" w:color="000000"/>
            </w:tcBorders>
            <w:shd w:fill="auto" w:val="clear"/>
            <w:tcMar>
              <w:left w:w="0" w:type="dxa"/>
              <w:right w:w="0" w:type="dxa"/>
            </w:tcMar>
            <w:vAlign w:val="bottom"/>
          </w:tcPr>
          <w:p>
            <w:pPr>
              <w:pStyle w:val="Normal"/>
              <w:jc w:val="center"/>
              <w:rPr/>
            </w:pPr>
            <w:r>
              <w:rPr/>
              <w:t>10</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tcBorders>
            <w:shd w:fill="auto" w:val="clear"/>
          </w:tcPr>
          <w:p>
            <w:pPr>
              <w:pStyle w:val="Normal"/>
              <w:jc w:val="both"/>
              <w:rPr/>
            </w:pPr>
            <w:r>
              <w:rPr/>
              <w:t>- более 100 до 500</w:t>
            </w:r>
          </w:p>
        </w:tc>
        <w:tc>
          <w:tcPr>
            <w:tcW w:w="20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15</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tcBorders>
            <w:shd w:fill="auto" w:val="clear"/>
          </w:tcPr>
          <w:p>
            <w:pPr>
              <w:pStyle w:val="Normal"/>
              <w:jc w:val="both"/>
              <w:rPr/>
            </w:pPr>
            <w:r>
              <w:rPr/>
              <w:t>- более 500 до 1000</w:t>
            </w:r>
          </w:p>
        </w:tc>
        <w:tc>
          <w:tcPr>
            <w:tcW w:w="20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20</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tcBorders>
            <w:shd w:fill="auto" w:val="clear"/>
          </w:tcPr>
          <w:p>
            <w:pPr>
              <w:pStyle w:val="Normal"/>
              <w:jc w:val="both"/>
              <w:rPr/>
            </w:pPr>
            <w:r>
              <w:rPr/>
              <w:t>- более 1000 до 5000</w:t>
            </w:r>
          </w:p>
        </w:tc>
        <w:tc>
          <w:tcPr>
            <w:tcW w:w="2059" w:type="dxa"/>
            <w:tcBorders>
              <w:left w:val="single" w:sz="8" w:space="0" w:color="000000"/>
              <w:right w:val="single" w:sz="8" w:space="0" w:color="000000"/>
              <w:insideV w:val="single" w:sz="8" w:space="0" w:color="000000"/>
            </w:tcBorders>
            <w:shd w:fill="auto" w:val="clear"/>
            <w:tcMar>
              <w:left w:w="0" w:type="dxa"/>
              <w:right w:w="0" w:type="dxa"/>
            </w:tcMar>
          </w:tcPr>
          <w:p>
            <w:pPr>
              <w:pStyle w:val="Normal"/>
              <w:jc w:val="center"/>
              <w:rPr/>
            </w:pPr>
            <w:r>
              <w:rPr/>
              <w:t>30</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bottom w:val="single" w:sz="8" w:space="0" w:color="000000"/>
              <w:insideH w:val="single" w:sz="8" w:space="0" w:color="000000"/>
            </w:tcBorders>
            <w:shd w:fill="auto" w:val="clear"/>
          </w:tcPr>
          <w:p>
            <w:pPr>
              <w:pStyle w:val="Normal"/>
              <w:jc w:val="both"/>
              <w:rPr/>
            </w:pPr>
            <w:r>
              <w:rPr/>
              <w:t>- более 5000</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ρ·6·10</w:t>
            </w:r>
            <w:r>
              <w:rPr>
                <w:vertAlign w:val="superscript"/>
              </w:rPr>
              <w:t>3</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bottom w:val="single" w:sz="8" w:space="0" w:color="000000"/>
              <w:insideH w:val="single" w:sz="8" w:space="0" w:color="000000"/>
            </w:tcBorders>
            <w:shd w:fill="auto" w:val="clear"/>
          </w:tcPr>
          <w:p>
            <w:pPr>
              <w:pStyle w:val="Normal"/>
              <w:jc w:val="both"/>
              <w:rPr/>
            </w:pPr>
            <w:r>
              <w:rPr/>
              <w:t>Заземляющие устройства опор ВЛ с разрядниками на подходах к распределительным устройствам с вращающимися машинами</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см. главу 4.2</w:t>
            </w:r>
          </w:p>
        </w:tc>
      </w:tr>
      <w:tr>
        <w:trPr/>
        <w:tc>
          <w:tcPr>
            <w:tcW w:w="2041" w:type="dxa"/>
            <w:vMerge w:val="restart"/>
            <w:tcBorders>
              <w:left w:val="single" w:sz="8" w:space="0" w:color="000000"/>
              <w:bottom w:val="single" w:sz="8" w:space="0" w:color="000000"/>
              <w:insideH w:val="single" w:sz="8" w:space="0" w:color="000000"/>
            </w:tcBorders>
            <w:shd w:fill="auto" w:val="clear"/>
          </w:tcPr>
          <w:p>
            <w:pPr>
              <w:pStyle w:val="Normal"/>
              <w:jc w:val="both"/>
              <w:rPr/>
            </w:pPr>
            <w:r>
              <w:rPr/>
              <w:t>3. Электроустановки напряжением до 1 кВ</w:t>
            </w:r>
          </w:p>
        </w:tc>
        <w:tc>
          <w:tcPr>
            <w:tcW w:w="5255" w:type="dxa"/>
            <w:tcBorders>
              <w:left w:val="single" w:sz="8" w:space="0" w:color="000000"/>
            </w:tcBorders>
            <w:shd w:fill="auto" w:val="clear"/>
            <w:tcMar>
              <w:left w:w="0" w:type="dxa"/>
              <w:right w:w="0" w:type="dxa"/>
            </w:tcMar>
          </w:tcPr>
          <w:p>
            <w:pPr>
              <w:pStyle w:val="Normal"/>
              <w:jc w:val="both"/>
              <w:rPr/>
            </w:pPr>
            <w:r>
              <w:rPr/>
              <w:t>Электроустановки с источниками питания в электрических сетях с глухозаземленной нейтралью (или средней точкой) источника питания (система TN):</w:t>
            </w:r>
          </w:p>
          <w:p>
            <w:pPr>
              <w:pStyle w:val="Normal"/>
              <w:ind w:left="128" w:hanging="128"/>
              <w:jc w:val="both"/>
              <w:rPr/>
            </w:pPr>
            <w:r>
              <w:rPr/>
              <w:t>- в непосредственной близости от нейтрали</w:t>
            </w:r>
          </w:p>
        </w:tc>
        <w:tc>
          <w:tcPr>
            <w:tcW w:w="2059" w:type="dxa"/>
            <w:tcBorders>
              <w:left w:val="single" w:sz="8" w:space="0" w:color="000000"/>
              <w:right w:val="single" w:sz="8" w:space="0" w:color="000000"/>
              <w:insideV w:val="single" w:sz="8" w:space="0" w:color="000000"/>
            </w:tcBorders>
            <w:shd w:fill="auto" w:val="clear"/>
            <w:tcMar>
              <w:left w:w="0" w:type="dxa"/>
              <w:right w:w="0" w:type="dxa"/>
            </w:tcMar>
            <w:vAlign w:val="center"/>
          </w:tcPr>
          <w:p>
            <w:pPr>
              <w:pStyle w:val="Normal"/>
              <w:jc w:val="center"/>
              <w:rPr/>
            </w:pPr>
            <w:r>
              <w:rPr/>
              <w:t>15/30/60</w:t>
            </w:r>
            <w:r>
              <w:rPr>
                <w:vertAlign w:val="superscript"/>
              </w:rPr>
              <w:t>**</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bottom w:val="single" w:sz="8" w:space="0" w:color="000000"/>
              <w:insideH w:val="single" w:sz="8" w:space="0" w:color="000000"/>
            </w:tcBorders>
            <w:shd w:fill="auto" w:val="clear"/>
          </w:tcPr>
          <w:p>
            <w:pPr>
              <w:pStyle w:val="Normal"/>
              <w:jc w:val="both"/>
              <w:rPr/>
            </w:pPr>
            <w:r>
              <w:rPr/>
              <w:t>- с учетом естественных заземлителей и повторных заземлителей отходящих линий</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2/4/8</w:t>
            </w:r>
            <w:r>
              <w:rPr>
                <w:vertAlign w:val="superscript"/>
              </w:rPr>
              <w:t>**</w:t>
            </w:r>
          </w:p>
        </w:tc>
      </w:tr>
      <w:tr>
        <w:trPr/>
        <w:tc>
          <w:tcPr>
            <w:tcW w:w="2041" w:type="dxa"/>
            <w:vMerge w:val="continue"/>
            <w:tcBorders>
              <w:left w:val="single" w:sz="8" w:space="0" w:color="000000"/>
              <w:bottom w:val="single" w:sz="8" w:space="0" w:color="000000"/>
              <w:insideH w:val="single" w:sz="8" w:space="0" w:color="000000"/>
            </w:tcBorders>
            <w:shd w:fill="auto" w:val="clear"/>
          </w:tcPr>
          <w:p>
            <w:pPr>
              <w:pStyle w:val="Normal"/>
              <w:snapToGrid w:val="false"/>
              <w:rPr/>
            </w:pPr>
            <w:r>
              <w:rPr/>
            </w:r>
          </w:p>
        </w:tc>
        <w:tc>
          <w:tcPr>
            <w:tcW w:w="5255" w:type="dxa"/>
            <w:tcBorders>
              <w:left w:val="single" w:sz="8" w:space="0" w:color="000000"/>
              <w:bottom w:val="single" w:sz="8" w:space="0" w:color="000000"/>
              <w:insideH w:val="single" w:sz="8" w:space="0" w:color="000000"/>
            </w:tcBorders>
            <w:shd w:fill="auto" w:val="clear"/>
          </w:tcPr>
          <w:p>
            <w:pPr>
              <w:pStyle w:val="Normal"/>
              <w:jc w:val="both"/>
              <w:rPr/>
            </w:pPr>
            <w:r>
              <w:rPr/>
              <w:t>Электроустановки в электрических сетях с изолированной нейтралью (или средней точкой) источника питания (система ГГ)</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50/</w:t>
            </w:r>
            <w:r>
              <w:rPr>
                <w:i/>
                <w:iCs/>
              </w:rPr>
              <w:t>I</w:t>
            </w:r>
            <w:r>
              <w:rPr>
                <w:vertAlign w:val="superscript"/>
              </w:rPr>
              <w:t>***</w:t>
            </w:r>
            <w:r>
              <w:rPr/>
              <w:t>, более 4 Ом не требуется</w:t>
            </w:r>
          </w:p>
        </w:tc>
      </w:tr>
      <w:tr>
        <w:trPr/>
        <w:tc>
          <w:tcPr>
            <w:tcW w:w="2041" w:type="dxa"/>
            <w:tcBorders>
              <w:left w:val="single" w:sz="8" w:space="0" w:color="000000"/>
              <w:bottom w:val="single" w:sz="8" w:space="0" w:color="000000"/>
              <w:insideH w:val="single" w:sz="8" w:space="0" w:color="000000"/>
            </w:tcBorders>
            <w:shd w:fill="auto" w:val="clear"/>
          </w:tcPr>
          <w:p>
            <w:pPr>
              <w:pStyle w:val="Normal"/>
              <w:jc w:val="both"/>
              <w:rPr/>
            </w:pPr>
            <w:r>
              <w:rPr/>
              <w:t>4. Воздушные линии электропередачи напряжением до 1 кВ</w:t>
            </w:r>
          </w:p>
        </w:tc>
        <w:tc>
          <w:tcPr>
            <w:tcW w:w="525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both"/>
              <w:rPr/>
            </w:pPr>
            <w:r>
              <w:rPr/>
              <w:t>Заземляющие устройства опор ВЛ с повторными заземлителями PEN (РЕ) - проводника</w:t>
            </w:r>
          </w:p>
        </w:tc>
        <w:tc>
          <w:tcPr>
            <w:tcW w:w="2059"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30</w:t>
            </w:r>
          </w:p>
        </w:tc>
      </w:tr>
      <w:tr>
        <w:trPr/>
        <w:tc>
          <w:tcPr>
            <w:tcW w:w="9355" w:type="dxa"/>
            <w:gridSpan w:val="3"/>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300"/>
              <w:jc w:val="both"/>
              <w:rPr/>
            </w:pPr>
            <w:r>
              <w:rPr>
                <w:i/>
                <w:iCs/>
              </w:rPr>
              <w:t>I</w:t>
            </w:r>
            <w:r>
              <w:rPr>
                <w:vertAlign w:val="subscript"/>
              </w:rPr>
              <w:t>р</w:t>
            </w:r>
            <w:r>
              <w:rPr>
                <w:vertAlign w:val="superscript"/>
              </w:rPr>
              <w:t>*</w:t>
            </w:r>
            <w:r>
              <w:rPr/>
              <w:t xml:space="preserve"> - расчетный ток замыкания на землю;</w:t>
            </w:r>
          </w:p>
          <w:p>
            <w:pPr>
              <w:pStyle w:val="Normal"/>
              <w:ind w:firstLine="300"/>
              <w:jc w:val="both"/>
              <w:rPr/>
            </w:pPr>
            <w:r>
              <w:rPr>
                <w:vertAlign w:val="superscript"/>
              </w:rPr>
              <w:t>**</w:t>
            </w:r>
            <w:r>
              <w:rPr/>
              <w:t xml:space="preserve"> - соответственно при линейных напряжениях 660, 280, 220 В;</w:t>
            </w:r>
          </w:p>
          <w:p>
            <w:pPr>
              <w:pStyle w:val="Normal"/>
              <w:ind w:firstLine="233"/>
              <w:jc w:val="both"/>
              <w:rPr/>
            </w:pPr>
            <w:r>
              <w:rPr>
                <w:i/>
                <w:iCs/>
              </w:rPr>
              <w:t>I</w:t>
            </w:r>
            <w:r>
              <w:rPr>
                <w:vertAlign w:val="superscript"/>
              </w:rPr>
              <w:t>***</w:t>
            </w:r>
            <w:r>
              <w:rPr/>
              <w:t xml:space="preserve"> - полный ток замыкания на землю.</w:t>
            </w:r>
          </w:p>
        </w:tc>
      </w:tr>
    </w:tbl>
    <w:p>
      <w:pPr>
        <w:pStyle w:val="Normal"/>
        <w:spacing w:before="120" w:after="0"/>
        <w:ind w:firstLine="284"/>
        <w:jc w:val="both"/>
        <w:rPr>
          <w:b/>
          <w:b/>
          <w:bCs/>
        </w:rPr>
      </w:pPr>
      <w:r>
        <w:rPr>
          <w:b/>
          <w:bCs/>
        </w:rPr>
        <w:t>3. Испытание повышенным напряжением выпрямленного тока.</w:t>
      </w:r>
    </w:p>
    <w:p>
      <w:pPr>
        <w:pStyle w:val="Normal"/>
        <w:ind w:firstLine="283"/>
        <w:jc w:val="both"/>
        <w:rPr/>
      </w:pPr>
      <w:r>
        <w:rPr/>
        <w:t>Испытательное напряжение принимается в соответствии с табл. 1.8.39.</w:t>
      </w:r>
    </w:p>
    <w:p>
      <w:pPr>
        <w:pStyle w:val="Normal"/>
        <w:ind w:firstLine="283"/>
        <w:jc w:val="both"/>
        <w:rPr/>
      </w:pPr>
      <w:r>
        <w:rPr/>
        <w:t>Для кабелей на напряжение до 35 кВ с бумажной и пластмассовой изоляцией длительность приложения полного испытательного напряжения составляет 10 мин.</w:t>
      </w:r>
    </w:p>
    <w:p>
      <w:pPr>
        <w:pStyle w:val="Normal"/>
        <w:ind w:firstLine="283"/>
        <w:jc w:val="both"/>
        <w:rPr/>
      </w:pPr>
      <w:r>
        <w:rPr/>
        <w:t>Для кабелей с резиновой изоляцией на напряжение 3 - 10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pPr>
        <w:pStyle w:val="Normal"/>
        <w:ind w:firstLine="283"/>
        <w:jc w:val="both"/>
        <w:rPr/>
      </w:pPr>
      <w:r>
        <w:rPr/>
        <w:t>Для кабелей на напряжение 110 - 500 кВ длительность приложения полного испытательного напряжения составляет 15 мин.</w:t>
      </w:r>
    </w:p>
    <w:p>
      <w:pPr>
        <w:pStyle w:val="Normal"/>
        <w:ind w:firstLine="283"/>
        <w:jc w:val="both"/>
        <w:rPr/>
      </w:pPr>
      <w:r>
        <w:rPr/>
        <w:t>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1.8.40. Абсолютное значение тока утечки не является браковочным показателем. Кабельные линии с 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 до выявления дефекта, но не более чем 15 мин.</w:t>
      </w:r>
    </w:p>
    <w:p>
      <w:pPr>
        <w:pStyle w:val="Normal"/>
        <w:ind w:firstLine="283"/>
        <w:jc w:val="both"/>
        <w:rPr/>
      </w:pPr>
      <w:r>
        <w:rPr/>
        <w:t>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1.8.39.</w:t>
      </w:r>
    </w:p>
    <w:p>
      <w:pPr>
        <w:pStyle w:val="Normal"/>
        <w:ind w:firstLine="283"/>
        <w:jc w:val="both"/>
        <w:rPr>
          <w:b/>
          <w:b/>
          <w:bCs/>
        </w:rPr>
      </w:pPr>
      <w:r>
        <w:rPr>
          <w:b/>
          <w:bCs/>
        </w:rPr>
        <w:t>4. Испытание напряжением переменного тока частоты 50 Гц.</w:t>
      </w:r>
    </w:p>
    <w:p>
      <w:pPr>
        <w:pStyle w:val="Normal"/>
        <w:ind w:firstLine="283"/>
        <w:jc w:val="both"/>
        <w:rPr/>
      </w:pPr>
      <w:r>
        <w:rPr/>
        <w:t>Такое испытание допускается для кабельных линий на напряжение 110 - 500 кВ взамен испытания выпрямленным напряжением.</w:t>
      </w:r>
    </w:p>
    <w:p>
      <w:pPr>
        <w:pStyle w:val="Normal"/>
        <w:ind w:firstLine="283"/>
        <w:jc w:val="both"/>
        <w:rPr/>
      </w:pPr>
      <w:r>
        <w:rPr/>
        <w:t>Испытание производится напряжением (1,00 - 1,73)</w:t>
      </w:r>
      <w:r>
        <w:rPr>
          <w:i/>
          <w:iCs/>
        </w:rPr>
        <w:t>U</w:t>
      </w:r>
      <w:r>
        <w:rPr>
          <w:vertAlign w:val="subscript"/>
        </w:rPr>
        <w:t>ном.</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39</w:t>
      </w:r>
    </w:p>
    <w:p>
      <w:pPr>
        <w:pStyle w:val="Normal"/>
        <w:spacing w:before="0" w:after="120"/>
        <w:jc w:val="center"/>
        <w:rPr/>
      </w:pPr>
      <w:r>
        <w:rPr>
          <w:b/>
          <w:bCs/>
          <w:i/>
          <w:iCs/>
        </w:rPr>
        <w:t>Испытательное</w:t>
      </w:r>
      <w:r>
        <w:rPr>
          <w:b/>
          <w:bCs/>
        </w:rPr>
        <w:t xml:space="preserve"> </w:t>
      </w:r>
      <w:r>
        <w:rPr>
          <w:b/>
          <w:bCs/>
          <w:i/>
          <w:iCs/>
        </w:rPr>
        <w:t>напряжение</w:t>
      </w:r>
      <w:r>
        <w:rPr>
          <w:b/>
          <w:bCs/>
        </w:rPr>
        <w:t xml:space="preserve"> </w:t>
      </w:r>
      <w:r>
        <w:rPr>
          <w:b/>
          <w:bCs/>
          <w:i/>
          <w:iCs/>
        </w:rPr>
        <w:t>выпрямленного</w:t>
      </w:r>
      <w:r>
        <w:rPr>
          <w:b/>
          <w:bCs/>
        </w:rPr>
        <w:t xml:space="preserve"> </w:t>
      </w:r>
      <w:r>
        <w:rPr>
          <w:b/>
          <w:bCs/>
          <w:i/>
          <w:iCs/>
        </w:rPr>
        <w:t>тока</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28" w:type="dxa"/>
          <w:bottom w:w="0" w:type="dxa"/>
          <w:right w:w="28" w:type="dxa"/>
        </w:tblCellMar>
      </w:tblPr>
      <w:tblGrid>
        <w:gridCol w:w="979"/>
        <w:gridCol w:w="979"/>
        <w:gridCol w:w="981"/>
        <w:gridCol w:w="978"/>
        <w:gridCol w:w="982"/>
        <w:gridCol w:w="739"/>
        <w:gridCol w:w="739"/>
        <w:gridCol w:w="739"/>
        <w:gridCol w:w="739"/>
        <w:gridCol w:w="739"/>
        <w:gridCol w:w="761"/>
      </w:tblGrid>
      <w:tr>
        <w:trPr>
          <w:tblHeader w:val="true"/>
        </w:trPr>
        <w:tc>
          <w:tcPr>
            <w:tcW w:w="9355" w:type="dxa"/>
            <w:gridSpan w:val="11"/>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vAlign w:val="center"/>
          </w:tcPr>
          <w:p>
            <w:pPr>
              <w:pStyle w:val="Normal"/>
              <w:jc w:val="center"/>
              <w:rPr/>
            </w:pPr>
            <w:r>
              <w:rPr/>
              <w:t>Кабели с бумажной изоляцией на напряжение, кВ</w:t>
            </w:r>
          </w:p>
        </w:tc>
      </w:tr>
      <w:tr>
        <w:trPr/>
        <w:tc>
          <w:tcPr>
            <w:tcW w:w="979" w:type="dxa"/>
            <w:tcBorders>
              <w:left w:val="single" w:sz="8" w:space="0" w:color="000000"/>
              <w:bottom w:val="single" w:sz="8" w:space="0" w:color="000000"/>
              <w:insideH w:val="single" w:sz="8" w:space="0" w:color="000000"/>
            </w:tcBorders>
            <w:shd w:fill="auto" w:val="clear"/>
          </w:tcPr>
          <w:p>
            <w:pPr>
              <w:pStyle w:val="Normal"/>
              <w:jc w:val="center"/>
              <w:rPr/>
            </w:pPr>
            <w:r>
              <w:rPr/>
              <w:t>2</w:t>
            </w:r>
          </w:p>
        </w:tc>
        <w:tc>
          <w:tcPr>
            <w:tcW w:w="97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w:t>
            </w:r>
          </w:p>
        </w:tc>
        <w:tc>
          <w:tcPr>
            <w:tcW w:w="9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w:t>
            </w:r>
          </w:p>
        </w:tc>
        <w:tc>
          <w:tcPr>
            <w:tcW w:w="97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98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35</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110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150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220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330</w:t>
            </w:r>
          </w:p>
        </w:tc>
        <w:tc>
          <w:tcPr>
            <w:tcW w:w="76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500</w:t>
            </w:r>
          </w:p>
        </w:tc>
      </w:tr>
      <w:tr>
        <w:trPr/>
        <w:tc>
          <w:tcPr>
            <w:tcW w:w="979" w:type="dxa"/>
            <w:tcBorders>
              <w:left w:val="single" w:sz="8" w:space="0" w:color="000000"/>
              <w:bottom w:val="single" w:sz="8" w:space="0" w:color="000000"/>
              <w:insideH w:val="single" w:sz="8" w:space="0" w:color="000000"/>
            </w:tcBorders>
            <w:shd w:fill="auto" w:val="clear"/>
          </w:tcPr>
          <w:p>
            <w:pPr>
              <w:pStyle w:val="Normal"/>
              <w:jc w:val="center"/>
              <w:rPr/>
            </w:pPr>
            <w:r>
              <w:rPr/>
              <w:t>12</w:t>
            </w:r>
          </w:p>
        </w:tc>
        <w:tc>
          <w:tcPr>
            <w:tcW w:w="97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18</w:t>
            </w:r>
          </w:p>
        </w:tc>
        <w:tc>
          <w:tcPr>
            <w:tcW w:w="9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36</w:t>
            </w:r>
          </w:p>
        </w:tc>
        <w:tc>
          <w:tcPr>
            <w:tcW w:w="97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60</w:t>
            </w:r>
          </w:p>
        </w:tc>
        <w:tc>
          <w:tcPr>
            <w:tcW w:w="98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175</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285</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347</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510</w:t>
            </w:r>
          </w:p>
        </w:tc>
        <w:tc>
          <w:tcPr>
            <w:tcW w:w="73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670</w:t>
            </w:r>
          </w:p>
        </w:tc>
        <w:tc>
          <w:tcPr>
            <w:tcW w:w="761"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865</w:t>
            </w:r>
          </w:p>
        </w:tc>
      </w:tr>
      <w:tr>
        <w:trPr/>
        <w:tc>
          <w:tcPr>
            <w:tcW w:w="4899" w:type="dxa"/>
            <w:gridSpan w:val="5"/>
            <w:tcBorders>
              <w:left w:val="single" w:sz="8" w:space="0" w:color="000000"/>
              <w:bottom w:val="single" w:sz="8" w:space="0" w:color="000000"/>
              <w:insideH w:val="single" w:sz="8" w:space="0" w:color="000000"/>
            </w:tcBorders>
            <w:shd w:fill="auto" w:val="clear"/>
          </w:tcPr>
          <w:p>
            <w:pPr>
              <w:pStyle w:val="Normal"/>
              <w:jc w:val="center"/>
              <w:rPr/>
            </w:pPr>
            <w:r>
              <w:rPr/>
              <w:t>Кабели с пластмассовой изоляцией на напряжение, кВ</w:t>
            </w:r>
          </w:p>
        </w:tc>
        <w:tc>
          <w:tcPr>
            <w:tcW w:w="4456" w:type="dxa"/>
            <w:gridSpan w:val="6"/>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Кабели с резиновой изоляцией на напряжение, кВ</w:t>
            </w:r>
          </w:p>
        </w:tc>
      </w:tr>
      <w:tr>
        <w:trPr/>
        <w:tc>
          <w:tcPr>
            <w:tcW w:w="979" w:type="dxa"/>
            <w:tcBorders>
              <w:left w:val="single" w:sz="8" w:space="0" w:color="000000"/>
              <w:bottom w:val="single" w:sz="8" w:space="0" w:color="000000"/>
              <w:insideH w:val="single" w:sz="8" w:space="0" w:color="000000"/>
            </w:tcBorders>
            <w:shd w:fill="auto" w:val="clear"/>
          </w:tcPr>
          <w:p>
            <w:pPr>
              <w:pStyle w:val="Normal"/>
              <w:jc w:val="center"/>
              <w:rPr/>
            </w:pPr>
            <w:r>
              <w:rPr/>
              <w:t>1</w:t>
            </w:r>
            <w:r>
              <w:rPr>
                <w:vertAlign w:val="superscript"/>
              </w:rPr>
              <w:t>*</w:t>
            </w:r>
          </w:p>
        </w:tc>
        <w:tc>
          <w:tcPr>
            <w:tcW w:w="97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w:t>
            </w:r>
          </w:p>
        </w:tc>
        <w:tc>
          <w:tcPr>
            <w:tcW w:w="9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w:t>
            </w:r>
          </w:p>
        </w:tc>
        <w:tc>
          <w:tcPr>
            <w:tcW w:w="97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w:t>
            </w:r>
          </w:p>
        </w:tc>
        <w:tc>
          <w:tcPr>
            <w:tcW w:w="98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110</w:t>
            </w:r>
          </w:p>
        </w:tc>
        <w:tc>
          <w:tcPr>
            <w:tcW w:w="1478" w:type="dxa"/>
            <w:gridSpan w:val="2"/>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w:t>
            </w:r>
          </w:p>
        </w:tc>
        <w:tc>
          <w:tcPr>
            <w:tcW w:w="1478" w:type="dxa"/>
            <w:gridSpan w:val="2"/>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w:t>
            </w:r>
          </w:p>
        </w:tc>
        <w:tc>
          <w:tcPr>
            <w:tcW w:w="1500"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w:t>
            </w:r>
          </w:p>
        </w:tc>
      </w:tr>
      <w:tr>
        <w:trPr/>
        <w:tc>
          <w:tcPr>
            <w:tcW w:w="979" w:type="dxa"/>
            <w:tcBorders>
              <w:left w:val="single" w:sz="8" w:space="0" w:color="000000"/>
              <w:bottom w:val="single" w:sz="8" w:space="0" w:color="000000"/>
              <w:insideH w:val="single" w:sz="8" w:space="0" w:color="000000"/>
            </w:tcBorders>
            <w:shd w:fill="auto" w:val="clear"/>
          </w:tcPr>
          <w:p>
            <w:pPr>
              <w:pStyle w:val="Normal"/>
              <w:jc w:val="center"/>
              <w:rPr/>
            </w:pPr>
            <w:r>
              <w:rPr/>
              <w:t>5,0</w:t>
            </w:r>
          </w:p>
        </w:tc>
        <w:tc>
          <w:tcPr>
            <w:tcW w:w="979"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15</w:t>
            </w:r>
          </w:p>
        </w:tc>
        <w:tc>
          <w:tcPr>
            <w:tcW w:w="981"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36</w:t>
            </w:r>
          </w:p>
        </w:tc>
        <w:tc>
          <w:tcPr>
            <w:tcW w:w="978"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60</w:t>
            </w:r>
          </w:p>
        </w:tc>
        <w:tc>
          <w:tcPr>
            <w:tcW w:w="98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285</w:t>
            </w:r>
          </w:p>
        </w:tc>
        <w:tc>
          <w:tcPr>
            <w:tcW w:w="1478" w:type="dxa"/>
            <w:gridSpan w:val="2"/>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w:t>
            </w:r>
          </w:p>
        </w:tc>
        <w:tc>
          <w:tcPr>
            <w:tcW w:w="1478" w:type="dxa"/>
            <w:gridSpan w:val="2"/>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12</w:t>
            </w:r>
          </w:p>
        </w:tc>
        <w:tc>
          <w:tcPr>
            <w:tcW w:w="1500"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20</w:t>
            </w:r>
          </w:p>
        </w:tc>
      </w:tr>
      <w:tr>
        <w:trPr/>
        <w:tc>
          <w:tcPr>
            <w:tcW w:w="9355" w:type="dxa"/>
            <w:gridSpan w:val="11"/>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33"/>
              <w:jc w:val="both"/>
              <w:rPr/>
            </w:pPr>
            <w:r>
              <w:rPr>
                <w:vertAlign w:val="superscript"/>
              </w:rPr>
              <w:t>*</w:t>
            </w:r>
            <w:r>
              <w:rPr/>
              <w:t xml:space="preserve"> Испытания выпрямленным напряжением одножильных кабелей с пластмассовой изоляцией без брони (экранов), проложенных на воздухе, не производится.</w:t>
            </w:r>
          </w:p>
        </w:tc>
      </w:tr>
    </w:tbl>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40</w:t>
      </w:r>
    </w:p>
    <w:p>
      <w:pPr>
        <w:pStyle w:val="Normal"/>
        <w:spacing w:before="0" w:after="120"/>
        <w:jc w:val="center"/>
        <w:rPr/>
      </w:pPr>
      <w:r>
        <w:rPr>
          <w:b/>
          <w:bCs/>
          <w:i/>
          <w:iCs/>
        </w:rPr>
        <w:t>Токи</w:t>
      </w:r>
      <w:r>
        <w:rPr>
          <w:b/>
          <w:bCs/>
        </w:rPr>
        <w:t xml:space="preserve"> </w:t>
      </w:r>
      <w:r>
        <w:rPr>
          <w:b/>
          <w:bCs/>
          <w:i/>
          <w:iCs/>
        </w:rPr>
        <w:t>утечки</w:t>
      </w:r>
      <w:r>
        <w:rPr>
          <w:b/>
          <w:bCs/>
        </w:rPr>
        <w:t xml:space="preserve"> </w:t>
      </w:r>
      <w:r>
        <w:rPr>
          <w:b/>
          <w:bCs/>
          <w:i/>
          <w:iCs/>
        </w:rPr>
        <w:t>и</w:t>
      </w:r>
      <w:r>
        <w:rPr>
          <w:b/>
          <w:bCs/>
        </w:rPr>
        <w:t xml:space="preserve"> </w:t>
      </w:r>
      <w:r>
        <w:rPr>
          <w:b/>
          <w:bCs/>
          <w:i/>
          <w:iCs/>
        </w:rPr>
        <w:t>коэффициенты</w:t>
      </w:r>
      <w:r>
        <w:rPr>
          <w:b/>
          <w:bCs/>
        </w:rPr>
        <w:t xml:space="preserve"> </w:t>
      </w:r>
      <w:r>
        <w:rPr>
          <w:b/>
          <w:bCs/>
          <w:i/>
          <w:iCs/>
        </w:rPr>
        <w:t>асимметрии</w:t>
      </w:r>
      <w:r>
        <w:rPr>
          <w:b/>
          <w:bCs/>
        </w:rPr>
        <w:t xml:space="preserve"> </w:t>
      </w:r>
      <w:r>
        <w:rPr>
          <w:b/>
          <w:bCs/>
          <w:i/>
          <w:iCs/>
        </w:rPr>
        <w:t>для</w:t>
      </w:r>
      <w:r>
        <w:rPr>
          <w:b/>
          <w:bCs/>
        </w:rPr>
        <w:t xml:space="preserve"> </w:t>
      </w:r>
      <w:r>
        <w:rPr>
          <w:b/>
          <w:bCs/>
          <w:i/>
          <w:iCs/>
        </w:rPr>
        <w:t>силовых</w:t>
      </w:r>
      <w:r>
        <w:rPr>
          <w:b/>
          <w:bCs/>
        </w:rPr>
        <w:t xml:space="preserve"> </w:t>
      </w:r>
      <w:r>
        <w:rPr>
          <w:b/>
          <w:bCs/>
          <w:i/>
          <w:iCs/>
        </w:rPr>
        <w:t>кабелей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341"/>
        <w:gridCol w:w="1620"/>
        <w:gridCol w:w="2062"/>
        <w:gridCol w:w="3332"/>
      </w:tblGrid>
      <w:tr>
        <w:trPr>
          <w:tblHeader w:val="true"/>
        </w:trPr>
        <w:tc>
          <w:tcPr>
            <w:tcW w:w="2341"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Кабели напряжением, кВ</w:t>
            </w:r>
          </w:p>
        </w:tc>
        <w:tc>
          <w:tcPr>
            <w:tcW w:w="1620"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Испытательное напряжение, кВ</w:t>
            </w:r>
          </w:p>
        </w:tc>
        <w:tc>
          <w:tcPr>
            <w:tcW w:w="2062"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Допустимые значения токов утечки, мА</w:t>
            </w:r>
          </w:p>
        </w:tc>
        <w:tc>
          <w:tcPr>
            <w:tcW w:w="333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Допустимые значения коэффициента асимметрии (</w:t>
            </w:r>
            <w:r>
              <w:rPr>
                <w:i/>
                <w:iCs/>
              </w:rPr>
              <w:t>I</w:t>
            </w:r>
            <w:r>
              <w:rPr>
                <w:vertAlign w:val="subscript"/>
              </w:rPr>
              <w:t>max</w:t>
            </w:r>
            <w:r>
              <w:rPr/>
              <w:t>/</w:t>
            </w:r>
            <w:r>
              <w:rPr>
                <w:i/>
                <w:iCs/>
              </w:rPr>
              <w:t>I</w:t>
            </w:r>
            <w:r>
              <w:rPr>
                <w:vertAlign w:val="subscript"/>
              </w:rPr>
              <w:t>min</w:t>
            </w:r>
            <w:r>
              <w:rPr/>
              <w:t>)</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6</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36</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0,2</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10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60</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0,5</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8</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20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100</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1,5</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35</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175</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2,5</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10</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110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285</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Не нормируется</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Не нормируется</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150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347</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То же</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То же</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220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610</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330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670</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2341" w:type="dxa"/>
            <w:tcBorders>
              <w:left w:val="single" w:sz="8" w:space="0" w:color="000000"/>
              <w:bottom w:val="single" w:sz="8" w:space="0" w:color="000000"/>
              <w:insideH w:val="single" w:sz="8" w:space="0" w:color="000000"/>
            </w:tcBorders>
            <w:shd w:fill="auto" w:val="clear"/>
          </w:tcPr>
          <w:p>
            <w:pPr>
              <w:pStyle w:val="Normal"/>
              <w:jc w:val="center"/>
              <w:rPr/>
            </w:pPr>
            <w:r>
              <w:rPr/>
              <w:t>500</w:t>
            </w:r>
          </w:p>
        </w:tc>
        <w:tc>
          <w:tcPr>
            <w:tcW w:w="1620"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865</w:t>
            </w:r>
          </w:p>
        </w:tc>
        <w:tc>
          <w:tcPr>
            <w:tcW w:w="2062"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w:t>
            </w:r>
          </w:p>
        </w:tc>
        <w:tc>
          <w:tcPr>
            <w:tcW w:w="33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bl>
    <w:p>
      <w:pPr>
        <w:pStyle w:val="Normal"/>
        <w:spacing w:before="120" w:after="0"/>
        <w:ind w:firstLine="284"/>
        <w:jc w:val="both"/>
        <w:rPr/>
      </w:pPr>
      <w:r>
        <w:rPr/>
        <w:t xml:space="preserve">Допускается производить испытания путем включения кабельной линии на номинальное напряжение </w:t>
      </w:r>
      <w:r>
        <w:rPr>
          <w:i/>
          <w:iCs/>
        </w:rPr>
        <w:t>U</w:t>
      </w:r>
      <w:r>
        <w:rPr>
          <w:vertAlign w:val="subscript"/>
        </w:rPr>
        <w:t>ном.</w:t>
      </w:r>
      <w:r>
        <w:rPr/>
        <w:t xml:space="preserve"> Длительность испытания - согласно указаниям завода-изготовителя.</w:t>
      </w:r>
    </w:p>
    <w:p>
      <w:pPr>
        <w:pStyle w:val="Normal"/>
        <w:ind w:firstLine="283"/>
        <w:jc w:val="both"/>
        <w:rPr/>
      </w:pPr>
      <w:r>
        <w:rPr>
          <w:b/>
          <w:bCs/>
        </w:rPr>
        <w:t>5. Определение активного сопротивления жил.</w:t>
      </w:r>
      <w:r>
        <w:rPr/>
        <w:t xml:space="preserve"> </w:t>
      </w:r>
    </w:p>
    <w:p>
      <w:pPr>
        <w:pStyle w:val="Normal"/>
        <w:ind w:firstLine="283"/>
        <w:jc w:val="both"/>
        <w:rPr/>
      </w:pPr>
      <w:r>
        <w:rPr/>
        <w:t>Производится для линий 20 кВ и выше. Активное сопротивление жил кабельной линии постоянному току, приведенное к 1 мм</w:t>
      </w:r>
      <w:r>
        <w:rPr>
          <w:vertAlign w:val="superscript"/>
        </w:rPr>
        <w:t>2</w:t>
      </w:r>
      <w:r>
        <w:rPr/>
        <w:t xml:space="preserve"> сечения, 1 м длины и температуре +20 °С, должно быть не более 0,0179 Ом для медной жилы и не более 0,0294 Ом для алюминиевой жилы. Измеренное сопротивление (приведенное к удельному значению) может отличаться от указанных значений не более, чем на 5 %.</w:t>
      </w:r>
    </w:p>
    <w:p>
      <w:pPr>
        <w:pStyle w:val="Normal"/>
        <w:ind w:firstLine="283"/>
        <w:jc w:val="both"/>
        <w:rPr>
          <w:b/>
          <w:b/>
          <w:bCs/>
        </w:rPr>
      </w:pPr>
      <w:r>
        <w:rPr>
          <w:b/>
          <w:bCs/>
        </w:rPr>
        <w:t>6. Определение электрической рабочей ёмкости жил.</w:t>
      </w:r>
    </w:p>
    <w:p>
      <w:pPr>
        <w:pStyle w:val="Normal"/>
        <w:ind w:firstLine="283"/>
        <w:jc w:val="both"/>
        <w:rPr/>
      </w:pPr>
      <w:r>
        <w:rPr/>
        <w:t>Производится для линий 20 кВ и выше. Измеренная ёмкость не должна отличаться от результатов заводских испытаний более чем на 5 %.</w:t>
      </w:r>
    </w:p>
    <w:p>
      <w:pPr>
        <w:pStyle w:val="Normal"/>
        <w:ind w:firstLine="283"/>
        <w:jc w:val="both"/>
        <w:rPr>
          <w:b/>
          <w:b/>
          <w:bCs/>
        </w:rPr>
      </w:pPr>
      <w:r>
        <w:rPr>
          <w:b/>
          <w:bCs/>
        </w:rPr>
        <w:t>7. Проверка защиты от блуждающих токов.</w:t>
      </w:r>
    </w:p>
    <w:p>
      <w:pPr>
        <w:pStyle w:val="Normal"/>
        <w:ind w:firstLine="283"/>
        <w:jc w:val="both"/>
        <w:rPr/>
      </w:pPr>
      <w:r>
        <w:rPr/>
        <w:t>Производится проверка действия установленных катодных защит.</w:t>
      </w:r>
    </w:p>
    <w:p>
      <w:pPr>
        <w:pStyle w:val="Normal"/>
        <w:ind w:firstLine="283"/>
        <w:jc w:val="both"/>
        <w:rPr>
          <w:b/>
          <w:b/>
          <w:bCs/>
        </w:rPr>
      </w:pPr>
      <w:r>
        <w:rPr>
          <w:b/>
          <w:bCs/>
        </w:rPr>
        <w:t>8. Испытание на наличие нерастворенного воздуха (пропиточное испытание).</w:t>
      </w:r>
    </w:p>
    <w:p>
      <w:pPr>
        <w:pStyle w:val="Normal"/>
        <w:ind w:firstLine="283"/>
        <w:jc w:val="both"/>
        <w:rPr/>
      </w:pPr>
      <w:r>
        <w:rPr/>
        <w:t>Производится для маслонаполненных кабельных линий 110 - 500 кВ. Содержание нерастворенного воздуха в масле должно быть не более 0,1 %.</w:t>
      </w:r>
    </w:p>
    <w:p>
      <w:pPr>
        <w:pStyle w:val="Normal"/>
        <w:ind w:firstLine="283"/>
        <w:jc w:val="both"/>
        <w:rPr>
          <w:b/>
          <w:b/>
          <w:bCs/>
        </w:rPr>
      </w:pPr>
      <w:r>
        <w:rPr>
          <w:b/>
          <w:bCs/>
        </w:rPr>
        <w:t>9. Испытание подпитывающих агрегатов и автоматического подогрева концевых муфт.</w:t>
      </w:r>
    </w:p>
    <w:p>
      <w:pPr>
        <w:pStyle w:val="Normal"/>
        <w:ind w:firstLine="283"/>
        <w:jc w:val="both"/>
        <w:rPr/>
      </w:pPr>
      <w:r>
        <w:rPr/>
        <w:t>Производится для маслонаполненных кабельных линий 110 - 500 кВ.</w:t>
      </w:r>
    </w:p>
    <w:p>
      <w:pPr>
        <w:pStyle w:val="Normal"/>
        <w:ind w:firstLine="283"/>
        <w:jc w:val="both"/>
        <w:rPr>
          <w:b/>
          <w:b/>
          <w:bCs/>
        </w:rPr>
      </w:pPr>
      <w:r>
        <w:rPr>
          <w:b/>
          <w:bCs/>
        </w:rPr>
        <w:t>10. Проверка антикоррозийных защит.</w:t>
      </w:r>
    </w:p>
    <w:p>
      <w:pPr>
        <w:pStyle w:val="Normal"/>
        <w:ind w:firstLine="283"/>
        <w:jc w:val="both"/>
        <w:rPr/>
      </w:pPr>
      <w:r>
        <w:rPr/>
        <w:t>При приемке линий в эксплуатацию и в процессе эксплуатации проверяется работа антикоррозионных защит для:</w:t>
      </w:r>
    </w:p>
    <w:p>
      <w:pPr>
        <w:pStyle w:val="Normal"/>
        <w:ind w:firstLine="283"/>
        <w:jc w:val="both"/>
        <w:rPr/>
      </w:pPr>
      <w:r>
        <w:rPr/>
        <w:t>- 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плотности тока утечки в землю выше 0,15 мА/дм</w:t>
      </w:r>
      <w:r>
        <w:rPr>
          <w:vertAlign w:val="superscript"/>
        </w:rPr>
        <w:t>2</w:t>
      </w:r>
      <w:r>
        <w:rPr/>
        <w:t>;</w:t>
      </w:r>
    </w:p>
    <w:p>
      <w:pPr>
        <w:pStyle w:val="Normal"/>
        <w:ind w:firstLine="283"/>
        <w:jc w:val="both"/>
        <w:rPr/>
      </w:pPr>
      <w:r>
        <w:rPr/>
        <w:t>- 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в землю;</w:t>
      </w:r>
    </w:p>
    <w:p>
      <w:pPr>
        <w:pStyle w:val="Normal"/>
        <w:ind w:firstLine="283"/>
        <w:jc w:val="both"/>
        <w:rPr/>
      </w:pPr>
      <w:r>
        <w:rPr/>
        <w:t>- кабелей с незащищенной оболочкой и разрушенными броней и защитными покровами;</w:t>
      </w:r>
    </w:p>
    <w:p>
      <w:pPr>
        <w:pStyle w:val="Normal"/>
        <w:ind w:firstLine="283"/>
        <w:jc w:val="both"/>
        <w:rPr/>
      </w:pPr>
      <w:r>
        <w:rPr/>
        <w:t>- стального трубопровода кабелей высокого давления независимо от агрессивности грунта и видов изоляционных покрытий.</w:t>
      </w:r>
    </w:p>
    <w:p>
      <w:pPr>
        <w:pStyle w:val="Normal"/>
        <w:ind w:firstLine="283"/>
        <w:jc w:val="both"/>
        <w:rPr/>
      </w:pPr>
      <w:r>
        <w:rPr/>
        <w:t>При проверке измеряются потенциалы и токи в оболочках кабелей и параметры электрозащиты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pPr>
        <w:pStyle w:val="Normal"/>
        <w:ind w:firstLine="283"/>
        <w:jc w:val="both"/>
        <w:rPr/>
      </w:pPr>
      <w:r>
        <w:rPr/>
        <w:t>Оценку коррозионной активности грунтов и естественных вод следует производить в соответствии с требованиями ГОСТ 9.602-89.</w:t>
      </w:r>
    </w:p>
    <w:p>
      <w:pPr>
        <w:pStyle w:val="Normal"/>
        <w:ind w:firstLine="283"/>
        <w:jc w:val="both"/>
        <w:rPr>
          <w:b/>
          <w:b/>
          <w:bCs/>
        </w:rPr>
      </w:pPr>
      <w:r>
        <w:rPr>
          <w:b/>
          <w:bCs/>
        </w:rPr>
        <w:t>11. Определение характеристик масла и изоляционной жидкости.</w:t>
      </w:r>
    </w:p>
    <w:p>
      <w:pPr>
        <w:pStyle w:val="Normal"/>
        <w:ind w:firstLine="283"/>
        <w:jc w:val="both"/>
        <w:rPr/>
      </w:pPr>
      <w:r>
        <w:rP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p>
      <w:pPr>
        <w:pStyle w:val="Normal"/>
        <w:ind w:firstLine="283"/>
        <w:jc w:val="both"/>
        <w:rPr/>
      </w:pPr>
      <w:r>
        <w:rPr/>
        <w:t>Пробы масел марок С-220, МН-3 и МН-4 и изоляционной жидкости марки ПМС должны удовлетворять требованиям норм табл. 1.8.41. и 1.8.42.</w:t>
      </w:r>
    </w:p>
    <w:p>
      <w:pPr>
        <w:pStyle w:val="Normal"/>
        <w:ind w:firstLine="283"/>
        <w:jc w:val="both"/>
        <w:rPr/>
      </w:pPr>
      <w:r>
        <w:rPr/>
        <w:t xml:space="preserve">Если значения электрической прочности и степени дегазации масла МН-4 соответствуют нормам, а значения </w:t>
      </w:r>
      <w:r>
        <w:rPr>
          <w:i/>
          <w:iCs/>
        </w:rPr>
        <w:t>tg</w:t>
      </w:r>
      <w:r>
        <w:rPr/>
        <w:t xml:space="preserve">δ, измеренные по методике ГОСТ 6581-75, превышают указанные в табл. 1.8.42, пробу масла дополнительно выдерживают при температуре 100 °С в течение 2 ч, периодически измеряя </w:t>
      </w:r>
      <w:r>
        <w:rPr>
          <w:i/>
          <w:iCs/>
        </w:rPr>
        <w:t>tg</w:t>
      </w:r>
      <w:r>
        <w:rPr/>
        <w:t xml:space="preserve">δ. При уменьшении значения </w:t>
      </w:r>
      <w:r>
        <w:rPr>
          <w:i/>
          <w:iCs/>
        </w:rPr>
        <w:t>tg</w:t>
      </w:r>
      <w:r>
        <w:rPr/>
        <w:t>δ проба масла выдерживается при температуре 100 °С до получения установившегося значения, которое принимается за контрольное значение.</w:t>
      </w:r>
    </w:p>
    <w:p>
      <w:pPr>
        <w:pStyle w:val="Normal"/>
        <w:ind w:firstLine="283"/>
        <w:jc w:val="both"/>
        <w:rPr>
          <w:b/>
          <w:b/>
          <w:bCs/>
        </w:rPr>
      </w:pPr>
      <w:r>
        <w:rPr>
          <w:b/>
          <w:bCs/>
        </w:rPr>
        <w:t>12. Измерение сопротивления заземления.</w:t>
      </w:r>
    </w:p>
    <w:p>
      <w:pPr>
        <w:pStyle w:val="Normal"/>
        <w:ind w:firstLine="283"/>
        <w:jc w:val="both"/>
        <w:rPr/>
      </w:pPr>
      <w:r>
        <w:rPr/>
        <w:t>Производится на линиях всех напряжений для концевых заделок, а на линиях 110 - 500 кВ, кроме того, для металлических конструкций кабельных колодцев и подпиточных пунктов.</w:t>
      </w:r>
    </w:p>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41</w:t>
      </w:r>
    </w:p>
    <w:p>
      <w:pPr>
        <w:pStyle w:val="Normal"/>
        <w:spacing w:before="0" w:after="120"/>
        <w:jc w:val="center"/>
        <w:rPr/>
      </w:pPr>
      <w:r>
        <w:rPr>
          <w:b/>
          <w:bCs/>
          <w:i/>
          <w:iCs/>
        </w:rPr>
        <w:t>Нормы</w:t>
      </w:r>
      <w:r>
        <w:rPr>
          <w:b/>
          <w:bCs/>
        </w:rPr>
        <w:t xml:space="preserve"> </w:t>
      </w:r>
      <w:r>
        <w:rPr>
          <w:b/>
          <w:bCs/>
          <w:i/>
          <w:iCs/>
        </w:rPr>
        <w:t>на</w:t>
      </w:r>
      <w:r>
        <w:rPr>
          <w:b/>
          <w:bCs/>
        </w:rPr>
        <w:t xml:space="preserve"> </w:t>
      </w:r>
      <w:r>
        <w:rPr>
          <w:b/>
          <w:bCs/>
          <w:i/>
          <w:iCs/>
        </w:rPr>
        <w:t>показатели</w:t>
      </w:r>
      <w:r>
        <w:rPr>
          <w:b/>
          <w:bCs/>
        </w:rPr>
        <w:t xml:space="preserve"> </w:t>
      </w:r>
      <w:r>
        <w:rPr>
          <w:b/>
          <w:bCs/>
          <w:i/>
          <w:iCs/>
        </w:rPr>
        <w:t>качества</w:t>
      </w:r>
      <w:r>
        <w:rPr>
          <w:b/>
          <w:bCs/>
        </w:rPr>
        <w:t xml:space="preserve"> </w:t>
      </w:r>
      <w:r>
        <w:rPr>
          <w:b/>
          <w:bCs/>
          <w:i/>
          <w:iCs/>
        </w:rPr>
        <w:t>масел</w:t>
      </w:r>
      <w:r>
        <w:rPr>
          <w:b/>
          <w:bCs/>
        </w:rPr>
        <w:t xml:space="preserve"> </w:t>
      </w:r>
      <w:r>
        <w:rPr>
          <w:b/>
          <w:bCs/>
          <w:i/>
          <w:iCs/>
        </w:rPr>
        <w:t>марок</w:t>
      </w:r>
      <w:r>
        <w:rPr>
          <w:b/>
          <w:bCs/>
        </w:rPr>
        <w:t xml:space="preserve"> </w:t>
      </w:r>
      <w:r>
        <w:rPr>
          <w:b/>
          <w:bCs/>
          <w:i/>
          <w:iCs/>
        </w:rPr>
        <w:t>С</w:t>
      </w:r>
      <w:r>
        <w:rPr>
          <w:b/>
          <w:bCs/>
        </w:rPr>
        <w:t>-</w:t>
      </w:r>
      <w:r>
        <w:rPr>
          <w:b/>
          <w:bCs/>
          <w:i/>
          <w:iCs/>
        </w:rPr>
        <w:t>220</w:t>
      </w:r>
      <w:r>
        <w:rPr>
          <w:b/>
          <w:bCs/>
        </w:rPr>
        <w:t xml:space="preserve">, </w:t>
      </w:r>
      <w:r>
        <w:rPr>
          <w:b/>
          <w:bCs/>
          <w:i/>
          <w:iCs/>
        </w:rPr>
        <w:t>МН</w:t>
      </w:r>
      <w:r>
        <w:rPr>
          <w:b/>
          <w:bCs/>
        </w:rPr>
        <w:t>-</w:t>
      </w:r>
      <w:r>
        <w:rPr>
          <w:b/>
          <w:bCs/>
          <w:i/>
          <w:iCs/>
        </w:rPr>
        <w:t>3</w:t>
      </w:r>
      <w:r>
        <w:rPr>
          <w:b/>
          <w:bCs/>
        </w:rPr>
        <w:t xml:space="preserve"> </w:t>
      </w:r>
      <w:r>
        <w:rPr>
          <w:b/>
          <w:bCs/>
          <w:i/>
          <w:iCs/>
        </w:rPr>
        <w:t>и</w:t>
      </w:r>
      <w:r>
        <w:rPr>
          <w:b/>
          <w:bCs/>
        </w:rPr>
        <w:t xml:space="preserve"> </w:t>
      </w:r>
      <w:r>
        <w:rPr>
          <w:b/>
          <w:bCs/>
          <w:i/>
          <w:iCs/>
        </w:rPr>
        <w:t>МН</w:t>
      </w:r>
      <w:r>
        <w:rPr>
          <w:b/>
          <w:bCs/>
        </w:rPr>
        <w:t>-</w:t>
      </w:r>
      <w:r>
        <w:rPr>
          <w:b/>
          <w:bCs/>
          <w:i/>
          <w:iCs/>
        </w:rPr>
        <w:t>4</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марки</w:t>
      </w:r>
      <w:r>
        <w:rPr>
          <w:b/>
          <w:bCs/>
        </w:rPr>
        <w:t xml:space="preserve"> </w:t>
      </w:r>
      <w:r>
        <w:rPr>
          <w:b/>
          <w:bCs/>
          <w:i/>
          <w:iCs/>
        </w:rPr>
        <w:t>ПМС</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452"/>
        <w:gridCol w:w="1436"/>
        <w:gridCol w:w="1435"/>
        <w:gridCol w:w="1032"/>
      </w:tblGrid>
      <w:tr>
        <w:trPr>
          <w:tblHeader w:val="true"/>
        </w:trPr>
        <w:tc>
          <w:tcPr>
            <w:tcW w:w="5452" w:type="dxa"/>
            <w:vMerge w:val="restart"/>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Показатель качества масла</w:t>
            </w:r>
          </w:p>
        </w:tc>
        <w:tc>
          <w:tcPr>
            <w:tcW w:w="3903"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Для вновь вводимой линии</w:t>
            </w:r>
          </w:p>
        </w:tc>
      </w:tr>
      <w:tr>
        <w:trPr>
          <w:tblHeader w:val="true"/>
        </w:trPr>
        <w:tc>
          <w:tcPr>
            <w:tcW w:w="5452" w:type="dxa"/>
            <w:vMerge w:val="continue"/>
            <w:tcBorders>
              <w:top w:val="single" w:sz="8" w:space="0" w:color="000000"/>
              <w:left w:val="single" w:sz="8" w:space="0" w:color="000000"/>
              <w:bottom w:val="single" w:sz="8" w:space="0" w:color="000000"/>
              <w:insideH w:val="single" w:sz="8" w:space="0" w:color="000000"/>
            </w:tcBorders>
            <w:shd w:fill="auto" w:val="clear"/>
            <w:vAlign w:val="center"/>
          </w:tcPr>
          <w:p>
            <w:pPr>
              <w:pStyle w:val="Normal"/>
              <w:snapToGrid w:val="false"/>
              <w:rPr/>
            </w:pPr>
            <w:r>
              <w:rPr/>
            </w:r>
          </w:p>
        </w:tc>
        <w:tc>
          <w:tcPr>
            <w:tcW w:w="1436" w:type="dxa"/>
            <w:tcBorders>
              <w:left w:val="single" w:sz="8" w:space="0" w:color="000000"/>
              <w:bottom w:val="single" w:sz="8" w:space="0" w:color="000000"/>
              <w:insideH w:val="single" w:sz="8" w:space="0" w:color="000000"/>
            </w:tcBorders>
            <w:shd w:fill="auto" w:val="clear"/>
            <w:vAlign w:val="center"/>
          </w:tcPr>
          <w:p>
            <w:pPr>
              <w:pStyle w:val="Normal"/>
              <w:jc w:val="center"/>
              <w:rPr/>
            </w:pPr>
            <w:r>
              <w:rPr/>
              <w:t>С-220, 5РА</w:t>
            </w:r>
          </w:p>
        </w:tc>
        <w:tc>
          <w:tcPr>
            <w:tcW w:w="1435" w:type="dxa"/>
            <w:tcBorders>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МН-3, МН-4</w:t>
            </w:r>
          </w:p>
        </w:tc>
        <w:tc>
          <w:tcPr>
            <w:tcW w:w="10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ПМС</w:t>
            </w:r>
          </w:p>
        </w:tc>
      </w:tr>
      <w:tr>
        <w:trPr/>
        <w:tc>
          <w:tcPr>
            <w:tcW w:w="5452" w:type="dxa"/>
            <w:tcBorders>
              <w:left w:val="single" w:sz="8" w:space="0" w:color="000000"/>
              <w:bottom w:val="single" w:sz="8" w:space="0" w:color="000000"/>
              <w:insideH w:val="single" w:sz="8" w:space="0" w:color="000000"/>
            </w:tcBorders>
            <w:shd w:fill="auto" w:val="clear"/>
          </w:tcPr>
          <w:p>
            <w:pPr>
              <w:pStyle w:val="Normal"/>
              <w:jc w:val="both"/>
              <w:rPr/>
            </w:pPr>
            <w:r>
              <w:rPr/>
              <w:t>Пробивное напряжение в стандартном сосуде, кВ, не менее</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45</w:t>
            </w:r>
          </w:p>
        </w:tc>
        <w:tc>
          <w:tcPr>
            <w:tcW w:w="143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45</w:t>
            </w:r>
          </w:p>
        </w:tc>
        <w:tc>
          <w:tcPr>
            <w:tcW w:w="10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35</w:t>
            </w:r>
          </w:p>
        </w:tc>
      </w:tr>
      <w:tr>
        <w:trPr/>
        <w:tc>
          <w:tcPr>
            <w:tcW w:w="5452" w:type="dxa"/>
            <w:tcBorders>
              <w:left w:val="single" w:sz="8" w:space="0" w:color="000000"/>
              <w:bottom w:val="single" w:sz="8" w:space="0" w:color="000000"/>
              <w:insideH w:val="single" w:sz="8" w:space="0" w:color="000000"/>
            </w:tcBorders>
            <w:shd w:fill="auto" w:val="clear"/>
          </w:tcPr>
          <w:p>
            <w:pPr>
              <w:pStyle w:val="Normal"/>
              <w:jc w:val="both"/>
              <w:rPr/>
            </w:pPr>
            <w:r>
              <w:rPr/>
              <w:t>Степень дегазации (растворенный газ), не более</w:t>
            </w:r>
          </w:p>
        </w:tc>
        <w:tc>
          <w:tcPr>
            <w:tcW w:w="1436"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0,5</w:t>
            </w:r>
          </w:p>
        </w:tc>
        <w:tc>
          <w:tcPr>
            <w:tcW w:w="1435"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0,1</w:t>
            </w:r>
          </w:p>
        </w:tc>
        <w:tc>
          <w:tcPr>
            <w:tcW w:w="1032"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w:t>
            </w:r>
          </w:p>
        </w:tc>
      </w:tr>
      <w:tr>
        <w:trPr/>
        <w:tc>
          <w:tcPr>
            <w:tcW w:w="9355"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93"/>
              <w:jc w:val="both"/>
              <w:rPr/>
            </w:pPr>
            <w:r>
              <w:rPr>
                <w:i/>
                <w:iCs/>
                <w:spacing w:val="40"/>
              </w:rPr>
              <w:t>Примечание</w:t>
            </w:r>
            <w:r>
              <w:rPr/>
              <w:t>. Испытания масел, не указанных в табл. 1.8.39, производить в соответствии с требованием изготовителя.</w:t>
            </w:r>
          </w:p>
        </w:tc>
      </w:tr>
    </w:tbl>
    <w:p>
      <w:pPr>
        <w:pStyle w:val="Normal"/>
        <w:spacing w:before="120" w:after="120"/>
        <w:jc w:val="right"/>
        <w:rPr/>
      </w:pPr>
      <w:r>
        <w:rPr>
          <w:i/>
          <w:iCs/>
          <w:spacing w:val="40"/>
        </w:rPr>
        <w:t>Таблица</w:t>
      </w:r>
      <w:r>
        <w:rPr>
          <w:spacing w:val="40"/>
        </w:rPr>
        <w:t xml:space="preserve"> </w:t>
      </w:r>
      <w:r>
        <w:rPr>
          <w:i/>
          <w:iCs/>
        </w:rPr>
        <w:t>1</w:t>
      </w:r>
      <w:r>
        <w:rPr/>
        <w:t>.</w:t>
      </w:r>
      <w:r>
        <w:rPr>
          <w:i/>
          <w:iCs/>
        </w:rPr>
        <w:t>8</w:t>
      </w:r>
      <w:r>
        <w:rPr/>
        <w:t>.</w:t>
      </w:r>
      <w:r>
        <w:rPr>
          <w:i/>
          <w:iCs/>
        </w:rPr>
        <w:t>42</w:t>
      </w:r>
    </w:p>
    <w:p>
      <w:pPr>
        <w:pStyle w:val="Normal"/>
        <w:spacing w:before="0" w:after="120"/>
        <w:jc w:val="center"/>
        <w:rPr/>
      </w:pPr>
      <w:r>
        <w:rPr>
          <w:b/>
          <w:bCs/>
          <w:i/>
          <w:iCs/>
        </w:rPr>
        <w:t>Тангенс</w:t>
      </w:r>
      <w:r>
        <w:rPr>
          <w:b/>
          <w:bCs/>
        </w:rPr>
        <w:t xml:space="preserve"> </w:t>
      </w:r>
      <w:r>
        <w:rPr>
          <w:b/>
          <w:bCs/>
          <w:i/>
          <w:iCs/>
        </w:rPr>
        <w:t>угла</w:t>
      </w:r>
      <w:r>
        <w:rPr>
          <w:b/>
          <w:bCs/>
        </w:rPr>
        <w:t xml:space="preserve"> </w:t>
      </w:r>
      <w:r>
        <w:rPr>
          <w:b/>
          <w:bCs/>
          <w:i/>
          <w:iCs/>
        </w:rPr>
        <w:t>диэлектрических</w:t>
      </w:r>
      <w:r>
        <w:rPr>
          <w:b/>
          <w:bCs/>
        </w:rPr>
        <w:t xml:space="preserve"> </w:t>
      </w:r>
      <w:r>
        <w:rPr>
          <w:b/>
          <w:bCs/>
          <w:i/>
          <w:iCs/>
        </w:rPr>
        <w:t>потерь</w:t>
      </w:r>
      <w:r>
        <w:rPr>
          <w:b/>
          <w:bCs/>
        </w:rPr>
        <w:t xml:space="preserve"> </w:t>
      </w:r>
      <w:r>
        <w:rPr>
          <w:b/>
          <w:bCs/>
          <w:i/>
          <w:iCs/>
        </w:rPr>
        <w:t>масла</w:t>
      </w:r>
      <w:r>
        <w:rPr>
          <w:b/>
          <w:bCs/>
        </w:rPr>
        <w:t xml:space="preserve"> </w:t>
      </w:r>
      <w:r>
        <w:rPr>
          <w:b/>
          <w:bCs/>
          <w:i/>
          <w:iCs/>
        </w:rPr>
        <w:t>и</w:t>
      </w:r>
      <w:r>
        <w:rPr>
          <w:b/>
          <w:bCs/>
        </w:rPr>
        <w:t xml:space="preserve"> </w:t>
      </w:r>
      <w:r>
        <w:rPr>
          <w:b/>
          <w:bCs/>
          <w:i/>
          <w:iCs/>
        </w:rPr>
        <w:t>изоляционной</w:t>
      </w:r>
      <w:r>
        <w:rPr>
          <w:b/>
          <w:bCs/>
        </w:rPr>
        <w:t xml:space="preserve"> </w:t>
      </w:r>
      <w:r>
        <w:rPr>
          <w:b/>
          <w:bCs/>
          <w:i/>
          <w:iCs/>
        </w:rPr>
        <w:t>жидкости</w:t>
      </w:r>
      <w:r>
        <w:rPr>
          <w:b/>
          <w:bCs/>
        </w:rPr>
        <w:t xml:space="preserve"> (</w:t>
      </w:r>
      <w:r>
        <w:rPr>
          <w:b/>
          <w:bCs/>
          <w:i/>
          <w:iCs/>
        </w:rPr>
        <w:t>при</w:t>
      </w:r>
      <w:r>
        <w:rPr>
          <w:b/>
          <w:bCs/>
        </w:rPr>
        <w:t xml:space="preserve"> </w:t>
      </w:r>
      <w:r>
        <w:rPr>
          <w:b/>
          <w:bCs/>
          <w:i/>
          <w:iCs/>
        </w:rPr>
        <w:t>100 °C</w:t>
      </w:r>
      <w:r>
        <w:rPr>
          <w:b/>
          <w:bCs/>
        </w:rPr>
        <w:t xml:space="preserve">), %, </w:t>
      </w:r>
      <w:r>
        <w:rPr>
          <w:b/>
          <w:bCs/>
          <w:i/>
          <w:iCs/>
        </w:rPr>
        <w:t>не</w:t>
      </w:r>
      <w:r>
        <w:rPr>
          <w:b/>
          <w:bCs/>
        </w:rPr>
        <w:t xml:space="preserve"> </w:t>
      </w:r>
      <w:r>
        <w:rPr>
          <w:b/>
          <w:bCs/>
          <w:i/>
          <w:iCs/>
        </w:rPr>
        <w:t>более</w:t>
      </w:r>
      <w:r>
        <w:rPr>
          <w:b/>
          <w:bCs/>
        </w:rPr>
        <w:t xml:space="preserve">, </w:t>
      </w:r>
      <w:r>
        <w:rPr>
          <w:b/>
          <w:bCs/>
          <w:i/>
          <w:iCs/>
        </w:rPr>
        <w:t>для</w:t>
      </w:r>
      <w:r>
        <w:rPr>
          <w:b/>
          <w:bCs/>
        </w:rPr>
        <w:t xml:space="preserve"> </w:t>
      </w:r>
      <w:r>
        <w:rPr>
          <w:b/>
          <w:bCs/>
          <w:i/>
          <w:iCs/>
        </w:rPr>
        <w:t>кабелей</w:t>
      </w:r>
      <w:r>
        <w:rPr>
          <w:b/>
          <w:bCs/>
        </w:rPr>
        <w:t xml:space="preserve"> </w:t>
      </w:r>
      <w:r>
        <w:rPr>
          <w:b/>
          <w:bCs/>
          <w:i/>
          <w:iCs/>
        </w:rPr>
        <w:t>на</w:t>
      </w:r>
      <w:r>
        <w:rPr>
          <w:b/>
          <w:bCs/>
        </w:rPr>
        <w:t xml:space="preserve"> </w:t>
      </w:r>
      <w:r>
        <w:rPr>
          <w:b/>
          <w:bCs/>
          <w:i/>
          <w:iCs/>
        </w:rPr>
        <w:t>напряжение</w:t>
      </w:r>
      <w:r>
        <w:rPr>
          <w:b/>
          <w:bCs/>
        </w:rPr>
        <w:t xml:space="preserve">, </w:t>
      </w:r>
      <w:r>
        <w:rPr>
          <w:b/>
          <w:bCs/>
          <w:i/>
          <w:iCs/>
        </w:rPr>
        <w:t>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135"/>
        <w:gridCol w:w="3067"/>
        <w:gridCol w:w="3153"/>
      </w:tblGrid>
      <w:tr>
        <w:trPr>
          <w:tblHeader w:val="true"/>
        </w:trPr>
        <w:tc>
          <w:tcPr>
            <w:tcW w:w="3135" w:type="dxa"/>
            <w:tcBorders>
              <w:top w:val="single" w:sz="8" w:space="0" w:color="000000"/>
              <w:left w:val="single" w:sz="8" w:space="0" w:color="000000"/>
              <w:bottom w:val="single" w:sz="8" w:space="0" w:color="000000"/>
              <w:insideH w:val="single" w:sz="8" w:space="0" w:color="000000"/>
            </w:tcBorders>
            <w:shd w:fill="auto" w:val="clear"/>
            <w:vAlign w:val="center"/>
          </w:tcPr>
          <w:p>
            <w:pPr>
              <w:pStyle w:val="Normal"/>
              <w:jc w:val="center"/>
              <w:rPr/>
            </w:pPr>
            <w:r>
              <w:rPr/>
              <w:t>110</w:t>
            </w:r>
          </w:p>
        </w:tc>
        <w:tc>
          <w:tcPr>
            <w:tcW w:w="3067" w:type="dxa"/>
            <w:tcBorders>
              <w:top w:val="single" w:sz="8" w:space="0" w:color="000000"/>
              <w:left w:val="single" w:sz="8" w:space="0" w:color="000000"/>
              <w:bottom w:val="single" w:sz="8" w:space="0" w:color="000000"/>
              <w:insideH w:val="single" w:sz="8" w:space="0" w:color="000000"/>
            </w:tcBorders>
            <w:shd w:fill="auto" w:val="clear"/>
            <w:tcMar>
              <w:left w:w="0" w:type="dxa"/>
              <w:right w:w="0" w:type="dxa"/>
            </w:tcMar>
            <w:vAlign w:val="center"/>
          </w:tcPr>
          <w:p>
            <w:pPr>
              <w:pStyle w:val="Normal"/>
              <w:jc w:val="center"/>
              <w:rPr/>
            </w:pPr>
            <w:r>
              <w:rPr/>
              <w:t>150 - 220</w:t>
            </w:r>
          </w:p>
        </w:tc>
        <w:tc>
          <w:tcPr>
            <w:tcW w:w="315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vAlign w:val="center"/>
          </w:tcPr>
          <w:p>
            <w:pPr>
              <w:pStyle w:val="Normal"/>
              <w:jc w:val="center"/>
              <w:rPr/>
            </w:pPr>
            <w:r>
              <w:rPr/>
              <w:t>330 - 500</w:t>
            </w:r>
          </w:p>
        </w:tc>
      </w:tr>
      <w:tr>
        <w:trPr/>
        <w:tc>
          <w:tcPr>
            <w:tcW w:w="3135" w:type="dxa"/>
            <w:tcBorders>
              <w:left w:val="single" w:sz="8" w:space="0" w:color="000000"/>
              <w:bottom w:val="single" w:sz="8" w:space="0" w:color="000000"/>
              <w:insideH w:val="single" w:sz="8" w:space="0" w:color="000000"/>
            </w:tcBorders>
            <w:shd w:fill="auto" w:val="clear"/>
          </w:tcPr>
          <w:p>
            <w:pPr>
              <w:pStyle w:val="Normal"/>
              <w:jc w:val="center"/>
              <w:rPr/>
            </w:pPr>
            <w:r>
              <w:rPr/>
              <w:t>0,5/0,8</w:t>
            </w:r>
            <w:r>
              <w:rPr>
                <w:vertAlign w:val="superscript"/>
              </w:rPr>
              <w:t>*</w:t>
            </w:r>
          </w:p>
        </w:tc>
        <w:tc>
          <w:tcPr>
            <w:tcW w:w="3067" w:type="dxa"/>
            <w:tcBorders>
              <w:left w:val="single" w:sz="8" w:space="0" w:color="000000"/>
              <w:bottom w:val="single" w:sz="8" w:space="0" w:color="000000"/>
              <w:insideH w:val="single" w:sz="8" w:space="0" w:color="000000"/>
            </w:tcBorders>
            <w:shd w:fill="auto" w:val="clear"/>
            <w:tcMar>
              <w:left w:w="0" w:type="dxa"/>
              <w:right w:w="0" w:type="dxa"/>
            </w:tcMar>
          </w:tcPr>
          <w:p>
            <w:pPr>
              <w:pStyle w:val="Normal"/>
              <w:jc w:val="center"/>
              <w:rPr/>
            </w:pPr>
            <w:r>
              <w:rPr/>
              <w:t>0,5/0,8</w:t>
            </w:r>
            <w:r>
              <w:rPr>
                <w:vertAlign w:val="superscript"/>
              </w:rPr>
              <w:t>*</w:t>
            </w:r>
          </w:p>
        </w:tc>
        <w:tc>
          <w:tcPr>
            <w:tcW w:w="3153"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jc w:val="center"/>
              <w:rPr/>
            </w:pPr>
            <w:r>
              <w:rPr/>
              <w:t>0,5/-</w:t>
            </w:r>
          </w:p>
        </w:tc>
      </w:tr>
      <w:tr>
        <w:trPr/>
        <w:tc>
          <w:tcPr>
            <w:tcW w:w="9355" w:type="dxa"/>
            <w:gridSpan w:val="3"/>
            <w:tcBorders>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before="120" w:after="0"/>
              <w:ind w:firstLine="233"/>
              <w:jc w:val="both"/>
              <w:rPr/>
            </w:pPr>
            <w:r>
              <w:rPr/>
              <w:t>*В числителе указано значение для масел марок С-220, в знаменателе - для МН-3, МН-4 и ПМС</w:t>
            </w:r>
          </w:p>
        </w:tc>
      </w:tr>
    </w:tbl>
    <w:p>
      <w:pPr>
        <w:pStyle w:val="Heading3"/>
        <w:rPr/>
      </w:pPr>
      <w:r>
        <w:rPr/>
        <w:t>1.8.41. Воздушные линии электропередачи напряжением выше 1 кВ</w:t>
      </w:r>
    </w:p>
    <w:p>
      <w:pPr>
        <w:pStyle w:val="Normal"/>
        <w:ind w:firstLine="283"/>
        <w:jc w:val="both"/>
        <w:rPr>
          <w:b/>
          <w:b/>
          <w:bCs/>
        </w:rPr>
      </w:pPr>
      <w:r>
        <w:rPr>
          <w:b/>
          <w:bCs/>
        </w:rPr>
        <w:t>1. Проверка изоляторов.</w:t>
      </w:r>
    </w:p>
    <w:p>
      <w:pPr>
        <w:pStyle w:val="Normal"/>
        <w:ind w:firstLine="283"/>
        <w:jc w:val="both"/>
        <w:rPr/>
      </w:pPr>
      <w:r>
        <w:rPr/>
        <w:t>Производится внешним осмотром.</w:t>
      </w:r>
    </w:p>
    <w:p>
      <w:pPr>
        <w:pStyle w:val="Normal"/>
        <w:ind w:firstLine="283"/>
        <w:jc w:val="both"/>
        <w:rPr>
          <w:b/>
          <w:b/>
          <w:bCs/>
        </w:rPr>
      </w:pPr>
      <w:r>
        <w:rPr>
          <w:b/>
          <w:bCs/>
        </w:rPr>
        <w:t>2. Проверка соединений проводов.</w:t>
      </w:r>
    </w:p>
    <w:p>
      <w:pPr>
        <w:pStyle w:val="Normal"/>
        <w:ind w:firstLine="283"/>
        <w:jc w:val="both"/>
        <w:rPr/>
      </w:pPr>
      <w:r>
        <w:rPr/>
        <w:t>Производится согласно 1.8.27.</w:t>
      </w:r>
    </w:p>
    <w:p>
      <w:pPr>
        <w:pStyle w:val="Normal"/>
        <w:ind w:firstLine="283"/>
        <w:jc w:val="both"/>
        <w:rPr>
          <w:b/>
          <w:b/>
          <w:bCs/>
        </w:rPr>
      </w:pPr>
      <w:r>
        <w:rPr>
          <w:b/>
          <w:bCs/>
        </w:rPr>
        <w:t>3. Измерение сопротивления заземления опор, их оттяжек и тросов.</w:t>
      </w:r>
    </w:p>
    <w:p>
      <w:pPr>
        <w:pStyle w:val="Normal"/>
        <w:ind w:firstLine="283"/>
        <w:jc w:val="both"/>
        <w:rPr/>
      </w:pPr>
      <w:r>
        <w:rPr>
          <w:b/>
          <w:bCs/>
        </w:rPr>
        <w:t xml:space="preserve">4. Производится в соответствии с </w:t>
      </w:r>
      <w:r>
        <w:rPr/>
        <w:t xml:space="preserve">1.8.39 </w:t>
      </w:r>
      <w:r>
        <w:rPr>
          <w:b/>
          <w:bCs/>
        </w:rPr>
        <w:t>и указаниями главы 2.4.</w:t>
      </w:r>
    </w:p>
    <w:p>
      <w:pPr>
        <w:pStyle w:val="Heading2"/>
        <w:rPr/>
      </w:pPr>
      <w:bookmarkStart w:id="9" w:name="_%D0%93%D0%BB%D0%B0%D0%B2%D0%B0_1.9_%D0%"/>
      <w:bookmarkEnd w:id="9"/>
      <w:r>
        <w:rPr/>
        <w:t>Глава 1.9 ИЗОЛЯЦИЯ ЭЛЕКТРОУСТАНОВОК</w:t>
      </w:r>
    </w:p>
    <w:p>
      <w:pPr>
        <w:pStyle w:val="Normal"/>
        <w:jc w:val="right"/>
        <w:rPr/>
      </w:pPr>
      <w:r>
        <w:rPr/>
        <w:t>УТВЕРЖДЕНЫ</w:t>
      </w:r>
    </w:p>
    <w:p>
      <w:pPr>
        <w:pStyle w:val="Normal"/>
        <w:jc w:val="right"/>
        <w:rPr/>
      </w:pPr>
      <w:r>
        <w:rPr/>
        <w:t>Приказом Минэнерго России</w:t>
      </w:r>
    </w:p>
    <w:p>
      <w:pPr>
        <w:pStyle w:val="Normal"/>
        <w:jc w:val="right"/>
        <w:rPr/>
      </w:pPr>
      <w:r>
        <w:rPr/>
        <w:t>От 08.07.2002 № 204</w:t>
      </w:r>
    </w:p>
    <w:p>
      <w:pPr>
        <w:pStyle w:val="Heading3"/>
        <w:rPr/>
      </w:pPr>
      <w:r>
        <w:rPr/>
        <w:t>Область применения. Определения</w:t>
      </w:r>
    </w:p>
    <w:p>
      <w:pPr>
        <w:pStyle w:val="Normal"/>
        <w:shd w:fill="FFFFFF" w:val="clear"/>
        <w:ind w:firstLine="283"/>
        <w:jc w:val="both"/>
        <w:rPr/>
      </w:pPr>
      <w:r>
        <w:rPr>
          <w:b/>
          <w:bCs/>
        </w:rPr>
        <w:t>1.9.1.</w:t>
      </w:r>
      <w:r>
        <w:rPr/>
        <w:t xml:space="preserve"> Настоящая глава распространяется на выбор изоляции электроустановок переменного тока на номинальное напряжение 6-750 кВ.</w:t>
      </w:r>
    </w:p>
    <w:p>
      <w:pPr>
        <w:pStyle w:val="Normal"/>
        <w:shd w:fill="FFFFFF" w:val="clear"/>
        <w:ind w:firstLine="283"/>
        <w:jc w:val="both"/>
        <w:rPr/>
      </w:pPr>
      <w:r>
        <w:rPr>
          <w:b/>
          <w:bCs/>
        </w:rPr>
        <w:t>1.9.2.</w:t>
      </w:r>
      <w:r>
        <w:rPr/>
        <w:t xml:space="preserve"> </w:t>
      </w:r>
      <w:r>
        <w:rPr>
          <w:spacing w:val="50"/>
        </w:rPr>
        <w:t>Длина пути утечки</w:t>
      </w:r>
      <w:r>
        <w:rPr/>
        <w:t xml:space="preserve"> изоляции (изолятора) или составной изоляционной конструкции (</w:t>
      </w:r>
      <w:r>
        <w:rPr>
          <w:i/>
          <w:iCs/>
        </w:rPr>
        <w:t>L</w:t>
      </w:r>
      <w:r>
        <w:rPr/>
        <w:t>) -</w:t>
      </w:r>
      <w:r>
        <w:rPr>
          <w:i/>
          <w:iCs/>
        </w:rPr>
        <w:t xml:space="preserve"> </w:t>
      </w:r>
      <w:r>
        <w:rPr/>
        <w:t>наименьшее расстояние по поверхности изоляционной детали между металлическими частями разного потенциала.</w:t>
      </w:r>
    </w:p>
    <w:p>
      <w:pPr>
        <w:pStyle w:val="Normal"/>
        <w:shd w:fill="FFFFFF" w:val="clear"/>
        <w:ind w:firstLine="283"/>
        <w:jc w:val="both"/>
        <w:rPr/>
      </w:pPr>
      <w:r>
        <w:rPr>
          <w:b/>
          <w:bCs/>
        </w:rPr>
        <w:t>1.9.3.</w:t>
      </w:r>
      <w:r>
        <w:rPr/>
        <w:t xml:space="preserve"> </w:t>
      </w:r>
      <w:r>
        <w:rPr>
          <w:spacing w:val="50"/>
        </w:rPr>
        <w:t>Эффективная длина пути утечки</w:t>
      </w:r>
      <w:r>
        <w:rPr/>
        <w:t xml:space="preserve"> - часть длины пути утечки, определяющая электрическую прочность изолятора или изоляционной конструкции в условиях загрязнения и увлажнения.</w:t>
      </w:r>
    </w:p>
    <w:p>
      <w:pPr>
        <w:pStyle w:val="Normal"/>
        <w:shd w:fill="FFFFFF" w:val="clear"/>
        <w:ind w:firstLine="283"/>
        <w:jc w:val="both"/>
        <w:rPr/>
      </w:pPr>
      <w:r>
        <w:rPr>
          <w:spacing w:val="50"/>
        </w:rPr>
        <w:t>Удельная эффективная длина пути утечки</w:t>
      </w:r>
      <w:r>
        <w:rPr/>
        <w:t xml:space="preserve"> (</w:t>
      </w:r>
      <w:r>
        <w:rPr>
          <w:rFonts w:cs="Symbol" w:ascii="Symbol" w:hAnsi="Symbol"/>
          <w:i/>
          <w:iCs/>
        </w:rPr>
        <w:t></w:t>
      </w:r>
      <w:r>
        <w:rPr>
          <w:i/>
          <w:iCs/>
          <w:vertAlign w:val="subscript"/>
        </w:rPr>
        <w:t>э</w:t>
      </w:r>
      <w:r>
        <w:rPr/>
        <w:t>) - отношение эффективной длины пути утечки к наибольшему рабочему межфазному напряжению сети, в которой работает электроустановка.</w:t>
      </w:r>
    </w:p>
    <w:p>
      <w:pPr>
        <w:pStyle w:val="Normal"/>
        <w:shd w:fill="FFFFFF" w:val="clear"/>
        <w:ind w:firstLine="283"/>
        <w:jc w:val="both"/>
        <w:rPr/>
      </w:pPr>
      <w:r>
        <w:rPr>
          <w:b/>
          <w:bCs/>
        </w:rPr>
        <w:t>1.9.4.</w:t>
      </w:r>
      <w:r>
        <w:rPr/>
        <w:t xml:space="preserve"> </w:t>
      </w:r>
      <w:r>
        <w:rPr>
          <w:spacing w:val="50"/>
        </w:rPr>
        <w:t>Коэффициент использования длины пути утечки</w:t>
      </w:r>
      <w:r>
        <w:rPr/>
        <w:t xml:space="preserve"> (</w:t>
      </w:r>
      <w:r>
        <w:rPr>
          <w:i/>
          <w:iCs/>
        </w:rPr>
        <w:t>k</w:t>
      </w:r>
      <w:r>
        <w:rPr/>
        <w:t>) - поправочный коэффициент, учитывающий эффективность использования длины пути утечки изолятора или изоляционной конструкции.</w:t>
      </w:r>
    </w:p>
    <w:p>
      <w:pPr>
        <w:pStyle w:val="Normal"/>
        <w:shd w:fill="FFFFFF" w:val="clear"/>
        <w:ind w:firstLine="283"/>
        <w:jc w:val="both"/>
        <w:rPr/>
      </w:pPr>
      <w:r>
        <w:rPr>
          <w:b/>
          <w:bCs/>
        </w:rPr>
        <w:t>1.9.5</w:t>
      </w:r>
      <w:r>
        <w:rPr>
          <w:spacing w:val="50"/>
        </w:rPr>
        <w:t>. Степень загрязнения</w:t>
      </w:r>
      <w:r>
        <w:rPr/>
        <w:t xml:space="preserve"> (СЗ) - показатель, учитывающий влияние загрязненности атмосферы на снижение электрической прочности изоляции электроустановок.</w:t>
      </w:r>
    </w:p>
    <w:p>
      <w:pPr>
        <w:pStyle w:val="Normal"/>
        <w:shd w:fill="FFFFFF" w:val="clear"/>
        <w:ind w:firstLine="283"/>
        <w:jc w:val="both"/>
        <w:rPr/>
      </w:pPr>
      <w:r>
        <w:rPr>
          <w:b/>
          <w:bCs/>
        </w:rPr>
        <w:t>1.9.6.</w:t>
      </w:r>
      <w:r>
        <w:rPr/>
        <w:t xml:space="preserve"> </w:t>
      </w:r>
      <w:r>
        <w:rPr>
          <w:spacing w:val="50"/>
        </w:rPr>
        <w:t>Карта степеней загрязнения</w:t>
      </w:r>
      <w:r>
        <w:rPr/>
        <w:t xml:space="preserve"> (КСЗ) - географическая карта, районирующая территорию по СЗ.</w:t>
      </w:r>
    </w:p>
    <w:p>
      <w:pPr>
        <w:pStyle w:val="Heading3"/>
        <w:rPr/>
      </w:pPr>
      <w:r>
        <w:rPr/>
        <w:t>Общие требования</w:t>
      </w:r>
    </w:p>
    <w:p>
      <w:pPr>
        <w:pStyle w:val="Normal"/>
        <w:shd w:fill="FFFFFF" w:val="clear"/>
        <w:ind w:firstLine="283"/>
        <w:jc w:val="both"/>
        <w:rPr/>
      </w:pPr>
      <w:r>
        <w:rPr>
          <w:b/>
          <w:bCs/>
        </w:rPr>
        <w:t>1.9.7.</w:t>
      </w:r>
      <w:r>
        <w:rPr/>
        <w:t xml:space="preserve">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pPr>
        <w:pStyle w:val="Normal"/>
        <w:shd w:fill="FFFFFF" w:val="clear"/>
        <w:ind w:firstLine="283"/>
        <w:jc w:val="both"/>
        <w:rPr/>
      </w:pPr>
      <w:r>
        <w:rP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pPr>
        <w:pStyle w:val="Normal"/>
        <w:shd w:fill="FFFFFF" w:val="clear"/>
        <w:ind w:firstLine="283"/>
        <w:jc w:val="both"/>
        <w:rPr/>
      </w:pPr>
      <w:r>
        <w:rPr>
          <w:b/>
          <w:bCs/>
        </w:rPr>
        <w:t>1.9.8.</w:t>
      </w:r>
      <w:r>
        <w:rPr/>
        <w:t xml:space="preserve"> Определение СЗ должно производиться в зависимости от характеристик источников загрязнения и расстояния от них до электроустановки (табл. 1.9.3-1.9.18). В случаях, когда использование табл. 1.9.3-1.9.18 по тем или иным причинам невозможно, определение СЗ следует производить по КСЗ.</w:t>
      </w:r>
    </w:p>
    <w:p>
      <w:pPr>
        <w:pStyle w:val="Normal"/>
        <w:shd w:fill="FFFFFF" w:val="clear"/>
        <w:ind w:firstLine="283"/>
        <w:jc w:val="both"/>
        <w:rPr/>
      </w:pPr>
      <w:r>
        <w:rP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pPr>
        <w:pStyle w:val="Normal"/>
        <w:shd w:fill="FFFFFF" w:val="clear"/>
        <w:ind w:firstLine="283"/>
        <w:jc w:val="both"/>
        <w:rPr/>
      </w:pPr>
      <w:r>
        <w:rPr>
          <w:b/>
          <w:bCs/>
        </w:rPr>
        <w:t>1.9.9.</w:t>
      </w:r>
      <w:r>
        <w:rPr/>
        <w:t xml:space="preserve"> Длина пути утечки </w:t>
      </w:r>
      <w:r>
        <w:rPr>
          <w:i/>
          <w:iCs/>
        </w:rPr>
        <w:t xml:space="preserve">L </w:t>
      </w:r>
      <w:r>
        <w:rPr/>
        <w:t>(см) изоляторов и изоляционных конструкций из стекла и фарфора должна определяться по формуле</w:t>
      </w:r>
    </w:p>
    <w:p>
      <w:pPr>
        <w:pStyle w:val="Normal"/>
        <w:shd w:fill="FFFFFF" w:val="clear"/>
        <w:spacing w:before="120" w:after="120"/>
        <w:jc w:val="center"/>
        <w:rPr/>
      </w:pPr>
      <w:r>
        <w:rPr>
          <w:i/>
          <w:iCs/>
        </w:rPr>
        <w:t xml:space="preserve">L = </w:t>
      </w:r>
      <w:r>
        <w:rPr>
          <w:rFonts w:cs="Symbol" w:ascii="Symbol" w:hAnsi="Symbol"/>
          <w:i/>
          <w:iCs/>
        </w:rPr>
        <w:t></w:t>
      </w:r>
      <w:r>
        <w:rPr>
          <w:i/>
          <w:iCs/>
          <w:vertAlign w:val="subscript"/>
        </w:rPr>
        <w:t>э</w:t>
      </w:r>
      <w:r>
        <w:rPr>
          <w:rFonts w:cs="Symbol" w:ascii="Symbol" w:hAnsi="Symbol"/>
          <w:i/>
          <w:iCs/>
        </w:rPr>
        <w:t></w:t>
      </w:r>
      <w:r>
        <w:rPr>
          <w:i/>
          <w:iCs/>
        </w:rPr>
        <w:t>U</w:t>
      </w:r>
      <w:r>
        <w:rPr>
          <w:rFonts w:cs="Symbol" w:ascii="Symbol" w:hAnsi="Symbol"/>
          <w:i/>
          <w:iCs/>
        </w:rPr>
        <w:t></w:t>
      </w:r>
      <w:r>
        <w:rPr>
          <w:i/>
          <w:iCs/>
        </w:rPr>
        <w:t>k,</w:t>
      </w:r>
    </w:p>
    <w:p>
      <w:pPr>
        <w:pStyle w:val="Normal"/>
        <w:shd w:fill="FFFFFF" w:val="clear"/>
        <w:jc w:val="both"/>
        <w:rPr/>
      </w:pPr>
      <w:r>
        <w:rPr/>
        <w:t xml:space="preserve">где </w:t>
      </w:r>
      <w:r>
        <w:rPr>
          <w:rFonts w:cs="Symbol" w:ascii="Symbol" w:hAnsi="Symbol"/>
          <w:i/>
          <w:iCs/>
        </w:rPr>
        <w:t></w:t>
      </w:r>
      <w:r>
        <w:rPr>
          <w:i/>
          <w:iCs/>
          <w:vertAlign w:val="subscript"/>
        </w:rPr>
        <w:t>э</w:t>
      </w:r>
      <w:r>
        <w:rPr/>
        <w:t xml:space="preserve"> - удельная эффективная длина пути утечки по табл. 1.9.1, см/кВ;</w:t>
      </w:r>
    </w:p>
    <w:p>
      <w:pPr>
        <w:pStyle w:val="Normal"/>
        <w:shd w:fill="FFFFFF" w:val="clear"/>
        <w:ind w:firstLine="400"/>
        <w:jc w:val="both"/>
        <w:rPr/>
      </w:pPr>
      <w:r>
        <w:rPr>
          <w:i/>
          <w:iCs/>
        </w:rPr>
        <w:t xml:space="preserve">U - </w:t>
      </w:r>
      <w:r>
        <w:rPr/>
        <w:t>наибольшее рабочее междуфазное напряжение, кВ (по ГОСТ 721);</w:t>
      </w:r>
    </w:p>
    <w:p>
      <w:pPr>
        <w:pStyle w:val="Normal"/>
        <w:shd w:fill="FFFFFF" w:val="clear"/>
        <w:ind w:firstLine="500"/>
        <w:jc w:val="both"/>
        <w:rPr/>
      </w:pPr>
      <w:r>
        <w:rPr>
          <w:i/>
          <w:iCs/>
        </w:rPr>
        <w:t xml:space="preserve">k - </w:t>
      </w:r>
      <w:r>
        <w:rPr/>
        <w:t xml:space="preserve">коэффициент использования длины пути утечки </w:t>
      </w:r>
      <w:r>
        <w:rPr>
          <w:b/>
          <w:bCs/>
        </w:rPr>
        <w:t>(</w:t>
      </w:r>
      <w:r>
        <w:rPr/>
        <w:t xml:space="preserve">см. </w:t>
      </w:r>
      <w:r>
        <w:rPr>
          <w:bCs/>
        </w:rPr>
        <w:t>1.9.44-1.9.53</w:t>
      </w:r>
      <w:r>
        <w:rPr>
          <w:b/>
          <w:bCs/>
        </w:rPr>
        <w:t>).</w:t>
      </w:r>
    </w:p>
    <w:p>
      <w:pPr>
        <w:pStyle w:val="Heading3"/>
        <w:rPr/>
      </w:pPr>
      <w:r>
        <w:rPr/>
        <w:t>Изоляция ВЛ</w:t>
      </w:r>
    </w:p>
    <w:p>
      <w:pPr>
        <w:pStyle w:val="Normal"/>
        <w:shd w:fill="FFFFFF" w:val="clear"/>
        <w:ind w:firstLine="283"/>
        <w:jc w:val="both"/>
        <w:rPr/>
      </w:pPr>
      <w:r>
        <w:rPr>
          <w:b/>
          <w:bCs/>
        </w:rPr>
        <w:t xml:space="preserve">1.9.10. </w:t>
      </w:r>
      <w:r>
        <w:rPr/>
        <w:t>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 1.9.1.</w:t>
      </w:r>
    </w:p>
    <w:p>
      <w:pPr>
        <w:pStyle w:val="Normal"/>
        <w:shd w:fill="FFFFFF" w:val="clear"/>
        <w:spacing w:before="120" w:after="120"/>
        <w:jc w:val="right"/>
        <w:rPr>
          <w:i/>
          <w:i/>
          <w:iCs/>
        </w:rPr>
      </w:pPr>
      <w:r>
        <w:rPr>
          <w:i/>
          <w:iCs/>
        </w:rPr>
        <w:t>Таблица 1.9.1</w:t>
      </w:r>
    </w:p>
    <w:p>
      <w:pPr>
        <w:pStyle w:val="Normal"/>
        <w:shd w:fill="FFFFFF" w:val="clear"/>
        <w:spacing w:before="0" w:after="120"/>
        <w:jc w:val="center"/>
        <w:rPr>
          <w:b/>
          <w:b/>
          <w:bCs/>
        </w:rPr>
      </w:pPr>
      <w:r>
        <w:rPr>
          <w:b/>
          <w:bCs/>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08"/>
        <w:gridCol w:w="3492"/>
        <w:gridCol w:w="3455"/>
      </w:tblGrid>
      <w:tr>
        <w:trPr>
          <w:tblHeader w:val="true"/>
        </w:trPr>
        <w:tc>
          <w:tcPr>
            <w:tcW w:w="240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Степень загрязнения</w:t>
            </w:r>
          </w:p>
        </w:tc>
        <w:tc>
          <w:tcPr>
            <w:tcW w:w="6947"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rFonts w:cs="Symbol" w:ascii="Symbol" w:hAnsi="Symbol"/>
                <w:i/>
                <w:iCs/>
              </w:rPr>
              <w:t></w:t>
            </w:r>
            <w:r>
              <w:rPr>
                <w:i/>
                <w:iCs/>
                <w:vertAlign w:val="subscript"/>
              </w:rPr>
              <w:t>э</w:t>
            </w:r>
            <w:r>
              <w:rPr/>
              <w:t>, см/кВ (не менее), при номинальном напряжении, кВ</w:t>
            </w:r>
          </w:p>
        </w:tc>
      </w:tr>
      <w:tr>
        <w:trPr>
          <w:tblHeader w:val="true"/>
        </w:trPr>
        <w:tc>
          <w:tcPr>
            <w:tcW w:w="240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492"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35 включительно</w:t>
            </w:r>
          </w:p>
        </w:tc>
        <w:tc>
          <w:tcPr>
            <w:tcW w:w="345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110-750</w:t>
            </w:r>
          </w:p>
        </w:tc>
      </w:tr>
      <w:tr>
        <w:trPr/>
        <w:tc>
          <w:tcPr>
            <w:tcW w:w="2408" w:type="dxa"/>
            <w:tcBorders>
              <w:left w:val="single" w:sz="8" w:space="0" w:color="000000"/>
            </w:tcBorders>
            <w:shd w:fill="FFFFFF" w:val="clear"/>
          </w:tcPr>
          <w:p>
            <w:pPr>
              <w:pStyle w:val="Normal"/>
              <w:shd w:fill="FFFFFF" w:val="clear"/>
              <w:jc w:val="center"/>
              <w:rPr/>
            </w:pPr>
            <w:r>
              <w:rPr/>
              <w:t>1</w:t>
            </w:r>
          </w:p>
        </w:tc>
        <w:tc>
          <w:tcPr>
            <w:tcW w:w="3492" w:type="dxa"/>
            <w:tcBorders>
              <w:left w:val="single" w:sz="8" w:space="0" w:color="000000"/>
            </w:tcBorders>
            <w:shd w:fill="FFFFFF" w:val="clear"/>
            <w:tcMar>
              <w:left w:w="0" w:type="dxa"/>
              <w:right w:w="0" w:type="dxa"/>
            </w:tcMar>
          </w:tcPr>
          <w:p>
            <w:pPr>
              <w:pStyle w:val="Normal"/>
              <w:shd w:fill="FFFFFF" w:val="clear"/>
              <w:jc w:val="center"/>
              <w:rPr/>
            </w:pPr>
            <w:r>
              <w:rPr/>
              <w:t>1,90</w:t>
            </w:r>
          </w:p>
        </w:tc>
        <w:tc>
          <w:tcPr>
            <w:tcW w:w="345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1,60</w:t>
            </w:r>
          </w:p>
        </w:tc>
      </w:tr>
      <w:tr>
        <w:trPr/>
        <w:tc>
          <w:tcPr>
            <w:tcW w:w="2408" w:type="dxa"/>
            <w:tcBorders>
              <w:left w:val="single" w:sz="8" w:space="0" w:color="000000"/>
            </w:tcBorders>
            <w:shd w:fill="FFFFFF" w:val="clear"/>
          </w:tcPr>
          <w:p>
            <w:pPr>
              <w:pStyle w:val="Normal"/>
              <w:shd w:fill="FFFFFF" w:val="clear"/>
              <w:jc w:val="center"/>
              <w:rPr/>
            </w:pPr>
            <w:r>
              <w:rPr/>
              <w:t>2</w:t>
            </w:r>
          </w:p>
        </w:tc>
        <w:tc>
          <w:tcPr>
            <w:tcW w:w="3492" w:type="dxa"/>
            <w:tcBorders>
              <w:left w:val="single" w:sz="8" w:space="0" w:color="000000"/>
            </w:tcBorders>
            <w:shd w:fill="FFFFFF" w:val="clear"/>
            <w:tcMar>
              <w:left w:w="0" w:type="dxa"/>
              <w:right w:w="0" w:type="dxa"/>
            </w:tcMar>
          </w:tcPr>
          <w:p>
            <w:pPr>
              <w:pStyle w:val="Normal"/>
              <w:shd w:fill="FFFFFF" w:val="clear"/>
              <w:jc w:val="center"/>
              <w:rPr/>
            </w:pPr>
            <w:r>
              <w:rPr/>
              <w:t>2,35</w:t>
            </w:r>
          </w:p>
        </w:tc>
        <w:tc>
          <w:tcPr>
            <w:tcW w:w="345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2,00</w:t>
            </w:r>
          </w:p>
        </w:tc>
      </w:tr>
      <w:tr>
        <w:trPr/>
        <w:tc>
          <w:tcPr>
            <w:tcW w:w="2408" w:type="dxa"/>
            <w:tcBorders>
              <w:left w:val="single" w:sz="8" w:space="0" w:color="000000"/>
            </w:tcBorders>
            <w:shd w:fill="FFFFFF" w:val="clear"/>
          </w:tcPr>
          <w:p>
            <w:pPr>
              <w:pStyle w:val="Normal"/>
              <w:shd w:fill="FFFFFF" w:val="clear"/>
              <w:jc w:val="center"/>
              <w:rPr/>
            </w:pPr>
            <w:r>
              <w:rPr/>
              <w:t>3</w:t>
            </w:r>
          </w:p>
        </w:tc>
        <w:tc>
          <w:tcPr>
            <w:tcW w:w="3492" w:type="dxa"/>
            <w:tcBorders>
              <w:left w:val="single" w:sz="8" w:space="0" w:color="000000"/>
            </w:tcBorders>
            <w:shd w:fill="FFFFFF" w:val="clear"/>
            <w:tcMar>
              <w:left w:w="0" w:type="dxa"/>
              <w:right w:w="0" w:type="dxa"/>
            </w:tcMar>
          </w:tcPr>
          <w:p>
            <w:pPr>
              <w:pStyle w:val="Normal"/>
              <w:shd w:fill="FFFFFF" w:val="clear"/>
              <w:jc w:val="center"/>
              <w:rPr/>
            </w:pPr>
            <w:r>
              <w:rPr/>
              <w:t>3,00</w:t>
            </w:r>
          </w:p>
        </w:tc>
        <w:tc>
          <w:tcPr>
            <w:tcW w:w="345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2,50</w:t>
            </w:r>
          </w:p>
        </w:tc>
      </w:tr>
      <w:tr>
        <w:trPr/>
        <w:tc>
          <w:tcPr>
            <w:tcW w:w="2408"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4</w:t>
            </w:r>
          </w:p>
        </w:tc>
        <w:tc>
          <w:tcPr>
            <w:tcW w:w="349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3,50</w:t>
            </w:r>
          </w:p>
        </w:tc>
        <w:tc>
          <w:tcPr>
            <w:tcW w:w="345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3,10</w:t>
            </w:r>
          </w:p>
        </w:tc>
      </w:tr>
    </w:tbl>
    <w:p>
      <w:pPr>
        <w:pStyle w:val="Normal"/>
        <w:shd w:fill="FFFFFF" w:val="clear"/>
        <w:spacing w:before="120" w:after="0"/>
        <w:ind w:firstLine="283"/>
        <w:jc w:val="both"/>
        <w:rPr/>
      </w:pPr>
      <w:r>
        <w:rPr/>
        <w:t>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 1.9.1:</w:t>
      </w:r>
    </w:p>
    <w:p>
      <w:pPr>
        <w:pStyle w:val="Normal"/>
        <w:shd w:fill="FFFFFF" w:val="clear"/>
        <w:ind w:firstLine="283"/>
        <w:jc w:val="both"/>
        <w:rPr/>
      </w:pPr>
      <w:r>
        <w:rPr/>
        <w:t>от 1000 до 2000 м - на 5 %;</w:t>
      </w:r>
    </w:p>
    <w:p>
      <w:pPr>
        <w:pStyle w:val="Normal"/>
        <w:shd w:fill="FFFFFF" w:val="clear"/>
        <w:ind w:firstLine="283"/>
        <w:jc w:val="both"/>
        <w:rPr/>
      </w:pPr>
      <w:r>
        <w:rPr/>
        <w:t>от 2000 до 3000 м - на 10 %;</w:t>
      </w:r>
    </w:p>
    <w:p>
      <w:pPr>
        <w:pStyle w:val="Normal"/>
        <w:shd w:fill="FFFFFF" w:val="clear"/>
        <w:ind w:firstLine="283"/>
        <w:jc w:val="both"/>
        <w:rPr/>
      </w:pPr>
      <w:r>
        <w:rPr/>
        <w:t>от 3000 до 4000 м - на 15 %.</w:t>
      </w:r>
    </w:p>
    <w:p>
      <w:pPr>
        <w:pStyle w:val="Normal"/>
        <w:shd w:fill="FFFFFF" w:val="clear"/>
        <w:ind w:firstLine="283"/>
        <w:jc w:val="both"/>
        <w:rPr/>
      </w:pPr>
      <w:r>
        <w:rPr>
          <w:b/>
          <w:bCs/>
        </w:rPr>
        <w:t>1.9.11.</w:t>
      </w:r>
      <w:r>
        <w:rPr/>
        <w:t xml:space="preserve"> Изоляционные расстояния по воздуху от токоведущих до заземленных частей опор должны соответствовать требованиям гл. 2.5.</w:t>
      </w:r>
    </w:p>
    <w:p>
      <w:pPr>
        <w:pStyle w:val="Normal"/>
        <w:shd w:fill="FFFFFF" w:val="clear"/>
        <w:ind w:firstLine="300"/>
        <w:jc w:val="both"/>
        <w:rPr/>
      </w:pPr>
      <w:r>
        <w:rPr>
          <w:b/>
          <w:bCs/>
        </w:rPr>
        <w:t>1.9.12.</w:t>
      </w:r>
      <w:r>
        <w:rPr/>
        <w:t xml:space="preserve"> Количество подвесных тарельчатых изоляторов в поддерживающих гирляндах и в последовательной цепи гирлянд специальной конструкции (V-образных, </w:t>
      </w:r>
      <w:r>
        <w:rPr>
          <w:rFonts w:cs="Symbol" w:ascii="Symbol" w:hAnsi="Symbol"/>
        </w:rPr>
        <w:t></w:t>
      </w:r>
      <w:r>
        <w:rPr/>
        <w:t>-образных,</w:t>
      </w:r>
      <w:r>
        <w:rPr>
          <w:vertAlign w:val="subscript"/>
        </w:rPr>
        <w:drawing>
          <wp:inline distT="0" distB="0" distL="0" distR="0">
            <wp:extent cx="246380" cy="222250"/>
            <wp:effectExtent l="0" t="0" r="0" b="0"/>
            <wp:docPr id="1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pic:cNvPicPr>
                      <a:picLocks noChangeAspect="1" noChangeArrowheads="1"/>
                    </pic:cNvPicPr>
                  </pic:nvPicPr>
                  <pic:blipFill>
                    <a:blip r:embed="rId27"/>
                    <a:srcRect l="-145" t="-164" r="-145" b="-164"/>
                    <a:stretch>
                      <a:fillRect/>
                    </a:stretch>
                  </pic:blipFill>
                  <pic:spPr bwMode="auto">
                    <a:xfrm>
                      <a:off x="0" y="0"/>
                      <a:ext cx="246380" cy="222250"/>
                    </a:xfrm>
                    <a:prstGeom prst="rect">
                      <a:avLst/>
                    </a:prstGeom>
                  </pic:spPr>
                </pic:pic>
              </a:graphicData>
            </a:graphic>
          </wp:inline>
        </w:drawing>
      </w:r>
      <w:r>
        <w:rPr/>
        <w:t xml:space="preserve">-образных, </w:t>
      </w:r>
      <w:r>
        <w:rPr>
          <w:vertAlign w:val="subscript"/>
        </w:rPr>
        <w:drawing>
          <wp:inline distT="0" distB="0" distL="0" distR="0">
            <wp:extent cx="246380" cy="246380"/>
            <wp:effectExtent l="0" t="0" r="0" b="0"/>
            <wp:docPr id="2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descr=""/>
                    <pic:cNvPicPr>
                      <a:picLocks noChangeAspect="1" noChangeArrowheads="1"/>
                    </pic:cNvPicPr>
                  </pic:nvPicPr>
                  <pic:blipFill>
                    <a:blip r:embed="rId28"/>
                    <a:srcRect l="-145" t="-145" r="-145" b="-145"/>
                    <a:stretch>
                      <a:fillRect/>
                    </a:stretch>
                  </pic:blipFill>
                  <pic:spPr bwMode="auto">
                    <a:xfrm>
                      <a:off x="0" y="0"/>
                      <a:ext cx="246380" cy="246380"/>
                    </a:xfrm>
                    <a:prstGeom prst="rect">
                      <a:avLst/>
                    </a:prstGeom>
                  </pic:spPr>
                </pic:pic>
              </a:graphicData>
            </a:graphic>
          </wp:inline>
        </w:drawing>
      </w:r>
      <w:r>
        <w:rPr/>
        <w:t>-образных и др., составленных из изоляторов одного типа) для ВЛ на металлических и железобетонных опорах должно определяться по формуле</w:t>
      </w:r>
    </w:p>
    <w:p>
      <w:pPr>
        <w:pStyle w:val="Normal"/>
        <w:shd w:fill="FFFFFF" w:val="clear"/>
        <w:spacing w:before="120" w:after="120"/>
        <w:jc w:val="center"/>
        <w:rPr/>
      </w:pPr>
      <w:r>
        <w:rPr>
          <w:vertAlign w:val="subscript"/>
        </w:rPr>
        <w:drawing>
          <wp:inline distT="0" distB="0" distL="0" distR="0">
            <wp:extent cx="516890" cy="437515"/>
            <wp:effectExtent l="0" t="0" r="0" b="0"/>
            <wp:docPr id="2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descr=""/>
                    <pic:cNvPicPr>
                      <a:picLocks noChangeAspect="1" noChangeArrowheads="1"/>
                    </pic:cNvPicPr>
                  </pic:nvPicPr>
                  <pic:blipFill>
                    <a:blip r:embed="rId29"/>
                    <a:srcRect l="-70" t="-82" r="-70" b="-82"/>
                    <a:stretch>
                      <a:fillRect/>
                    </a:stretch>
                  </pic:blipFill>
                  <pic:spPr bwMode="auto">
                    <a:xfrm>
                      <a:off x="0" y="0"/>
                      <a:ext cx="516890" cy="437515"/>
                    </a:xfrm>
                    <a:prstGeom prst="rect">
                      <a:avLst/>
                    </a:prstGeom>
                  </pic:spPr>
                </pic:pic>
              </a:graphicData>
            </a:graphic>
          </wp:inline>
        </w:drawing>
      </w:r>
      <w:r>
        <w:rPr/>
        <w:t>,</w:t>
      </w:r>
    </w:p>
    <w:p>
      <w:pPr>
        <w:pStyle w:val="Normal"/>
        <w:shd w:fill="FFFFFF" w:val="clear"/>
        <w:ind w:left="900" w:hanging="900"/>
        <w:jc w:val="both"/>
        <w:rPr/>
      </w:pPr>
      <w:r>
        <w:rPr/>
        <w:t xml:space="preserve">где </w:t>
      </w:r>
      <w:r>
        <w:rPr>
          <w:i/>
          <w:iCs/>
        </w:rPr>
        <w:t>L</w:t>
      </w:r>
      <w:r>
        <w:rPr>
          <w:i/>
          <w:iCs/>
          <w:vertAlign w:val="subscript"/>
        </w:rPr>
        <w:t>И</w:t>
      </w:r>
      <w:r>
        <w:rPr>
          <w:i/>
          <w:iCs/>
        </w:rPr>
        <w:t xml:space="preserve"> - </w:t>
      </w:r>
      <w:r>
        <w:rPr/>
        <w:t xml:space="preserve">длина пути утечки одного изолятора по стандарту или техническим условиям на изолятор конкретного типа, см. Если расчет </w:t>
      </w:r>
      <w:r>
        <w:rPr>
          <w:i/>
          <w:iCs/>
        </w:rPr>
        <w:t xml:space="preserve">m </w:t>
      </w:r>
      <w:r>
        <w:rPr/>
        <w:t>не дает целого числа, то выбирают следующее целое число.</w:t>
      </w:r>
    </w:p>
    <w:p>
      <w:pPr>
        <w:pStyle w:val="Normal"/>
        <w:shd w:fill="FFFFFF" w:val="clear"/>
        <w:ind w:firstLine="283"/>
        <w:jc w:val="both"/>
        <w:rPr/>
      </w:pPr>
      <w:r>
        <w:rPr>
          <w:b/>
          <w:bCs/>
        </w:rPr>
        <w:t>1.9.13.</w:t>
      </w:r>
      <w:r>
        <w:rPr/>
        <w:t xml:space="preserve">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Pr>
          <w:b/>
          <w:bCs/>
        </w:rPr>
        <w:t xml:space="preserve">1.9.12 </w:t>
      </w:r>
      <w:r>
        <w:rPr/>
        <w:t>и независимо от материала опор должно составлять не менее двух.</w:t>
      </w:r>
    </w:p>
    <w:p>
      <w:pPr>
        <w:pStyle w:val="Normal"/>
        <w:shd w:fill="FFFFFF" w:val="clear"/>
        <w:ind w:firstLine="283"/>
        <w:jc w:val="both"/>
        <w:rPr/>
      </w:pPr>
      <w:r>
        <w:rP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r>
        <w:rPr>
          <w:b/>
          <w:bCs/>
        </w:rPr>
        <w:t>1.9.12.</w:t>
      </w:r>
    </w:p>
    <w:p>
      <w:pPr>
        <w:pStyle w:val="Normal"/>
        <w:shd w:fill="FFFFFF" w:val="clear"/>
        <w:ind w:firstLine="283"/>
        <w:jc w:val="both"/>
        <w:rPr/>
      </w:pPr>
      <w:r>
        <w:rPr/>
        <w:t xml:space="preserve">На ВЛ напряжением 150-750 кВ на металлических и железобетонных опорах количество тарельчатых изоляторов в натяжных гирляндах должно определяться по </w:t>
      </w:r>
      <w:r>
        <w:rPr>
          <w:b/>
          <w:bCs/>
        </w:rPr>
        <w:t>1.9.12.</w:t>
      </w:r>
    </w:p>
    <w:p>
      <w:pPr>
        <w:pStyle w:val="Normal"/>
        <w:shd w:fill="FFFFFF" w:val="clear"/>
        <w:ind w:firstLine="283"/>
        <w:jc w:val="both"/>
        <w:rPr/>
      </w:pPr>
      <w:r>
        <w:rPr>
          <w:b/>
          <w:bCs/>
        </w:rPr>
        <w:t>1.9.14.</w:t>
      </w:r>
      <w:r>
        <w:rPr/>
        <w:t xml:space="preserve">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pPr>
        <w:pStyle w:val="Normal"/>
        <w:shd w:fill="FFFFFF" w:val="clear"/>
        <w:ind w:firstLine="283"/>
        <w:jc w:val="both"/>
        <w:rPr/>
      </w:pPr>
      <w:r>
        <w:rP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pPr>
        <w:pStyle w:val="Normal"/>
        <w:shd w:fill="FFFFFF" w:val="clear"/>
        <w:ind w:firstLine="283"/>
        <w:jc w:val="both"/>
        <w:rPr/>
      </w:pPr>
      <w:r>
        <w:rPr>
          <w:b/>
          <w:bCs/>
        </w:rPr>
        <w:t>1.9.15.</w:t>
      </w:r>
      <w:r>
        <w:rPr/>
        <w:t xml:space="preserve">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Pr>
          <w:rFonts w:cs="Symbol" w:ascii="Symbol" w:hAnsi="Symbol"/>
          <w:i/>
          <w:iCs/>
        </w:rPr>
        <w:t></w:t>
      </w:r>
      <w:r>
        <w:rPr>
          <w:i/>
          <w:iCs/>
          <w:vertAlign w:val="subscript"/>
        </w:rPr>
        <w:t>э</w:t>
      </w:r>
      <w:r>
        <w:rPr/>
        <w:t xml:space="preserve"> = 1,9 см/кВ для ВЛ напряжением 6-35 кВ и </w:t>
      </w:r>
      <w:r>
        <w:rPr>
          <w:rFonts w:cs="Symbol" w:ascii="Symbol" w:hAnsi="Symbol"/>
          <w:i/>
          <w:iCs/>
        </w:rPr>
        <w:t></w:t>
      </w:r>
      <w:r>
        <w:rPr>
          <w:i/>
          <w:iCs/>
          <w:vertAlign w:val="subscript"/>
        </w:rPr>
        <w:t>э</w:t>
      </w:r>
      <w:r>
        <w:rPr>
          <w:i/>
          <w:iCs/>
        </w:rPr>
        <w:t xml:space="preserve"> = </w:t>
      </w:r>
      <w:r>
        <w:rPr/>
        <w:t>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pPr>
        <w:pStyle w:val="Normal"/>
        <w:shd w:fill="FFFFFF" w:val="clear"/>
        <w:ind w:firstLine="283"/>
        <w:jc w:val="both"/>
        <w:rPr/>
      </w:pPr>
      <w:r>
        <w:rPr>
          <w:b/>
          <w:bCs/>
        </w:rPr>
        <w:t xml:space="preserve">1.9.16. </w:t>
      </w:r>
      <w:r>
        <w:rPr/>
        <w:t xml:space="preserve">В гирляндах тарельчатых изоляторов из стекла или фарфора, подвешенных на высоте более 100 м, должны предусматриваться сверх определенного в соответствии с </w:t>
      </w:r>
      <w:r>
        <w:rPr>
          <w:b/>
          <w:bCs/>
        </w:rPr>
        <w:t xml:space="preserve">1.9.12 и 1.9.15 </w:t>
      </w:r>
      <w:r>
        <w:rPr/>
        <w:t>два дополнительных изолятора.</w:t>
      </w:r>
    </w:p>
    <w:p>
      <w:pPr>
        <w:pStyle w:val="Normal"/>
        <w:shd w:fill="FFFFFF" w:val="clear"/>
        <w:ind w:firstLine="283"/>
        <w:jc w:val="both"/>
        <w:rPr/>
      </w:pPr>
      <w:r>
        <w:rPr>
          <w:b/>
          <w:bCs/>
        </w:rPr>
        <w:t>1.9.17.</w:t>
      </w:r>
      <w:r>
        <w:rPr/>
        <w:t xml:space="preserve"> Выбор изоляции ВЛ с изолированными проводами должен производиться в соответствии с </w:t>
      </w:r>
      <w:r>
        <w:rPr>
          <w:b/>
          <w:bCs/>
        </w:rPr>
        <w:t>1.9.10-1.9.16.</w:t>
      </w:r>
    </w:p>
    <w:p>
      <w:pPr>
        <w:pStyle w:val="Heading3"/>
        <w:rPr/>
      </w:pPr>
      <w:r>
        <w:rPr/>
        <w:t>Внешняя стеклянная и фарфоровая изоляция электрооборудования и ОРУ</w:t>
      </w:r>
    </w:p>
    <w:p>
      <w:pPr>
        <w:pStyle w:val="Normal"/>
        <w:shd w:fill="FFFFFF" w:val="clear"/>
        <w:ind w:firstLine="283"/>
        <w:jc w:val="both"/>
        <w:rPr/>
      </w:pPr>
      <w:r>
        <w:rPr>
          <w:b/>
          <w:bCs/>
        </w:rPr>
        <w:t>1.9.18.</w:t>
      </w:r>
      <w:r>
        <w:rPr/>
        <w:t xml:space="preserve">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табл. 1.9.1.</w:t>
      </w:r>
    </w:p>
    <w:p>
      <w:pPr>
        <w:pStyle w:val="Normal"/>
        <w:shd w:fill="FFFFFF" w:val="clear"/>
        <w:ind w:firstLine="283"/>
        <w:jc w:val="both"/>
        <w:rPr/>
      </w:pPr>
      <w:r>
        <w:rPr/>
        <w:t>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табл. 1.9.1, а на высоте от 2000 до 3000 м - на одну степень загрязнения выше по сравнению с нормированной.</w:t>
      </w:r>
    </w:p>
    <w:p>
      <w:pPr>
        <w:pStyle w:val="Normal"/>
        <w:shd w:fill="FFFFFF" w:val="clear"/>
        <w:ind w:firstLine="283"/>
        <w:jc w:val="both"/>
        <w:rPr/>
      </w:pPr>
      <w:r>
        <w:rPr>
          <w:b/>
          <w:bCs/>
        </w:rPr>
        <w:t>1.9.19.</w:t>
      </w:r>
      <w:r>
        <w:rPr/>
        <w:t xml:space="preserve">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pPr>
        <w:pStyle w:val="Normal"/>
        <w:shd w:fill="FFFFFF" w:val="clear"/>
        <w:ind w:firstLine="283"/>
        <w:jc w:val="both"/>
        <w:rPr/>
      </w:pPr>
      <w:r>
        <w:rPr>
          <w:b/>
          <w:bCs/>
        </w:rPr>
        <w:t>1.9.20.</w:t>
      </w:r>
      <w:r>
        <w:rPr/>
        <w:t xml:space="preserve"> В натяжных и поддерживающих гирляндах ОРУ число тарельчатых изоляторов следует определять по </w:t>
      </w:r>
      <w:r>
        <w:rPr>
          <w:b/>
          <w:bCs/>
        </w:rPr>
        <w:t xml:space="preserve">1.9.12-1.9.13 </w:t>
      </w:r>
      <w:r>
        <w:rPr/>
        <w:t>с добавлением в каждую цепь гирлянды напряжением 110-150 кВ - одного, 220-330 кВ - двух, 500 кВ - трех, 750 кВ - четырех изоляторов.</w:t>
      </w:r>
    </w:p>
    <w:p>
      <w:pPr>
        <w:pStyle w:val="Normal"/>
        <w:shd w:fill="FFFFFF" w:val="clear"/>
        <w:ind w:firstLine="283"/>
        <w:jc w:val="both"/>
        <w:rPr/>
      </w:pPr>
      <w:r>
        <w:rPr>
          <w:b/>
          <w:bCs/>
        </w:rPr>
        <w:t>1.9.21.</w:t>
      </w:r>
      <w:r>
        <w:rPr/>
        <w:t xml:space="preserve"> При отсутствии электрооборудования, удовлетворяющего требованиям табл. 1.9.1 для районов с 3-4-й СЗ, необходимо применять оборудование, изоляторы и вводы на более высокие номинальные напряжения с изоляцией, удовлетворяющей табл. 1.9.1.</w:t>
      </w:r>
    </w:p>
    <w:p>
      <w:pPr>
        <w:pStyle w:val="Normal"/>
        <w:shd w:fill="FFFFFF" w:val="clear"/>
        <w:ind w:firstLine="283"/>
        <w:jc w:val="both"/>
        <w:rPr/>
      </w:pPr>
      <w:r>
        <w:rPr>
          <w:b/>
          <w:bCs/>
        </w:rPr>
        <w:t>1.9.22.</w:t>
      </w:r>
      <w:r>
        <w:rPr/>
        <w:t xml:space="preserve"> В районах с условиями загрязнения, превышающими 4-ю СЗ, как правило, следует предусматривать сооружение ЗРУ.</w:t>
      </w:r>
    </w:p>
    <w:p>
      <w:pPr>
        <w:pStyle w:val="Normal"/>
        <w:shd w:fill="FFFFFF" w:val="clear"/>
        <w:ind w:firstLine="283"/>
        <w:jc w:val="both"/>
        <w:rPr/>
      </w:pPr>
      <w:r>
        <w:rPr>
          <w:b/>
          <w:bCs/>
        </w:rPr>
        <w:t>1.9.23.</w:t>
      </w:r>
      <w:r>
        <w:rPr/>
        <w:t xml:space="preserve"> ОРУ напряжением 500-750 кВ и, как правило, ОРУ напряжением 110-330 кВ с большим количеством присоединений не должны располагаться в зонах с 3-4-й СЗ.</w:t>
      </w:r>
    </w:p>
    <w:p>
      <w:pPr>
        <w:pStyle w:val="Normal"/>
        <w:shd w:fill="FFFFFF" w:val="clear"/>
        <w:ind w:firstLine="283"/>
        <w:jc w:val="both"/>
        <w:rPr/>
      </w:pPr>
      <w:r>
        <w:rPr>
          <w:b/>
          <w:bCs/>
        </w:rPr>
        <w:t>1.9.24.</w:t>
      </w:r>
      <w:r>
        <w:rPr/>
        <w:t xml:space="preserve">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pPr>
        <w:pStyle w:val="Normal"/>
        <w:shd w:fill="FFFFFF" w:val="clear"/>
        <w:ind w:firstLine="283"/>
        <w:jc w:val="both"/>
        <w:rPr/>
      </w:pPr>
      <w:r>
        <w:rPr>
          <w:b/>
          <w:bCs/>
        </w:rPr>
        <w:t>1.9.25.</w:t>
      </w:r>
      <w:r>
        <w:rPr/>
        <w:t xml:space="preserve"> В районах с 1-3-и СЗ должны применяться КРУН и КТП с изоляцией по табл. 1.9.1. В районах с 4-й СЗ допускается применение только КРУН и КТП с изоляторами специального исполнения.</w:t>
      </w:r>
    </w:p>
    <w:p>
      <w:pPr>
        <w:pStyle w:val="Normal"/>
        <w:shd w:fill="FFFFFF" w:val="clear"/>
        <w:ind w:firstLine="283"/>
        <w:jc w:val="both"/>
        <w:rPr/>
      </w:pPr>
      <w:r>
        <w:rPr>
          <w:b/>
          <w:bCs/>
        </w:rPr>
        <w:t>1.9.26.</w:t>
      </w:r>
      <w:r>
        <w:rPr/>
        <w:t xml:space="preserve"> Изоляторы гибких и жестких наружных открытых токопроводов должны выбираться с удельной эффективной длиной пути утечки по табл. 1.9.1: </w:t>
      </w:r>
      <w:r>
        <w:rPr>
          <w:rFonts w:cs="Symbol" w:ascii="Symbol" w:hAnsi="Symbol"/>
          <w:i/>
          <w:iCs/>
        </w:rPr>
        <w:t></w:t>
      </w:r>
      <w:r>
        <w:rPr>
          <w:i/>
          <w:iCs/>
          <w:vertAlign w:val="subscript"/>
        </w:rPr>
        <w:t>э</w:t>
      </w:r>
      <w:r>
        <w:rPr/>
        <w:t xml:space="preserve"> = 1,9 см/кВ на номинальное напряжение 20 кВ для токопроводов 10 кВ в районах с 1-3-й СЗ; </w:t>
      </w:r>
      <w:r>
        <w:rPr>
          <w:rFonts w:cs="Symbol" w:ascii="Symbol" w:hAnsi="Symbol"/>
          <w:i/>
          <w:iCs/>
        </w:rPr>
        <w:t></w:t>
      </w:r>
      <w:r>
        <w:rPr>
          <w:i/>
          <w:iCs/>
          <w:vertAlign w:val="subscript"/>
        </w:rPr>
        <w:t>э</w:t>
      </w:r>
      <w:r>
        <w:rPr/>
        <w:t xml:space="preserve"> = 3,0 см/кВ на номинальное напряжение 20 кВ для токопроводов 10 кВ в районах с 4-й СЗ; </w:t>
      </w:r>
      <w:r>
        <w:rPr>
          <w:rFonts w:cs="Symbol" w:ascii="Symbol" w:hAnsi="Symbol"/>
          <w:i/>
          <w:iCs/>
        </w:rPr>
        <w:t></w:t>
      </w:r>
      <w:r>
        <w:rPr>
          <w:i/>
          <w:iCs/>
          <w:vertAlign w:val="subscript"/>
        </w:rPr>
        <w:t>э</w:t>
      </w:r>
      <w:r>
        <w:rPr/>
        <w:t xml:space="preserve"> = 2,0 см/кВ на номинальное напряжение 35 кВ для токопроводов 13,8-24 кВ в районах с 1-4-й СЗ.</w:t>
      </w:r>
    </w:p>
    <w:p>
      <w:pPr>
        <w:pStyle w:val="Heading3"/>
        <w:rPr/>
      </w:pPr>
      <w:r>
        <w:rPr/>
        <w:t>Выбор изоляции по разрядным характеристикам</w:t>
      </w:r>
    </w:p>
    <w:p>
      <w:pPr>
        <w:pStyle w:val="Normal"/>
        <w:shd w:fill="FFFFFF" w:val="clear"/>
        <w:ind w:firstLine="283"/>
        <w:jc w:val="both"/>
        <w:rPr/>
      </w:pPr>
      <w:r>
        <w:rPr>
          <w:b/>
          <w:bCs/>
        </w:rPr>
        <w:t>1.9.27.</w:t>
      </w:r>
      <w:r>
        <w:rPr/>
        <w:t xml:space="preserve"> Гирлянды ВЛ напряжением 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1.9.2.</w:t>
      </w:r>
    </w:p>
    <w:p>
      <w:pPr>
        <w:pStyle w:val="Normal"/>
        <w:shd w:fill="FFFFFF" w:val="clear"/>
        <w:ind w:firstLine="283"/>
        <w:jc w:val="both"/>
        <w:rPr/>
      </w:pPr>
      <w:r>
        <w:rPr/>
        <w:t>Удельная поверхностная проводимость слоя загрязнения должна приниматься (не менее):</w:t>
      </w:r>
    </w:p>
    <w:p>
      <w:pPr>
        <w:pStyle w:val="Normal"/>
        <w:shd w:fill="FFFFFF" w:val="clear"/>
        <w:ind w:firstLine="283"/>
        <w:jc w:val="both"/>
        <w:rPr/>
      </w:pPr>
      <w:r>
        <w:rPr/>
        <w:t>для 1-й СЗ - 5 мкСм, 2-й СЗ -10 мкСм, 3-й СЗ - 20 мкСм, 4-й СЗ - 30 мкСм.</w:t>
      </w:r>
    </w:p>
    <w:p>
      <w:pPr>
        <w:pStyle w:val="Normal"/>
        <w:shd w:fill="FFFFFF" w:val="clear"/>
        <w:spacing w:before="120" w:after="120"/>
        <w:jc w:val="right"/>
        <w:rPr>
          <w:i/>
          <w:i/>
          <w:iCs/>
        </w:rPr>
      </w:pPr>
      <w:r>
        <w:rPr>
          <w:i/>
          <w:iCs/>
        </w:rPr>
        <w:t>Таблица 1.9.2</w:t>
      </w:r>
    </w:p>
    <w:p>
      <w:pPr>
        <w:pStyle w:val="Normal"/>
        <w:shd w:fill="FFFFFF" w:val="clear"/>
        <w:spacing w:before="0" w:after="120"/>
        <w:jc w:val="center"/>
        <w:rPr>
          <w:b/>
          <w:b/>
          <w:bCs/>
        </w:rPr>
      </w:pPr>
      <w:r>
        <w:rPr>
          <w:b/>
          <w:bCs/>
        </w:rPr>
        <w:t>50 %-ные разрядные напряжения гирлянд ВЛ 6-750 кВ, внешней изоляции электрооборудования и изоляторов ОРУ 6-750 кВ в загрязненном и увлажненном состоянии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221"/>
        <w:gridCol w:w="5134"/>
      </w:tblGrid>
      <w:tr>
        <w:trPr>
          <w:tblHeader w:val="true"/>
        </w:trPr>
        <w:tc>
          <w:tcPr>
            <w:tcW w:w="4221"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Номинальное напряжение электроустановки, кВ</w:t>
            </w:r>
          </w:p>
        </w:tc>
        <w:tc>
          <w:tcPr>
            <w:tcW w:w="513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50 %-ные разрядные напряжения, кВ (действующие значения)</w:t>
            </w:r>
          </w:p>
        </w:tc>
      </w:tr>
      <w:tr>
        <w:trPr/>
        <w:tc>
          <w:tcPr>
            <w:tcW w:w="4221" w:type="dxa"/>
            <w:tcBorders>
              <w:left w:val="single" w:sz="8" w:space="0" w:color="000000"/>
            </w:tcBorders>
            <w:shd w:fill="FFFFFF" w:val="clear"/>
          </w:tcPr>
          <w:p>
            <w:pPr>
              <w:pStyle w:val="Normal"/>
              <w:shd w:fill="FFFFFF" w:val="clear"/>
              <w:jc w:val="center"/>
              <w:rPr/>
            </w:pPr>
            <w:r>
              <w:rPr/>
              <w:t>6</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8</w:t>
            </w:r>
          </w:p>
        </w:tc>
      </w:tr>
      <w:tr>
        <w:trPr/>
        <w:tc>
          <w:tcPr>
            <w:tcW w:w="4221" w:type="dxa"/>
            <w:tcBorders>
              <w:left w:val="single" w:sz="8" w:space="0" w:color="000000"/>
            </w:tcBorders>
            <w:shd w:fill="FFFFFF" w:val="clear"/>
          </w:tcPr>
          <w:p>
            <w:pPr>
              <w:pStyle w:val="Normal"/>
              <w:shd w:fill="FFFFFF" w:val="clear"/>
              <w:jc w:val="center"/>
              <w:rPr/>
            </w:pPr>
            <w:r>
              <w:rPr/>
              <w:t>10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13</w:t>
            </w:r>
          </w:p>
        </w:tc>
      </w:tr>
      <w:tr>
        <w:trPr/>
        <w:tc>
          <w:tcPr>
            <w:tcW w:w="4221" w:type="dxa"/>
            <w:tcBorders>
              <w:left w:val="single" w:sz="8" w:space="0" w:color="000000"/>
            </w:tcBorders>
            <w:shd w:fill="FFFFFF" w:val="clear"/>
          </w:tcPr>
          <w:p>
            <w:pPr>
              <w:pStyle w:val="Normal"/>
              <w:shd w:fill="FFFFFF" w:val="clear"/>
              <w:jc w:val="center"/>
              <w:rPr/>
            </w:pPr>
            <w:r>
              <w:rPr/>
              <w:t>35</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42</w:t>
            </w:r>
          </w:p>
        </w:tc>
      </w:tr>
      <w:tr>
        <w:trPr/>
        <w:tc>
          <w:tcPr>
            <w:tcW w:w="4221" w:type="dxa"/>
            <w:tcBorders>
              <w:left w:val="single" w:sz="8" w:space="0" w:color="000000"/>
            </w:tcBorders>
            <w:shd w:fill="FFFFFF" w:val="clear"/>
          </w:tcPr>
          <w:p>
            <w:pPr>
              <w:pStyle w:val="Normal"/>
              <w:shd w:fill="FFFFFF" w:val="clear"/>
              <w:jc w:val="center"/>
              <w:rPr/>
            </w:pPr>
            <w:r>
              <w:rPr/>
              <w:t>110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110</w:t>
            </w:r>
          </w:p>
        </w:tc>
      </w:tr>
      <w:tr>
        <w:trPr/>
        <w:tc>
          <w:tcPr>
            <w:tcW w:w="4221" w:type="dxa"/>
            <w:tcBorders>
              <w:left w:val="single" w:sz="8" w:space="0" w:color="000000"/>
            </w:tcBorders>
            <w:shd w:fill="FFFFFF" w:val="clear"/>
          </w:tcPr>
          <w:p>
            <w:pPr>
              <w:pStyle w:val="Normal"/>
              <w:shd w:fill="FFFFFF" w:val="clear"/>
              <w:jc w:val="center"/>
              <w:rPr/>
            </w:pPr>
            <w:r>
              <w:rPr/>
              <w:t>150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150</w:t>
            </w:r>
          </w:p>
        </w:tc>
      </w:tr>
      <w:tr>
        <w:trPr/>
        <w:tc>
          <w:tcPr>
            <w:tcW w:w="4221" w:type="dxa"/>
            <w:tcBorders>
              <w:left w:val="single" w:sz="8" w:space="0" w:color="000000"/>
            </w:tcBorders>
            <w:shd w:fill="FFFFFF" w:val="clear"/>
          </w:tcPr>
          <w:p>
            <w:pPr>
              <w:pStyle w:val="Normal"/>
              <w:shd w:fill="FFFFFF" w:val="clear"/>
              <w:jc w:val="center"/>
              <w:rPr/>
            </w:pPr>
            <w:r>
              <w:rPr/>
              <w:t>220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220</w:t>
            </w:r>
          </w:p>
        </w:tc>
      </w:tr>
      <w:tr>
        <w:trPr/>
        <w:tc>
          <w:tcPr>
            <w:tcW w:w="4221" w:type="dxa"/>
            <w:tcBorders>
              <w:left w:val="single" w:sz="8" w:space="0" w:color="000000"/>
            </w:tcBorders>
            <w:shd w:fill="FFFFFF" w:val="clear"/>
          </w:tcPr>
          <w:p>
            <w:pPr>
              <w:pStyle w:val="Normal"/>
              <w:shd w:fill="FFFFFF" w:val="clear"/>
              <w:jc w:val="center"/>
              <w:rPr/>
            </w:pPr>
            <w:r>
              <w:rPr/>
              <w:t>330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315</w:t>
            </w:r>
          </w:p>
        </w:tc>
      </w:tr>
      <w:tr>
        <w:trPr/>
        <w:tc>
          <w:tcPr>
            <w:tcW w:w="4221" w:type="dxa"/>
            <w:tcBorders>
              <w:left w:val="single" w:sz="8" w:space="0" w:color="000000"/>
            </w:tcBorders>
            <w:shd w:fill="FFFFFF" w:val="clear"/>
          </w:tcPr>
          <w:p>
            <w:pPr>
              <w:pStyle w:val="Normal"/>
              <w:shd w:fill="FFFFFF" w:val="clear"/>
              <w:jc w:val="center"/>
              <w:rPr/>
            </w:pPr>
            <w:r>
              <w:rPr/>
              <w:t>500</w:t>
            </w:r>
          </w:p>
        </w:tc>
        <w:tc>
          <w:tcPr>
            <w:tcW w:w="513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460</w:t>
            </w:r>
          </w:p>
        </w:tc>
      </w:tr>
      <w:tr>
        <w:trPr/>
        <w:tc>
          <w:tcPr>
            <w:tcW w:w="4221"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750</w:t>
            </w:r>
          </w:p>
        </w:tc>
        <w:tc>
          <w:tcPr>
            <w:tcW w:w="513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685</w:t>
            </w:r>
          </w:p>
        </w:tc>
      </w:tr>
    </w:tbl>
    <w:p>
      <w:pPr>
        <w:pStyle w:val="Heading3"/>
        <w:rPr/>
      </w:pPr>
      <w:r>
        <w:rPr/>
        <w:t>Определение степени загрязнения</w:t>
      </w:r>
    </w:p>
    <w:p>
      <w:pPr>
        <w:pStyle w:val="Normal"/>
        <w:shd w:fill="FFFFFF" w:val="clear"/>
        <w:ind w:firstLine="283"/>
        <w:jc w:val="both"/>
        <w:rPr/>
      </w:pPr>
      <w:r>
        <w:rPr>
          <w:b/>
          <w:bCs/>
        </w:rPr>
        <w:t>1.9.28.</w:t>
      </w:r>
      <w:r>
        <w:rPr/>
        <w:t xml:space="preserve"> 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1.9.1 для 1-й СЗ.</w:t>
      </w:r>
    </w:p>
    <w:p>
      <w:pPr>
        <w:pStyle w:val="Normal"/>
        <w:shd w:fill="FFFFFF" w:val="clear"/>
        <w:ind w:firstLine="283"/>
        <w:jc w:val="both"/>
        <w:rPr/>
      </w:pPr>
      <w:r>
        <w:rPr>
          <w:b/>
          <w:bCs/>
        </w:rPr>
        <w:t>1.9.29.</w:t>
      </w:r>
      <w:r>
        <w:rPr/>
        <w:t xml:space="preserve">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pPr>
        <w:pStyle w:val="Normal"/>
        <w:shd w:fill="FFFFFF" w:val="clear"/>
        <w:ind w:firstLine="283"/>
        <w:jc w:val="both"/>
        <w:rPr/>
      </w:pPr>
      <w:r>
        <w:rPr>
          <w:b/>
          <w:bCs/>
        </w:rPr>
        <w:t>1.9.30.</w:t>
      </w:r>
      <w:r>
        <w:rPr/>
        <w:t xml:space="preserve"> 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1.9.1 для 4-й СЗ.</w:t>
      </w:r>
    </w:p>
    <w:p>
      <w:pPr>
        <w:pStyle w:val="Normal"/>
        <w:shd w:fill="FFFFFF" w:val="clear"/>
        <w:ind w:firstLine="283"/>
        <w:jc w:val="both"/>
        <w:rPr/>
      </w:pPr>
      <w:r>
        <w:rPr>
          <w:b/>
          <w:bCs/>
        </w:rPr>
        <w:t>1.9.31.</w:t>
      </w:r>
      <w:r>
        <w:rPr/>
        <w:t xml:space="preserve"> Степень загрязнения вблизи промышленных предприятий должна определяться по табл. 1.9.3-1.9.12 в зависимости от вида и расчетного объема выпускаемой продукции и расстояния до источника загрязнений.</w:t>
      </w:r>
    </w:p>
    <w:p>
      <w:pPr>
        <w:pStyle w:val="Normal"/>
        <w:shd w:fill="FFFFFF" w:val="clear"/>
        <w:ind w:firstLine="283"/>
        <w:jc w:val="both"/>
        <w:rPr/>
      </w:pPr>
      <w:r>
        <w:rP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pPr>
        <w:pStyle w:val="Normal"/>
        <w:shd w:fill="FFFFFF" w:val="clear"/>
        <w:ind w:firstLine="283"/>
        <w:jc w:val="both"/>
        <w:rPr/>
      </w:pPr>
      <w:r>
        <w:rPr>
          <w:b/>
          <w:bCs/>
        </w:rPr>
        <w:t>1.9.32.</w:t>
      </w:r>
      <w:r>
        <w:rPr/>
        <w:t xml:space="preserve"> Степень загрязнения вблизи ТЭС и промышленных котельных должна определяться по табл. 1.9.13 в зависимости от вида топлива, мощности станции и высоты дымовых труб.</w:t>
      </w:r>
    </w:p>
    <w:p>
      <w:pPr>
        <w:pStyle w:val="Normal"/>
        <w:shd w:fill="FFFFFF" w:val="clear"/>
        <w:ind w:firstLine="283"/>
        <w:jc w:val="both"/>
        <w:rPr/>
      </w:pPr>
      <w:r>
        <w:rPr>
          <w:b/>
          <w:bCs/>
        </w:rPr>
        <w:t>1.9.33.</w:t>
      </w:r>
      <w:r>
        <w:rPr/>
        <w:t xml:space="preserve"> При отсчете расстояний по табл. 1.9.3-1.9.13 границей источника загрязнения является кривая, огибающая все места выбросов в атмосферу на данном предприятии (ТЭС).</w:t>
      </w:r>
    </w:p>
    <w:p>
      <w:pPr>
        <w:pStyle w:val="Normal"/>
        <w:shd w:fill="FFFFFF" w:val="clear"/>
        <w:ind w:firstLine="283"/>
        <w:jc w:val="both"/>
        <w:rPr/>
      </w:pPr>
      <w:r>
        <w:rPr>
          <w:b/>
          <w:bCs/>
        </w:rPr>
        <w:t>1.9.34.</w:t>
      </w:r>
      <w:r>
        <w:rPr/>
        <w:t xml:space="preserve"> В случае превышения объема выпускаемой продукции и мощности ТЭС, по сравнению с указанными в табл. 1.9.3-1.9.13, следует увеличивать СЗ не менее чем на одну ступень.</w:t>
      </w:r>
    </w:p>
    <w:p>
      <w:pPr>
        <w:pStyle w:val="Normal"/>
        <w:shd w:fill="FFFFFF" w:val="clear"/>
        <w:ind w:firstLine="283"/>
        <w:jc w:val="both"/>
        <w:rPr/>
      </w:pPr>
      <w:r>
        <w:rPr>
          <w:b/>
          <w:bCs/>
        </w:rPr>
        <w:t>1.9.35.</w:t>
      </w:r>
      <w:r>
        <w:rPr/>
        <w:t xml:space="preserve">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w:t>
      </w:r>
      <w:r>
        <w:rPr>
          <w:bCs/>
        </w:rPr>
        <w:t>1.9.43</w:t>
      </w:r>
      <w:r>
        <w:rPr>
          <w:b/>
          <w:bCs/>
        </w:rPr>
        <w:t>.</w:t>
      </w:r>
    </w:p>
    <w:p>
      <w:pPr>
        <w:pStyle w:val="Normal"/>
        <w:shd w:fill="FFFFFF" w:val="clear"/>
        <w:ind w:firstLine="283"/>
        <w:jc w:val="both"/>
        <w:rPr/>
      </w:pPr>
      <w:r>
        <w:rPr>
          <w:b/>
          <w:bCs/>
        </w:rPr>
        <w:t>1.9.36.</w:t>
      </w:r>
      <w:r>
        <w:rPr/>
        <w:t xml:space="preserve"> Если на одном промышленном предприятии выпускается продукция нескольких отраслей (или подотраслей) промышленности, указанных в табл. 1.9.3-1.9.12, то СЗ следует определять согласно </w:t>
      </w:r>
      <w:r>
        <w:rPr>
          <w:bCs/>
        </w:rPr>
        <w:t>1.9.43</w:t>
      </w:r>
      <w:r>
        <w:rPr>
          <w:b/>
          <w:bCs/>
        </w:rPr>
        <w:t>.</w:t>
      </w:r>
    </w:p>
    <w:p>
      <w:pPr>
        <w:pStyle w:val="Normal"/>
        <w:shd w:fill="FFFFFF" w:val="clear"/>
        <w:ind w:firstLine="283"/>
        <w:jc w:val="both"/>
        <w:rPr/>
      </w:pPr>
      <w:r>
        <w:rPr>
          <w:b/>
          <w:bCs/>
        </w:rPr>
        <w:t>1.9.37.</w:t>
      </w:r>
      <w:r>
        <w:rPr/>
        <w:t xml:space="preserve"> Границы зоны с данной СЗ следует корректировать с учетом розы ветров по формуле</w:t>
      </w:r>
    </w:p>
    <w:p>
      <w:pPr>
        <w:pStyle w:val="Normal"/>
        <w:shd w:fill="FFFFFF" w:val="clear"/>
        <w:spacing w:before="120" w:after="120"/>
        <w:jc w:val="center"/>
        <w:rPr/>
      </w:pPr>
      <w:r>
        <w:rPr>
          <w:vertAlign w:val="subscript"/>
        </w:rPr>
        <w:drawing>
          <wp:inline distT="0" distB="0" distL="0" distR="0">
            <wp:extent cx="668020" cy="437515"/>
            <wp:effectExtent l="0" t="0" r="0" b="0"/>
            <wp:docPr id="2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 descr=""/>
                    <pic:cNvPicPr>
                      <a:picLocks noChangeAspect="1" noChangeArrowheads="1"/>
                    </pic:cNvPicPr>
                  </pic:nvPicPr>
                  <pic:blipFill>
                    <a:blip r:embed="rId30"/>
                    <a:srcRect l="-54" t="-82" r="-54" b="-82"/>
                    <a:stretch>
                      <a:fillRect/>
                    </a:stretch>
                  </pic:blipFill>
                  <pic:spPr bwMode="auto">
                    <a:xfrm>
                      <a:off x="0" y="0"/>
                      <a:ext cx="668020" cy="437515"/>
                    </a:xfrm>
                    <a:prstGeom prst="rect">
                      <a:avLst/>
                    </a:prstGeom>
                  </pic:spPr>
                </pic:pic>
              </a:graphicData>
            </a:graphic>
          </wp:inline>
        </w:drawing>
      </w:r>
      <w:r>
        <w:rPr/>
        <w:t>,</w:t>
      </w:r>
    </w:p>
    <w:p>
      <w:pPr>
        <w:pStyle w:val="Normal"/>
        <w:shd w:fill="FFFFFF" w:val="clear"/>
        <w:ind w:left="800" w:hanging="800"/>
        <w:jc w:val="both"/>
        <w:rPr/>
      </w:pPr>
      <w:r>
        <w:rPr/>
        <w:t xml:space="preserve">где </w:t>
      </w:r>
      <w:r>
        <w:rPr>
          <w:i/>
          <w:iCs/>
        </w:rPr>
        <w:t xml:space="preserve">S - </w:t>
      </w:r>
      <w:r>
        <w:rPr/>
        <w:t>расстояние от границы источника загрязнения до границы района с данной СЗ, скорректированное с учетом розы ветров, м;</w:t>
      </w:r>
    </w:p>
    <w:p>
      <w:pPr>
        <w:pStyle w:val="Normal"/>
        <w:shd w:fill="FFFFFF" w:val="clear"/>
        <w:ind w:left="800" w:hanging="400"/>
        <w:jc w:val="both"/>
        <w:rPr/>
      </w:pPr>
      <w:r>
        <w:rPr>
          <w:i/>
          <w:iCs/>
        </w:rPr>
        <w:t>S</w:t>
      </w:r>
      <w:r>
        <w:rPr>
          <w:i/>
          <w:iCs/>
          <w:vertAlign w:val="subscript"/>
        </w:rPr>
        <w:t>0</w:t>
      </w:r>
      <w:r>
        <w:rPr>
          <w:i/>
          <w:iCs/>
        </w:rPr>
        <w:t xml:space="preserve"> - </w:t>
      </w:r>
      <w:r>
        <w:rPr/>
        <w:t>нормированное расстояние от границы источника загрязнения до границы района с данной СЗ при круговой розе ветров, м;</w:t>
      </w:r>
    </w:p>
    <w:p>
      <w:pPr>
        <w:pStyle w:val="Normal"/>
        <w:shd w:fill="FFFFFF" w:val="clear"/>
        <w:ind w:firstLine="400"/>
        <w:jc w:val="both"/>
        <w:rPr/>
      </w:pPr>
      <w:r>
        <w:rPr>
          <w:i/>
          <w:iCs/>
        </w:rPr>
        <w:t xml:space="preserve">W - </w:t>
      </w:r>
      <w:r>
        <w:rPr/>
        <w:t>среднегодовая повторяемость ветров рассматриваемого румба, %;</w:t>
      </w:r>
    </w:p>
    <w:p>
      <w:pPr>
        <w:pStyle w:val="Normal"/>
        <w:shd w:fill="FFFFFF" w:val="clear"/>
        <w:ind w:firstLine="300"/>
        <w:jc w:val="both"/>
        <w:rPr/>
      </w:pPr>
      <w:r>
        <w:rPr>
          <w:i/>
          <w:iCs/>
        </w:rPr>
        <w:t>W</w:t>
      </w:r>
      <w:r>
        <w:rPr>
          <w:i/>
          <w:iCs/>
          <w:vertAlign w:val="subscript"/>
        </w:rPr>
        <w:t>0</w:t>
      </w:r>
      <w:r>
        <w:rPr>
          <w:i/>
          <w:iCs/>
        </w:rPr>
        <w:t xml:space="preserve"> - </w:t>
      </w:r>
      <w:r>
        <w:rPr/>
        <w:t>повторяемость ветров одного румба при круговой розе ветров, %.</w:t>
      </w:r>
    </w:p>
    <w:p>
      <w:pPr>
        <w:pStyle w:val="Normal"/>
        <w:shd w:fill="FFFFFF" w:val="clear"/>
        <w:ind w:firstLine="283"/>
        <w:jc w:val="both"/>
        <w:rPr/>
      </w:pPr>
      <w:r>
        <w:rPr/>
        <w:t xml:space="preserve">Значения </w:t>
      </w:r>
      <w:r>
        <w:rPr>
          <w:i/>
          <w:iCs/>
        </w:rPr>
        <w:t>S/S</w:t>
      </w:r>
      <w:r>
        <w:rPr>
          <w:i/>
          <w:iCs/>
          <w:vertAlign w:val="subscript"/>
        </w:rPr>
        <w:t>0</w:t>
      </w:r>
      <w:r>
        <w:rPr>
          <w:i/>
          <w:iCs/>
        </w:rPr>
        <w:t xml:space="preserve"> </w:t>
      </w:r>
      <w:r>
        <w:rPr/>
        <w:t xml:space="preserve">должны ограничиваться пределами 0,5 </w:t>
      </w:r>
      <w:r>
        <w:rPr>
          <w:rFonts w:cs="Symbol" w:ascii="Symbol" w:hAnsi="Symbol"/>
        </w:rPr>
        <w:t></w:t>
      </w:r>
      <w:r>
        <w:rPr/>
        <w:t xml:space="preserve"> </w:t>
      </w:r>
      <w:r>
        <w:rPr>
          <w:i/>
          <w:iCs/>
        </w:rPr>
        <w:t>S/S</w:t>
      </w:r>
      <w:r>
        <w:rPr>
          <w:i/>
          <w:iCs/>
          <w:vertAlign w:val="subscript"/>
        </w:rPr>
        <w:t>0</w:t>
      </w:r>
      <w:r>
        <w:rPr>
          <w:i/>
          <w:iCs/>
        </w:rPr>
        <w:t xml:space="preserve"> </w:t>
      </w:r>
      <w:r>
        <w:rPr>
          <w:rFonts w:cs="Symbol" w:ascii="Symbol" w:hAnsi="Symbol"/>
        </w:rPr>
        <w:t></w:t>
      </w:r>
      <w:r>
        <w:rPr/>
        <w:t xml:space="preserve"> 2</w:t>
      </w:r>
      <w:r>
        <w:rPr>
          <w:i/>
          <w:iCs/>
        </w:rPr>
        <w:t>.</w:t>
      </w:r>
    </w:p>
    <w:p>
      <w:pPr>
        <w:pStyle w:val="Normal"/>
        <w:shd w:fill="FFFFFF" w:val="clear"/>
        <w:ind w:firstLine="283"/>
        <w:jc w:val="both"/>
        <w:rPr/>
      </w:pPr>
      <w:r>
        <w:rPr>
          <w:b/>
          <w:bCs/>
        </w:rPr>
        <w:t>1.9.38.</w:t>
      </w:r>
      <w:r>
        <w:rPr/>
        <w:t xml:space="preserve"> Степень загрязнения вблизи отвалов пылящих материалов, складских зданий и сооружений, канализационно-очистных сооружений следует определять по табл. 1.9.14.</w:t>
      </w:r>
    </w:p>
    <w:p>
      <w:pPr>
        <w:pStyle w:val="Normal"/>
        <w:shd w:fill="FFFFFF" w:val="clear"/>
        <w:ind w:firstLine="283"/>
        <w:jc w:val="both"/>
        <w:rPr/>
      </w:pPr>
      <w:r>
        <w:rPr>
          <w:b/>
          <w:bCs/>
        </w:rPr>
        <w:t>1.9.39.</w:t>
      </w:r>
      <w:r>
        <w:rPr/>
        <w:t xml:space="preserve"> Степень загрязнения вблизи автодорог с интенсивным использованием в зимнее время химических противогололедных средств следует определять по табл. 1.9.15.</w:t>
      </w:r>
    </w:p>
    <w:p>
      <w:pPr>
        <w:pStyle w:val="Normal"/>
        <w:shd w:fill="FFFFFF" w:val="clear"/>
        <w:ind w:firstLine="283"/>
        <w:jc w:val="both"/>
        <w:rPr/>
      </w:pPr>
      <w:r>
        <w:rPr>
          <w:b/>
          <w:bCs/>
        </w:rPr>
        <w:t>1.9.40.</w:t>
      </w:r>
      <w:r>
        <w:rPr/>
        <w:t xml:space="preserve"> Степень загрязнения в прибрежной зоне морей, соленых озер и водоемов должна определяться по табл. 1.9.16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следует принимать на одну ступень выше, чем в табл. 1.9.16 для зоны до 0,1 км.</w:t>
      </w:r>
    </w:p>
    <w:p>
      <w:pPr>
        <w:pStyle w:val="Normal"/>
        <w:shd w:fill="FFFFFF" w:val="clear"/>
        <w:ind w:firstLine="283"/>
        <w:jc w:val="both"/>
        <w:rPr/>
      </w:pPr>
      <w:r>
        <w:rPr>
          <w:b/>
          <w:bCs/>
        </w:rPr>
        <w:t>1.9.41.</w:t>
      </w:r>
      <w:r>
        <w:rPr/>
        <w:t xml:space="preserve">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1.9.16, следует увеличить в 3 раза.</w:t>
      </w:r>
    </w:p>
    <w:p>
      <w:pPr>
        <w:pStyle w:val="Normal"/>
        <w:shd w:fill="FFFFFF" w:val="clear"/>
        <w:ind w:firstLine="283"/>
        <w:jc w:val="both"/>
        <w:rPr/>
      </w:pPr>
      <w:r>
        <w:rPr/>
        <w:t>Для водоемов площадью 1000-10000 м</w:t>
      </w:r>
      <w:r>
        <w:rPr>
          <w:vertAlign w:val="superscript"/>
        </w:rPr>
        <w:t>2</w:t>
      </w:r>
      <w:r>
        <w:rPr/>
        <w:t xml:space="preserve"> СЗ допускается снижать на одну ступень по сравнению с данными табл. 1.9.16.</w:t>
      </w:r>
    </w:p>
    <w:p>
      <w:pPr>
        <w:pStyle w:val="Normal"/>
        <w:shd w:fill="FFFFFF" w:val="clear"/>
        <w:ind w:firstLine="283"/>
        <w:jc w:val="both"/>
        <w:rPr/>
      </w:pPr>
      <w:r>
        <w:rPr>
          <w:b/>
          <w:bCs/>
        </w:rPr>
        <w:t>1.9.42.</w:t>
      </w:r>
      <w:r>
        <w:rPr/>
        <w:t xml:space="preserve"> Степень загрязнения вблизи градирен или брызгальных бассейнов должна определяться по табл. 1.9.17 при удельной проводимости циркуляционной воды менее 1000 мкСм/см и по табл. 1.9.18 при удельной проводимости от 1000 до 3000 мкСм/см.</w:t>
      </w:r>
    </w:p>
    <w:p>
      <w:pPr>
        <w:pStyle w:val="Normal"/>
        <w:shd w:fill="FFFFFF" w:val="clear"/>
        <w:ind w:firstLine="283"/>
        <w:jc w:val="both"/>
        <w:rPr/>
      </w:pPr>
      <w:r>
        <w:rPr>
          <w:b/>
          <w:bCs/>
        </w:rPr>
        <w:t>1.9.43.</w:t>
      </w:r>
      <w:r>
        <w:rPr/>
        <w:t xml:space="preserve"> Расчетную СЗ в зоне наложения загрязнений от двух независимых источников, определенную с учетом розы ветров по </w:t>
      </w:r>
      <w:r>
        <w:rPr>
          <w:b/>
          <w:bCs/>
        </w:rPr>
        <w:t xml:space="preserve">1.9.37, </w:t>
      </w:r>
      <w:r>
        <w:rPr/>
        <w:t>следует определять по табл. 1.9.19 независимо от вида промышленного или природного загрязнения.</w:t>
      </w:r>
    </w:p>
    <w:p>
      <w:pPr>
        <w:pStyle w:val="Normal"/>
        <w:shd w:fill="FFFFFF" w:val="clear"/>
        <w:spacing w:before="120" w:after="120"/>
        <w:jc w:val="right"/>
        <w:rPr>
          <w:i/>
          <w:i/>
          <w:iCs/>
        </w:rPr>
      </w:pPr>
      <w:r>
        <w:rPr>
          <w:i/>
          <w:iCs/>
        </w:rPr>
        <w:t>Таблица 1.9.3</w:t>
      </w:r>
    </w:p>
    <w:p>
      <w:pPr>
        <w:pStyle w:val="Normal"/>
        <w:shd w:fill="FFFFFF" w:val="clear"/>
        <w:spacing w:before="0" w:after="120"/>
        <w:jc w:val="center"/>
        <w:rPr>
          <w:b/>
          <w:b/>
          <w:bCs/>
        </w:rPr>
      </w:pPr>
      <w:r>
        <w:rPr>
          <w:b/>
          <w:bCs/>
        </w:rPr>
        <w:t>СЗ вблизи химических предприятий и производств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60"/>
        <w:gridCol w:w="853"/>
        <w:gridCol w:w="853"/>
        <w:gridCol w:w="838"/>
        <w:gridCol w:w="838"/>
        <w:gridCol w:w="853"/>
        <w:gridCol w:w="838"/>
        <w:gridCol w:w="854"/>
        <w:gridCol w:w="868"/>
      </w:tblGrid>
      <w:tr>
        <w:trPr>
          <w:tblHeader w:val="true"/>
        </w:trPr>
        <w:tc>
          <w:tcPr>
            <w:tcW w:w="256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Расчетный объем выпускаемой продукции, тыс. т/год</w:t>
            </w:r>
          </w:p>
        </w:tc>
        <w:tc>
          <w:tcPr>
            <w:tcW w:w="6795"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56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53"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2000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2000 до 2500</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2500 до 3000</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3000 до 5000</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5000</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До 10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 до 500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1500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1500 до 2500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2500 до 3500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56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3500 до 5000</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3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1.9.4</w:t>
      </w:r>
    </w:p>
    <w:p>
      <w:pPr>
        <w:pStyle w:val="Normal"/>
        <w:shd w:fill="FFFFFF" w:val="clear"/>
        <w:spacing w:before="0" w:after="120"/>
        <w:jc w:val="center"/>
        <w:rPr>
          <w:b/>
          <w:b/>
          <w:bCs/>
        </w:rPr>
      </w:pPr>
      <w:r>
        <w:rPr>
          <w:b/>
          <w:bCs/>
        </w:rPr>
        <w:t>СЗ вблизи нефтеперерабатывающих и нефтехимических предприятий и производств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683"/>
        <w:gridCol w:w="2363"/>
        <w:gridCol w:w="703"/>
        <w:gridCol w:w="716"/>
        <w:gridCol w:w="703"/>
        <w:gridCol w:w="716"/>
        <w:gridCol w:w="705"/>
        <w:gridCol w:w="766"/>
      </w:tblGrid>
      <w:tr>
        <w:trPr>
          <w:tblHeader w:val="true"/>
        </w:trPr>
        <w:tc>
          <w:tcPr>
            <w:tcW w:w="268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363"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 тыс. т/год</w:t>
            </w:r>
          </w:p>
        </w:tc>
        <w:tc>
          <w:tcPr>
            <w:tcW w:w="4309"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68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63"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703"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2000</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2000 до 3500</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3500</w:t>
            </w:r>
          </w:p>
        </w:tc>
      </w:tr>
      <w:tr>
        <w:trPr/>
        <w:tc>
          <w:tcPr>
            <w:tcW w:w="2683"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Нефтеперерабатывающие заводы</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1000 до 5000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5000 до 9000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9000 до 18000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Нефтехимические заводы и комбинаты</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5000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5000 до 10000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10000 до 15000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15000 до 20000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Заводы синтетического каучука</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50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 до 150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 до 500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1000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Заводы резинотехнических изделий</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3"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 до 300</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1.9.5</w:t>
      </w:r>
    </w:p>
    <w:p>
      <w:pPr>
        <w:pStyle w:val="Normal"/>
        <w:shd w:fill="FFFFFF" w:val="clear"/>
        <w:spacing w:before="0" w:after="120"/>
        <w:jc w:val="center"/>
        <w:rPr>
          <w:b/>
          <w:b/>
          <w:bCs/>
        </w:rPr>
      </w:pPr>
      <w:r>
        <w:rPr>
          <w:b/>
          <w:bCs/>
        </w:rPr>
        <w:t>СЗ вблизи предприятий по производству газов и переработке нефтяного газа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686"/>
        <w:gridCol w:w="2353"/>
        <w:gridCol w:w="1506"/>
        <w:gridCol w:w="1403"/>
        <w:gridCol w:w="1407"/>
      </w:tblGrid>
      <w:tr>
        <w:trPr>
          <w:tblHeader w:val="true"/>
        </w:trPr>
        <w:tc>
          <w:tcPr>
            <w:tcW w:w="2686"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353"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w:t>
            </w:r>
          </w:p>
        </w:tc>
        <w:tc>
          <w:tcPr>
            <w:tcW w:w="4316"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686"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53"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506"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140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140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1000</w:t>
            </w:r>
          </w:p>
        </w:tc>
      </w:tr>
      <w:tr>
        <w:trPr/>
        <w:tc>
          <w:tcPr>
            <w:tcW w:w="26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газов</w:t>
            </w:r>
          </w:p>
        </w:tc>
        <w:tc>
          <w:tcPr>
            <w:tcW w:w="23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15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4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40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Переработка нефтяного газа</w:t>
            </w:r>
          </w:p>
        </w:tc>
        <w:tc>
          <w:tcPr>
            <w:tcW w:w="23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15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14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40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1.9.6</w:t>
      </w:r>
    </w:p>
    <w:p>
      <w:pPr>
        <w:pStyle w:val="Normal"/>
        <w:shd w:fill="FFFFFF" w:val="clear"/>
        <w:spacing w:before="0" w:after="120"/>
        <w:jc w:val="center"/>
        <w:rPr>
          <w:b/>
          <w:b/>
          <w:bCs/>
        </w:rPr>
      </w:pPr>
      <w:r>
        <w:rPr>
          <w:b/>
          <w:bCs/>
        </w:rPr>
        <w:t>СЗ вблизи предприятий по производству целлюлозы и бумаги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267"/>
        <w:gridCol w:w="2594"/>
        <w:gridCol w:w="1118"/>
        <w:gridCol w:w="1105"/>
        <w:gridCol w:w="1118"/>
        <w:gridCol w:w="1153"/>
      </w:tblGrid>
      <w:tr>
        <w:trPr>
          <w:tblHeader w:val="true"/>
        </w:trPr>
        <w:tc>
          <w:tcPr>
            <w:tcW w:w="226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594"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 тыс. т/год</w:t>
            </w:r>
          </w:p>
        </w:tc>
        <w:tc>
          <w:tcPr>
            <w:tcW w:w="4494"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26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594"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118"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1500</w:t>
            </w:r>
          </w:p>
        </w:tc>
      </w:tr>
      <w:tr>
        <w:trPr/>
        <w:tc>
          <w:tcPr>
            <w:tcW w:w="2267"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целлюлозы и полуцеллюлозы</w:t>
            </w:r>
          </w:p>
        </w:tc>
        <w:tc>
          <w:tcPr>
            <w:tcW w:w="25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75</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26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59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75 до 150</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26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59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 до 500</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26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59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1000</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267"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бумаги</w:t>
            </w:r>
          </w:p>
        </w:tc>
        <w:tc>
          <w:tcPr>
            <w:tcW w:w="25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1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1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1.9.7</w:t>
      </w:r>
    </w:p>
    <w:p>
      <w:pPr>
        <w:pStyle w:val="Normal"/>
        <w:shd w:fill="FFFFFF" w:val="clear"/>
        <w:spacing w:before="0" w:after="120"/>
        <w:jc w:val="center"/>
        <w:rPr>
          <w:b/>
          <w:b/>
          <w:bCs/>
        </w:rPr>
      </w:pPr>
      <w:r>
        <w:rPr>
          <w:b/>
          <w:bCs/>
        </w:rPr>
        <w:t>СЗ вблизи предприятий и производств черной металлургии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52"/>
        <w:gridCol w:w="2363"/>
        <w:gridCol w:w="573"/>
        <w:gridCol w:w="768"/>
        <w:gridCol w:w="784"/>
        <w:gridCol w:w="784"/>
        <w:gridCol w:w="783"/>
        <w:gridCol w:w="848"/>
      </w:tblGrid>
      <w:tr>
        <w:trPr>
          <w:tblHeader w:val="true"/>
        </w:trPr>
        <w:tc>
          <w:tcPr>
            <w:tcW w:w="245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363"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 тыс. т/год</w:t>
            </w:r>
          </w:p>
        </w:tc>
        <w:tc>
          <w:tcPr>
            <w:tcW w:w="4540"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45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63"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73"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2000</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2000 до 2500</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2500</w:t>
            </w:r>
          </w:p>
        </w:tc>
      </w:tr>
      <w:tr>
        <w:trPr/>
        <w:tc>
          <w:tcPr>
            <w:tcW w:w="245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Выплавка чугуна и стали</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1500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1500 до 7500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7500 до 12000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Горнообогатительные комбинаты</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2000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2000 до 5500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5500 до 10000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10000 до 13000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Коксохимпроизводство</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5000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5000 до 12000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Ферросплавы</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500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700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36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700 до 1000</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магнезиальных изделий</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45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Прокат и обработка чугуна и стали</w:t>
            </w:r>
          </w:p>
        </w:tc>
        <w:tc>
          <w:tcPr>
            <w:tcW w:w="2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57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1.9.8</w:t>
      </w:r>
    </w:p>
    <w:p>
      <w:pPr>
        <w:pStyle w:val="Normal"/>
        <w:shd w:fill="FFFFFF" w:val="clear"/>
        <w:spacing w:before="0" w:after="120"/>
        <w:jc w:val="center"/>
        <w:rPr>
          <w:b/>
          <w:b/>
          <w:bCs/>
        </w:rPr>
      </w:pPr>
      <w:r>
        <w:rPr>
          <w:b/>
          <w:bCs/>
        </w:rPr>
        <w:t>СЗ вблизи предприятий и производств цветной металлургии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69"/>
        <w:gridCol w:w="2253"/>
        <w:gridCol w:w="600"/>
        <w:gridCol w:w="801"/>
        <w:gridCol w:w="800"/>
        <w:gridCol w:w="801"/>
        <w:gridCol w:w="800"/>
        <w:gridCol w:w="801"/>
        <w:gridCol w:w="630"/>
      </w:tblGrid>
      <w:tr>
        <w:trPr>
          <w:tblHeader w:val="true"/>
        </w:trPr>
        <w:tc>
          <w:tcPr>
            <w:tcW w:w="186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253"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 тыс. т/год</w:t>
            </w:r>
          </w:p>
        </w:tc>
        <w:tc>
          <w:tcPr>
            <w:tcW w:w="5233"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186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253"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600"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2000</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2000 до 2500</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2500 до 3500</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3500</w:t>
            </w:r>
          </w:p>
        </w:tc>
      </w:tr>
      <w:tr>
        <w:trPr/>
        <w:tc>
          <w:tcPr>
            <w:tcW w:w="1869"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алюминия</w:t>
            </w:r>
          </w:p>
        </w:tc>
        <w:tc>
          <w:tcPr>
            <w:tcW w:w="22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100</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25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 до 500</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25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1000</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25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1000 до 2000</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никеля</w:t>
            </w:r>
          </w:p>
        </w:tc>
        <w:tc>
          <w:tcPr>
            <w:tcW w:w="22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От 1 до 5</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25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 до 25</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25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25 до 1000</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редких металлов</w:t>
            </w:r>
          </w:p>
        </w:tc>
        <w:tc>
          <w:tcPr>
            <w:tcW w:w="22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цинка</w:t>
            </w:r>
          </w:p>
        </w:tc>
        <w:tc>
          <w:tcPr>
            <w:tcW w:w="22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869"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и обработка цветных металлов</w:t>
            </w:r>
          </w:p>
        </w:tc>
        <w:tc>
          <w:tcPr>
            <w:tcW w:w="22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6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0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1.9.9</w:t>
      </w:r>
    </w:p>
    <w:p>
      <w:pPr>
        <w:pStyle w:val="Normal"/>
        <w:shd w:fill="FFFFFF" w:val="clear"/>
        <w:spacing w:before="0" w:after="120"/>
        <w:jc w:val="center"/>
        <w:rPr>
          <w:b/>
          <w:b/>
          <w:bCs/>
        </w:rPr>
      </w:pPr>
      <w:r>
        <w:rPr>
          <w:b/>
          <w:bCs/>
        </w:rPr>
        <w:t>СЗ вблизи предприятий по производству строительных материалов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174"/>
        <w:gridCol w:w="2046"/>
        <w:gridCol w:w="500"/>
        <w:gridCol w:w="798"/>
        <w:gridCol w:w="797"/>
        <w:gridCol w:w="798"/>
        <w:gridCol w:w="797"/>
        <w:gridCol w:w="798"/>
        <w:gridCol w:w="647"/>
      </w:tblGrid>
      <w:tr>
        <w:trPr>
          <w:tblHeader w:val="true"/>
        </w:trPr>
        <w:tc>
          <w:tcPr>
            <w:tcW w:w="2174"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04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 тыс. т/год</w:t>
            </w:r>
          </w:p>
        </w:tc>
        <w:tc>
          <w:tcPr>
            <w:tcW w:w="5135"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174"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04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00"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250</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 до 500</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2000</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2000 до 3000</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3000</w:t>
            </w:r>
          </w:p>
        </w:tc>
      </w:tr>
      <w:tr>
        <w:trPr/>
        <w:tc>
          <w:tcPr>
            <w:tcW w:w="2174"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цемента</w:t>
            </w:r>
          </w:p>
        </w:tc>
        <w:tc>
          <w:tcPr>
            <w:tcW w:w="20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04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 до 500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04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1500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04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1500 до 2500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04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2500 до 3500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04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3500</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асбеста и др.</w:t>
            </w:r>
          </w:p>
        </w:tc>
        <w:tc>
          <w:tcPr>
            <w:tcW w:w="20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17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бетонных изделий и др.</w:t>
            </w:r>
          </w:p>
        </w:tc>
        <w:tc>
          <w:tcPr>
            <w:tcW w:w="20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5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6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1.9.10</w:t>
      </w:r>
    </w:p>
    <w:p>
      <w:pPr>
        <w:pStyle w:val="Normal"/>
        <w:shd w:fill="FFFFFF" w:val="clear"/>
        <w:spacing w:before="0" w:after="120"/>
        <w:jc w:val="center"/>
        <w:rPr>
          <w:b/>
          <w:b/>
          <w:bCs/>
        </w:rPr>
      </w:pPr>
      <w:r>
        <w:rPr>
          <w:b/>
          <w:bCs/>
        </w:rPr>
        <w:t>СЗ вблизи машиностроительных предприятий и производств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980"/>
        <w:gridCol w:w="2832"/>
        <w:gridCol w:w="2543"/>
      </w:tblGrid>
      <w:tr>
        <w:trPr>
          <w:tblHeader w:val="true"/>
        </w:trPr>
        <w:tc>
          <w:tcPr>
            <w:tcW w:w="398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Расчетный объем выпускаемой продукции</w:t>
            </w:r>
          </w:p>
        </w:tc>
        <w:tc>
          <w:tcPr>
            <w:tcW w:w="5375"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398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832"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500</w:t>
            </w:r>
          </w:p>
        </w:tc>
        <w:tc>
          <w:tcPr>
            <w:tcW w:w="25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500</w:t>
            </w:r>
          </w:p>
        </w:tc>
      </w:tr>
      <w:tr>
        <w:trPr/>
        <w:tc>
          <w:tcPr>
            <w:tcW w:w="398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Независимо от объема</w:t>
            </w:r>
          </w:p>
        </w:tc>
        <w:tc>
          <w:tcPr>
            <w:tcW w:w="28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25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1.9.11</w:t>
      </w:r>
    </w:p>
    <w:p>
      <w:pPr>
        <w:pStyle w:val="Normal"/>
        <w:shd w:fill="FFFFFF" w:val="clear"/>
        <w:spacing w:before="0" w:after="120"/>
        <w:jc w:val="center"/>
        <w:rPr>
          <w:b/>
          <w:b/>
          <w:bCs/>
        </w:rPr>
      </w:pPr>
      <w:r>
        <w:rPr>
          <w:b/>
          <w:bCs/>
        </w:rPr>
        <w:t>СЗ вблизи предприятий легкой промышленности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162"/>
        <w:gridCol w:w="2117"/>
        <w:gridCol w:w="907"/>
        <w:gridCol w:w="1329"/>
        <w:gridCol w:w="840"/>
      </w:tblGrid>
      <w:tr>
        <w:trPr>
          <w:tblHeader w:val="true"/>
        </w:trPr>
        <w:tc>
          <w:tcPr>
            <w:tcW w:w="416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2117"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w:t>
            </w:r>
          </w:p>
        </w:tc>
        <w:tc>
          <w:tcPr>
            <w:tcW w:w="3076"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416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117"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07"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250</w:t>
            </w:r>
          </w:p>
        </w:tc>
        <w:tc>
          <w:tcPr>
            <w:tcW w:w="1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 до 500</w:t>
            </w:r>
          </w:p>
        </w:tc>
        <w:tc>
          <w:tcPr>
            <w:tcW w:w="8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500</w:t>
            </w:r>
          </w:p>
        </w:tc>
      </w:tr>
      <w:tr>
        <w:trPr/>
        <w:tc>
          <w:tcPr>
            <w:tcW w:w="416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Обработка тканей</w:t>
            </w:r>
          </w:p>
        </w:tc>
        <w:tc>
          <w:tcPr>
            <w:tcW w:w="211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9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1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4162"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Производство искусственных кож и пленочных материалов</w:t>
            </w:r>
          </w:p>
        </w:tc>
        <w:tc>
          <w:tcPr>
            <w:tcW w:w="211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9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4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1.9.12</w:t>
      </w:r>
    </w:p>
    <w:p>
      <w:pPr>
        <w:pStyle w:val="Normal"/>
        <w:shd w:fill="FFFFFF" w:val="clear"/>
        <w:spacing w:before="0" w:after="120"/>
        <w:jc w:val="center"/>
        <w:rPr>
          <w:b/>
          <w:b/>
          <w:bCs/>
        </w:rPr>
      </w:pPr>
      <w:r>
        <w:rPr>
          <w:b/>
          <w:bCs/>
        </w:rPr>
        <w:t>СЗ вблизи предприятий по добыче руд и нерудных ископаемых</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998"/>
        <w:gridCol w:w="3236"/>
        <w:gridCol w:w="952"/>
        <w:gridCol w:w="1316"/>
        <w:gridCol w:w="853"/>
      </w:tblGrid>
      <w:tr>
        <w:trPr>
          <w:tblHeader w:val="true"/>
        </w:trPr>
        <w:tc>
          <w:tcPr>
            <w:tcW w:w="299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Подотрасль</w:t>
            </w:r>
          </w:p>
        </w:tc>
        <w:tc>
          <w:tcPr>
            <w:tcW w:w="323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Расчетный объем выпускаемой продукции</w:t>
            </w:r>
          </w:p>
        </w:tc>
        <w:tc>
          <w:tcPr>
            <w:tcW w:w="3121"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299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23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52"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250</w:t>
            </w:r>
          </w:p>
        </w:tc>
        <w:tc>
          <w:tcPr>
            <w:tcW w:w="13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 до 500</w:t>
            </w:r>
          </w:p>
        </w:tc>
        <w:tc>
          <w:tcPr>
            <w:tcW w:w="8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500</w:t>
            </w:r>
          </w:p>
        </w:tc>
      </w:tr>
      <w:tr>
        <w:trPr/>
        <w:tc>
          <w:tcPr>
            <w:tcW w:w="2998"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Железная руда и др.</w:t>
            </w:r>
          </w:p>
        </w:tc>
        <w:tc>
          <w:tcPr>
            <w:tcW w:w="32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9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3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998"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Уголь*</w:t>
            </w:r>
          </w:p>
        </w:tc>
        <w:tc>
          <w:tcPr>
            <w:tcW w:w="32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объема</w:t>
            </w:r>
          </w:p>
        </w:tc>
        <w:tc>
          <w:tcPr>
            <w:tcW w:w="9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13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ind w:firstLine="283"/>
        <w:jc w:val="both"/>
        <w:rPr/>
      </w:pPr>
      <w:r>
        <w:rPr/>
        <w:t>* Распространяется на определение СЗ вблизи терриконов.</w:t>
      </w:r>
    </w:p>
    <w:p>
      <w:pPr>
        <w:pStyle w:val="Normal"/>
        <w:shd w:fill="FFFFFF" w:val="clear"/>
        <w:jc w:val="right"/>
        <w:rPr>
          <w:i/>
          <w:i/>
          <w:iCs/>
        </w:rPr>
      </w:pPr>
      <w:r>
        <w:rPr>
          <w:i/>
          <w:iCs/>
        </w:rPr>
        <w:t>Таблица 1.9.13</w:t>
      </w:r>
    </w:p>
    <w:p>
      <w:pPr>
        <w:pStyle w:val="Normal"/>
        <w:shd w:fill="FFFFFF" w:val="clear"/>
        <w:spacing w:before="120" w:after="120"/>
        <w:jc w:val="center"/>
        <w:rPr>
          <w:b/>
          <w:b/>
          <w:bCs/>
        </w:rPr>
      </w:pPr>
      <w:r>
        <w:rPr>
          <w:b/>
          <w:bCs/>
        </w:rPr>
        <w:t>СЗ вблизи ТЭС и промышленных котельных</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970"/>
        <w:gridCol w:w="1537"/>
        <w:gridCol w:w="1225"/>
        <w:gridCol w:w="626"/>
        <w:gridCol w:w="794"/>
        <w:gridCol w:w="793"/>
        <w:gridCol w:w="779"/>
        <w:gridCol w:w="793"/>
        <w:gridCol w:w="838"/>
      </w:tblGrid>
      <w:tr>
        <w:trPr>
          <w:tblHeader w:val="true"/>
        </w:trPr>
        <w:tc>
          <w:tcPr>
            <w:tcW w:w="197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Вид топлива</w:t>
            </w:r>
          </w:p>
        </w:tc>
        <w:tc>
          <w:tcPr>
            <w:tcW w:w="1537"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Мощность, МВт</w:t>
            </w:r>
          </w:p>
        </w:tc>
        <w:tc>
          <w:tcPr>
            <w:tcW w:w="1225"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Высота дымовых труб, м</w:t>
            </w:r>
          </w:p>
        </w:tc>
        <w:tc>
          <w:tcPr>
            <w:tcW w:w="4623"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 при расстоянии от источника загрязнения, м</w:t>
            </w:r>
          </w:p>
        </w:tc>
      </w:tr>
      <w:tr>
        <w:trPr>
          <w:tblHeader w:val="true"/>
        </w:trPr>
        <w:tc>
          <w:tcPr>
            <w:tcW w:w="197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537"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225"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626"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250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250 до 500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500 до 1000</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1000 до 1500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1500 до 3000</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3000</w:t>
            </w:r>
          </w:p>
        </w:tc>
      </w:tr>
      <w:tr>
        <w:trPr/>
        <w:tc>
          <w:tcPr>
            <w:tcW w:w="1970"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ТЭС и котельные на углях при зольности менее 30 %, мазуте, газе</w:t>
            </w:r>
          </w:p>
        </w:tc>
        <w:tc>
          <w:tcPr>
            <w:tcW w:w="153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Независимо от мощности</w:t>
            </w:r>
          </w:p>
        </w:tc>
        <w:tc>
          <w:tcPr>
            <w:tcW w:w="12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Любая</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ТЭС и котельные на углях при зольности более 30 %</w:t>
            </w:r>
          </w:p>
        </w:tc>
        <w:tc>
          <w:tcPr>
            <w:tcW w:w="153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1000</w:t>
            </w:r>
          </w:p>
        </w:tc>
        <w:tc>
          <w:tcPr>
            <w:tcW w:w="12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Любая</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537"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1000 до 4000</w:t>
            </w:r>
          </w:p>
        </w:tc>
        <w:tc>
          <w:tcPr>
            <w:tcW w:w="12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180</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53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2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180</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ТЭС и котельные на сланцах</w:t>
            </w:r>
          </w:p>
        </w:tc>
        <w:tc>
          <w:tcPr>
            <w:tcW w:w="153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500</w:t>
            </w:r>
          </w:p>
        </w:tc>
        <w:tc>
          <w:tcPr>
            <w:tcW w:w="12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Любая</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537"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500 до 2000</w:t>
            </w:r>
          </w:p>
        </w:tc>
        <w:tc>
          <w:tcPr>
            <w:tcW w:w="12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180</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97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53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2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180</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83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1.9.14</w:t>
      </w:r>
    </w:p>
    <w:p>
      <w:pPr>
        <w:pStyle w:val="Normal"/>
        <w:shd w:fill="FFFFFF" w:val="clear"/>
        <w:spacing w:before="0" w:after="120"/>
        <w:jc w:val="center"/>
        <w:rPr/>
      </w:pPr>
      <w:r>
        <w:rPr>
          <w:b/>
          <w:bCs/>
        </w:rPr>
        <w:t xml:space="preserve">СЗ вблизи отвалов пылящих материалов, складских зданий и сооружений, канализационно-очистных сооружений </w:t>
        <w:br/>
      </w:r>
      <w:r>
        <w:rPr/>
        <w:t>(золоотвалы,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 удобрений и ядохимикатов, гидрошахты и обогатительные фабрики, станции аэрации и другие канализацонно-очистные сооружения)</w:t>
      </w:r>
    </w:p>
    <w:tbl>
      <w:tblPr>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28" w:type="dxa"/>
          <w:bottom w:w="0" w:type="dxa"/>
          <w:right w:w="28" w:type="dxa"/>
        </w:tblCellMar>
      </w:tblPr>
      <w:tblGrid>
        <w:gridCol w:w="3109"/>
        <w:gridCol w:w="3111"/>
        <w:gridCol w:w="3135"/>
      </w:tblGrid>
      <w:tr>
        <w:trPr>
          <w:tblHeader w:val="true"/>
        </w:trPr>
        <w:tc>
          <w:tcPr>
            <w:tcW w:w="9355"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vAlign w:val="center"/>
          </w:tcPr>
          <w:p>
            <w:pPr>
              <w:pStyle w:val="Normal"/>
              <w:shd w:fill="FFFFFF" w:val="clear"/>
              <w:jc w:val="center"/>
              <w:rPr/>
            </w:pPr>
            <w:r>
              <w:rPr/>
              <w:t>СЗ при расстоянии от источника загрязнения, м</w:t>
            </w:r>
          </w:p>
        </w:tc>
      </w:tr>
      <w:tr>
        <w:trPr>
          <w:tblHeader w:val="true"/>
        </w:trPr>
        <w:tc>
          <w:tcPr>
            <w:tcW w:w="31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200</w:t>
            </w:r>
          </w:p>
        </w:tc>
        <w:tc>
          <w:tcPr>
            <w:tcW w:w="311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200 до 600</w:t>
            </w:r>
          </w:p>
        </w:tc>
        <w:tc>
          <w:tcPr>
            <w:tcW w:w="3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600</w:t>
            </w:r>
          </w:p>
        </w:tc>
      </w:tr>
      <w:tr>
        <w:trPr/>
        <w:tc>
          <w:tcPr>
            <w:tcW w:w="3109"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3</w:t>
            </w:r>
          </w:p>
        </w:tc>
        <w:tc>
          <w:tcPr>
            <w:tcW w:w="31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3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1.9.15</w:t>
      </w:r>
    </w:p>
    <w:p>
      <w:pPr>
        <w:pStyle w:val="Normal"/>
        <w:shd w:fill="FFFFFF" w:val="clear"/>
        <w:spacing w:before="0" w:after="120"/>
        <w:jc w:val="center"/>
        <w:rPr>
          <w:b/>
          <w:b/>
          <w:bCs/>
        </w:rPr>
      </w:pPr>
      <w:r>
        <w:rPr>
          <w:b/>
          <w:bCs/>
        </w:rPr>
        <w:t>СЗ вблизи автодорог с интенсивным использованием в зимнее время химических противогололедных средств</w:t>
      </w:r>
    </w:p>
    <w:tbl>
      <w:tblPr>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28" w:type="dxa"/>
          <w:bottom w:w="0" w:type="dxa"/>
          <w:right w:w="28" w:type="dxa"/>
        </w:tblCellMar>
      </w:tblPr>
      <w:tblGrid>
        <w:gridCol w:w="3109"/>
        <w:gridCol w:w="3111"/>
        <w:gridCol w:w="3135"/>
      </w:tblGrid>
      <w:tr>
        <w:trPr>
          <w:tblHeader w:val="true"/>
        </w:trPr>
        <w:tc>
          <w:tcPr>
            <w:tcW w:w="9355"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vAlign w:val="center"/>
          </w:tcPr>
          <w:p>
            <w:pPr>
              <w:pStyle w:val="Normal"/>
              <w:shd w:fill="FFFFFF" w:val="clear"/>
              <w:jc w:val="center"/>
              <w:rPr/>
            </w:pPr>
            <w:r>
              <w:rPr/>
              <w:t>СЗ при расстоянии от автодорог, м</w:t>
            </w:r>
          </w:p>
        </w:tc>
      </w:tr>
      <w:tr>
        <w:trPr>
          <w:tblHeader w:val="true"/>
        </w:trPr>
        <w:tc>
          <w:tcPr>
            <w:tcW w:w="3109"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25</w:t>
            </w:r>
          </w:p>
        </w:tc>
        <w:tc>
          <w:tcPr>
            <w:tcW w:w="311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25 до 100</w:t>
            </w:r>
          </w:p>
        </w:tc>
        <w:tc>
          <w:tcPr>
            <w:tcW w:w="3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100</w:t>
            </w:r>
          </w:p>
        </w:tc>
      </w:tr>
      <w:tr>
        <w:trPr/>
        <w:tc>
          <w:tcPr>
            <w:tcW w:w="3109"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3</w:t>
            </w:r>
          </w:p>
        </w:tc>
        <w:tc>
          <w:tcPr>
            <w:tcW w:w="31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3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1.9.16</w:t>
      </w:r>
    </w:p>
    <w:p>
      <w:pPr>
        <w:pStyle w:val="Normal"/>
        <w:shd w:fill="FFFFFF" w:val="clear"/>
        <w:spacing w:before="0" w:after="120"/>
        <w:jc w:val="center"/>
        <w:rPr/>
      </w:pPr>
      <w:r>
        <w:rPr>
          <w:b/>
          <w:bCs/>
        </w:rPr>
        <w:t xml:space="preserve">СЗ в прибрежной зоне морей и озер площадью более 10000 </w:t>
      </w:r>
      <w:r>
        <w:rPr/>
        <w:t>м</w:t>
      </w:r>
      <w:r>
        <w:rPr>
          <w:vertAlign w:val="superscript"/>
        </w:rPr>
        <w:t>2</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74"/>
        <w:gridCol w:w="2700"/>
        <w:gridCol w:w="3333"/>
        <w:gridCol w:w="1248"/>
      </w:tblGrid>
      <w:tr>
        <w:trPr>
          <w:tblHeader w:val="true"/>
        </w:trPr>
        <w:tc>
          <w:tcPr>
            <w:tcW w:w="2074"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Тип водоема</w:t>
            </w:r>
          </w:p>
        </w:tc>
        <w:tc>
          <w:tcPr>
            <w:tcW w:w="2700"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Расчетная соленость воды, г/л</w:t>
            </w:r>
          </w:p>
        </w:tc>
        <w:tc>
          <w:tcPr>
            <w:tcW w:w="333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Расстояние от береговой линии, км</w:t>
            </w:r>
          </w:p>
        </w:tc>
        <w:tc>
          <w:tcPr>
            <w:tcW w:w="124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СЗ</w:t>
            </w:r>
          </w:p>
        </w:tc>
      </w:tr>
      <w:tr>
        <w:trPr/>
        <w:tc>
          <w:tcPr>
            <w:tcW w:w="2074"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Незасоленный</w:t>
            </w:r>
          </w:p>
        </w:tc>
        <w:tc>
          <w:tcPr>
            <w:tcW w:w="27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2</w:t>
            </w:r>
          </w:p>
        </w:tc>
        <w:tc>
          <w:tcPr>
            <w:tcW w:w="33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0,1</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074"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Слабозасоленный</w:t>
            </w:r>
          </w:p>
        </w:tc>
        <w:tc>
          <w:tcPr>
            <w:tcW w:w="2700"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От 2 до 10</w:t>
            </w:r>
          </w:p>
        </w:tc>
        <w:tc>
          <w:tcPr>
            <w:tcW w:w="33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0,1</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20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700"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3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0,1 до 1,0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074"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Среднезасоленный</w:t>
            </w:r>
          </w:p>
        </w:tc>
        <w:tc>
          <w:tcPr>
            <w:tcW w:w="2700"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От 10 до 20</w:t>
            </w:r>
          </w:p>
        </w:tc>
        <w:tc>
          <w:tcPr>
            <w:tcW w:w="33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0,1</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w:t>
            </w:r>
          </w:p>
        </w:tc>
      </w:tr>
      <w:tr>
        <w:trPr/>
        <w:tc>
          <w:tcPr>
            <w:tcW w:w="20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700"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3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0,1 до 1,0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20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700"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3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 до 5,0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074" w:type="dxa"/>
            <w:vMerge w:val="restart"/>
            <w:tcBorders>
              <w:left w:val="single" w:sz="8" w:space="0" w:color="000000"/>
              <w:bottom w:val="single" w:sz="8" w:space="0" w:color="000000"/>
              <w:insideH w:val="single" w:sz="8" w:space="0" w:color="000000"/>
            </w:tcBorders>
            <w:shd w:fill="FFFFFF" w:val="clear"/>
          </w:tcPr>
          <w:p>
            <w:pPr>
              <w:pStyle w:val="Normal"/>
              <w:shd w:fill="FFFFFF" w:val="clear"/>
              <w:jc w:val="both"/>
              <w:rPr/>
            </w:pPr>
            <w:r>
              <w:rPr/>
              <w:t>Сильнозасоленный</w:t>
            </w:r>
          </w:p>
        </w:tc>
        <w:tc>
          <w:tcPr>
            <w:tcW w:w="2700"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От 20 до 40</w:t>
            </w:r>
          </w:p>
        </w:tc>
        <w:tc>
          <w:tcPr>
            <w:tcW w:w="33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both"/>
              <w:rPr/>
            </w:pPr>
            <w:r>
              <w:rPr/>
              <w:t>До 1,0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w:t>
            </w:r>
          </w:p>
        </w:tc>
      </w:tr>
      <w:tr>
        <w:trPr/>
        <w:tc>
          <w:tcPr>
            <w:tcW w:w="20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700"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3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 до 5,0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2074"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2700"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33"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5,0 до 10,0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bl>
    <w:p>
      <w:pPr>
        <w:pStyle w:val="Normal"/>
        <w:shd w:fill="FFFFFF" w:val="clear"/>
        <w:spacing w:before="120" w:after="120"/>
        <w:jc w:val="right"/>
        <w:rPr>
          <w:i/>
          <w:i/>
          <w:iCs/>
        </w:rPr>
      </w:pPr>
      <w:r>
        <w:rPr>
          <w:i/>
          <w:iCs/>
        </w:rPr>
        <w:t>Таблица 1.9.17</w:t>
      </w:r>
    </w:p>
    <w:p>
      <w:pPr>
        <w:pStyle w:val="Normal"/>
        <w:shd w:fill="FFFFFF" w:val="clear"/>
        <w:spacing w:before="0" w:after="120"/>
        <w:jc w:val="center"/>
        <w:rPr>
          <w:b/>
          <w:b/>
          <w:bCs/>
        </w:rPr>
      </w:pPr>
      <w:r>
        <w:rPr>
          <w:b/>
          <w:bCs/>
        </w:rPr>
        <w:t>СЗ вблизи градирен и брызгальных бассейнов с удельной проводимостью циркуляционной воды менее 1000 мкСм/см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649"/>
        <w:gridCol w:w="3342"/>
        <w:gridCol w:w="3364"/>
      </w:tblGrid>
      <w:tr>
        <w:trPr>
          <w:tblHeader w:val="true"/>
        </w:trPr>
        <w:tc>
          <w:tcPr>
            <w:tcW w:w="264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СЗ района</w:t>
            </w:r>
          </w:p>
        </w:tc>
        <w:tc>
          <w:tcPr>
            <w:tcW w:w="6706"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Расстояние от градирен (брызгального бассейна), м</w:t>
            </w:r>
          </w:p>
        </w:tc>
      </w:tr>
      <w:tr>
        <w:trPr>
          <w:tblHeader w:val="true"/>
        </w:trPr>
        <w:tc>
          <w:tcPr>
            <w:tcW w:w="264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342"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150</w:t>
            </w:r>
          </w:p>
        </w:tc>
        <w:tc>
          <w:tcPr>
            <w:tcW w:w="336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150</w:t>
            </w:r>
          </w:p>
        </w:tc>
      </w:tr>
      <w:tr>
        <w:trPr/>
        <w:tc>
          <w:tcPr>
            <w:tcW w:w="2649" w:type="dxa"/>
            <w:tcBorders>
              <w:left w:val="single" w:sz="8" w:space="0" w:color="000000"/>
            </w:tcBorders>
            <w:shd w:fill="FFFFFF" w:val="clear"/>
          </w:tcPr>
          <w:p>
            <w:pPr>
              <w:pStyle w:val="Normal"/>
              <w:shd w:fill="FFFFFF" w:val="clear"/>
              <w:jc w:val="center"/>
              <w:rPr/>
            </w:pPr>
            <w:r>
              <w:rPr/>
              <w:t>1</w:t>
            </w:r>
          </w:p>
        </w:tc>
        <w:tc>
          <w:tcPr>
            <w:tcW w:w="3342" w:type="dxa"/>
            <w:tcBorders>
              <w:left w:val="single" w:sz="8" w:space="0" w:color="000000"/>
            </w:tcBorders>
            <w:shd w:fill="FFFFFF" w:val="clear"/>
            <w:tcMar>
              <w:left w:w="0" w:type="dxa"/>
              <w:right w:w="0" w:type="dxa"/>
            </w:tcMar>
          </w:tcPr>
          <w:p>
            <w:pPr>
              <w:pStyle w:val="Normal"/>
              <w:shd w:fill="FFFFFF" w:val="clear"/>
              <w:jc w:val="center"/>
              <w:rPr/>
            </w:pPr>
            <w:r>
              <w:rPr/>
              <w:t>2</w:t>
            </w:r>
          </w:p>
        </w:tc>
        <w:tc>
          <w:tcPr>
            <w:tcW w:w="336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2649" w:type="dxa"/>
            <w:tcBorders>
              <w:left w:val="single" w:sz="8" w:space="0" w:color="000000"/>
            </w:tcBorders>
            <w:shd w:fill="FFFFFF" w:val="clear"/>
          </w:tcPr>
          <w:p>
            <w:pPr>
              <w:pStyle w:val="Normal"/>
              <w:shd w:fill="FFFFFF" w:val="clear"/>
              <w:jc w:val="center"/>
              <w:rPr/>
            </w:pPr>
            <w:r>
              <w:rPr/>
              <w:t>2</w:t>
            </w:r>
          </w:p>
        </w:tc>
        <w:tc>
          <w:tcPr>
            <w:tcW w:w="3342" w:type="dxa"/>
            <w:tcBorders>
              <w:left w:val="single" w:sz="8" w:space="0" w:color="000000"/>
            </w:tcBorders>
            <w:shd w:fill="FFFFFF" w:val="clear"/>
            <w:tcMar>
              <w:left w:w="0" w:type="dxa"/>
              <w:right w:w="0" w:type="dxa"/>
            </w:tcMar>
          </w:tcPr>
          <w:p>
            <w:pPr>
              <w:pStyle w:val="Normal"/>
              <w:shd w:fill="FFFFFF" w:val="clear"/>
              <w:jc w:val="center"/>
              <w:rPr/>
            </w:pPr>
            <w:r>
              <w:rPr/>
              <w:t>3</w:t>
            </w:r>
          </w:p>
        </w:tc>
        <w:tc>
          <w:tcPr>
            <w:tcW w:w="336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2649" w:type="dxa"/>
            <w:tcBorders>
              <w:left w:val="single" w:sz="8" w:space="0" w:color="000000"/>
            </w:tcBorders>
            <w:shd w:fill="FFFFFF" w:val="clear"/>
          </w:tcPr>
          <w:p>
            <w:pPr>
              <w:pStyle w:val="Normal"/>
              <w:shd w:fill="FFFFFF" w:val="clear"/>
              <w:jc w:val="center"/>
              <w:rPr/>
            </w:pPr>
            <w:r>
              <w:rPr/>
              <w:t>3</w:t>
            </w:r>
          </w:p>
        </w:tc>
        <w:tc>
          <w:tcPr>
            <w:tcW w:w="3342" w:type="dxa"/>
            <w:tcBorders>
              <w:left w:val="single" w:sz="8" w:space="0" w:color="000000"/>
            </w:tcBorders>
            <w:shd w:fill="FFFFFF" w:val="clear"/>
            <w:tcMar>
              <w:left w:w="0" w:type="dxa"/>
              <w:right w:w="0" w:type="dxa"/>
            </w:tcMar>
          </w:tcPr>
          <w:p>
            <w:pPr>
              <w:pStyle w:val="Normal"/>
              <w:shd w:fill="FFFFFF" w:val="clear"/>
              <w:jc w:val="center"/>
              <w:rPr/>
            </w:pPr>
            <w:r>
              <w:rPr/>
              <w:t>4</w:t>
            </w:r>
          </w:p>
        </w:tc>
        <w:tc>
          <w:tcPr>
            <w:tcW w:w="336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3</w:t>
            </w:r>
          </w:p>
        </w:tc>
      </w:tr>
      <w:tr>
        <w:trPr/>
        <w:tc>
          <w:tcPr>
            <w:tcW w:w="2649"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4</w:t>
            </w:r>
          </w:p>
        </w:tc>
        <w:tc>
          <w:tcPr>
            <w:tcW w:w="33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336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bl>
    <w:p>
      <w:pPr>
        <w:pStyle w:val="Normal"/>
        <w:shd w:fill="FFFFFF" w:val="clear"/>
        <w:spacing w:before="120" w:after="120"/>
        <w:jc w:val="right"/>
        <w:rPr>
          <w:i/>
          <w:i/>
          <w:iCs/>
        </w:rPr>
      </w:pPr>
      <w:r>
        <w:rPr>
          <w:i/>
          <w:iCs/>
        </w:rPr>
        <w:t>Таблица 1.9.18</w:t>
      </w:r>
    </w:p>
    <w:p>
      <w:pPr>
        <w:pStyle w:val="Normal"/>
        <w:shd w:fill="FFFFFF" w:val="clear"/>
        <w:spacing w:before="0" w:after="120"/>
        <w:jc w:val="center"/>
        <w:rPr>
          <w:b/>
          <w:b/>
          <w:bCs/>
        </w:rPr>
      </w:pPr>
      <w:r>
        <w:rPr>
          <w:b/>
          <w:bCs/>
        </w:rPr>
        <w:t>СЗ вблизи градирен и брызгальных бассейнов с удельной проводимостью циркуляционной воды от 1000 до 3000 мкСм/см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657"/>
        <w:gridCol w:w="2558"/>
        <w:gridCol w:w="2545"/>
        <w:gridCol w:w="2595"/>
      </w:tblGrid>
      <w:tr>
        <w:trPr>
          <w:tblHeader w:val="true"/>
        </w:trPr>
        <w:tc>
          <w:tcPr>
            <w:tcW w:w="165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СЗ района</w:t>
            </w:r>
          </w:p>
        </w:tc>
        <w:tc>
          <w:tcPr>
            <w:tcW w:w="7698"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Расстояние от градирен (брызгального бассейна), м</w:t>
            </w:r>
          </w:p>
        </w:tc>
      </w:tr>
      <w:tr>
        <w:trPr>
          <w:tblHeader w:val="true"/>
        </w:trPr>
        <w:tc>
          <w:tcPr>
            <w:tcW w:w="165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558"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до 150</w:t>
            </w:r>
          </w:p>
        </w:tc>
        <w:tc>
          <w:tcPr>
            <w:tcW w:w="254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от 150 до 600</w:t>
            </w:r>
          </w:p>
        </w:tc>
        <w:tc>
          <w:tcPr>
            <w:tcW w:w="259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от 600</w:t>
            </w:r>
          </w:p>
        </w:tc>
      </w:tr>
      <w:tr>
        <w:trPr/>
        <w:tc>
          <w:tcPr>
            <w:tcW w:w="1657" w:type="dxa"/>
            <w:tcBorders>
              <w:left w:val="single" w:sz="8" w:space="0" w:color="000000"/>
            </w:tcBorders>
            <w:shd w:fill="FFFFFF" w:val="clear"/>
          </w:tcPr>
          <w:p>
            <w:pPr>
              <w:pStyle w:val="Normal"/>
              <w:shd w:fill="FFFFFF" w:val="clear"/>
              <w:jc w:val="center"/>
              <w:rPr/>
            </w:pPr>
            <w:r>
              <w:rPr/>
              <w:t>1</w:t>
            </w:r>
          </w:p>
        </w:tc>
        <w:tc>
          <w:tcPr>
            <w:tcW w:w="2558" w:type="dxa"/>
            <w:tcBorders>
              <w:left w:val="single" w:sz="8" w:space="0" w:color="000000"/>
            </w:tcBorders>
            <w:shd w:fill="FFFFFF" w:val="clear"/>
            <w:tcMar>
              <w:left w:w="0" w:type="dxa"/>
              <w:right w:w="0" w:type="dxa"/>
            </w:tcMar>
          </w:tcPr>
          <w:p>
            <w:pPr>
              <w:pStyle w:val="Normal"/>
              <w:shd w:fill="FFFFFF" w:val="clear"/>
              <w:jc w:val="center"/>
              <w:rPr/>
            </w:pPr>
            <w:r>
              <w:rPr/>
              <w:t>3</w:t>
            </w:r>
          </w:p>
        </w:tc>
        <w:tc>
          <w:tcPr>
            <w:tcW w:w="2545" w:type="dxa"/>
            <w:tcBorders>
              <w:left w:val="single" w:sz="8" w:space="0" w:color="000000"/>
            </w:tcBorders>
            <w:shd w:fill="FFFFFF" w:val="clear"/>
            <w:tcMar>
              <w:left w:w="0" w:type="dxa"/>
              <w:right w:w="0" w:type="dxa"/>
            </w:tcMar>
          </w:tcPr>
          <w:p>
            <w:pPr>
              <w:pStyle w:val="Normal"/>
              <w:shd w:fill="FFFFFF" w:val="clear"/>
              <w:jc w:val="center"/>
              <w:rPr/>
            </w:pPr>
            <w:r>
              <w:rPr/>
              <w:t>2</w:t>
            </w:r>
          </w:p>
        </w:tc>
        <w:tc>
          <w:tcPr>
            <w:tcW w:w="259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1</w:t>
            </w:r>
          </w:p>
        </w:tc>
      </w:tr>
      <w:tr>
        <w:trPr/>
        <w:tc>
          <w:tcPr>
            <w:tcW w:w="1657" w:type="dxa"/>
            <w:tcBorders>
              <w:left w:val="single" w:sz="8" w:space="0" w:color="000000"/>
            </w:tcBorders>
            <w:shd w:fill="FFFFFF" w:val="clear"/>
          </w:tcPr>
          <w:p>
            <w:pPr>
              <w:pStyle w:val="Normal"/>
              <w:shd w:fill="FFFFFF" w:val="clear"/>
              <w:jc w:val="center"/>
              <w:rPr/>
            </w:pPr>
            <w:r>
              <w:rPr/>
              <w:t>2</w:t>
            </w:r>
          </w:p>
        </w:tc>
        <w:tc>
          <w:tcPr>
            <w:tcW w:w="2558" w:type="dxa"/>
            <w:tcBorders>
              <w:left w:val="single" w:sz="8" w:space="0" w:color="000000"/>
            </w:tcBorders>
            <w:shd w:fill="FFFFFF" w:val="clear"/>
            <w:tcMar>
              <w:left w:w="0" w:type="dxa"/>
              <w:right w:w="0" w:type="dxa"/>
            </w:tcMar>
          </w:tcPr>
          <w:p>
            <w:pPr>
              <w:pStyle w:val="Normal"/>
              <w:shd w:fill="FFFFFF" w:val="clear"/>
              <w:jc w:val="center"/>
              <w:rPr/>
            </w:pPr>
            <w:r>
              <w:rPr/>
              <w:t>4</w:t>
            </w:r>
          </w:p>
        </w:tc>
        <w:tc>
          <w:tcPr>
            <w:tcW w:w="2545" w:type="dxa"/>
            <w:tcBorders>
              <w:left w:val="single" w:sz="8" w:space="0" w:color="000000"/>
            </w:tcBorders>
            <w:shd w:fill="FFFFFF" w:val="clear"/>
            <w:tcMar>
              <w:left w:w="0" w:type="dxa"/>
              <w:right w:w="0" w:type="dxa"/>
            </w:tcMar>
          </w:tcPr>
          <w:p>
            <w:pPr>
              <w:pStyle w:val="Normal"/>
              <w:shd w:fill="FFFFFF" w:val="clear"/>
              <w:jc w:val="center"/>
              <w:rPr/>
            </w:pPr>
            <w:r>
              <w:rPr/>
              <w:t>3</w:t>
            </w:r>
          </w:p>
        </w:tc>
        <w:tc>
          <w:tcPr>
            <w:tcW w:w="259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2</w:t>
            </w:r>
          </w:p>
        </w:tc>
      </w:tr>
      <w:tr>
        <w:trPr/>
        <w:tc>
          <w:tcPr>
            <w:tcW w:w="1657" w:type="dxa"/>
            <w:tcBorders>
              <w:left w:val="single" w:sz="8" w:space="0" w:color="000000"/>
            </w:tcBorders>
            <w:shd w:fill="FFFFFF" w:val="clear"/>
          </w:tcPr>
          <w:p>
            <w:pPr>
              <w:pStyle w:val="Normal"/>
              <w:shd w:fill="FFFFFF" w:val="clear"/>
              <w:jc w:val="center"/>
              <w:rPr/>
            </w:pPr>
            <w:r>
              <w:rPr/>
              <w:t>3</w:t>
            </w:r>
          </w:p>
        </w:tc>
        <w:tc>
          <w:tcPr>
            <w:tcW w:w="2558" w:type="dxa"/>
            <w:tcBorders>
              <w:left w:val="single" w:sz="8" w:space="0" w:color="000000"/>
            </w:tcBorders>
            <w:shd w:fill="FFFFFF" w:val="clear"/>
            <w:tcMar>
              <w:left w:w="0" w:type="dxa"/>
              <w:right w:w="0" w:type="dxa"/>
            </w:tcMar>
          </w:tcPr>
          <w:p>
            <w:pPr>
              <w:pStyle w:val="Normal"/>
              <w:shd w:fill="FFFFFF" w:val="clear"/>
              <w:jc w:val="center"/>
              <w:rPr/>
            </w:pPr>
            <w:r>
              <w:rPr/>
              <w:t>4</w:t>
            </w:r>
          </w:p>
        </w:tc>
        <w:tc>
          <w:tcPr>
            <w:tcW w:w="2545" w:type="dxa"/>
            <w:tcBorders>
              <w:left w:val="single" w:sz="8" w:space="0" w:color="000000"/>
            </w:tcBorders>
            <w:shd w:fill="FFFFFF" w:val="clear"/>
            <w:tcMar>
              <w:left w:w="0" w:type="dxa"/>
              <w:right w:w="0" w:type="dxa"/>
            </w:tcMar>
          </w:tcPr>
          <w:p>
            <w:pPr>
              <w:pStyle w:val="Normal"/>
              <w:shd w:fill="FFFFFF" w:val="clear"/>
              <w:jc w:val="center"/>
              <w:rPr/>
            </w:pPr>
            <w:r>
              <w:rPr/>
              <w:t>4</w:t>
            </w:r>
          </w:p>
        </w:tc>
        <w:tc>
          <w:tcPr>
            <w:tcW w:w="259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3</w:t>
            </w:r>
          </w:p>
        </w:tc>
      </w:tr>
      <w:tr>
        <w:trPr/>
        <w:tc>
          <w:tcPr>
            <w:tcW w:w="1657"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4</w:t>
            </w:r>
          </w:p>
        </w:tc>
        <w:tc>
          <w:tcPr>
            <w:tcW w:w="25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254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259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bl>
    <w:p>
      <w:pPr>
        <w:pStyle w:val="Normal"/>
        <w:shd w:fill="FFFFFF" w:val="clear"/>
        <w:spacing w:before="120" w:after="120"/>
        <w:jc w:val="right"/>
        <w:rPr>
          <w:i/>
          <w:i/>
          <w:iCs/>
        </w:rPr>
      </w:pPr>
      <w:r>
        <w:rPr>
          <w:i/>
          <w:iCs/>
        </w:rPr>
        <w:t>Таблица 1.9.19</w:t>
      </w:r>
    </w:p>
    <w:p>
      <w:pPr>
        <w:pStyle w:val="Normal"/>
        <w:shd w:fill="FFFFFF" w:val="clear"/>
        <w:spacing w:before="0" w:after="120"/>
        <w:jc w:val="center"/>
        <w:rPr>
          <w:b/>
          <w:b/>
          <w:bCs/>
        </w:rPr>
      </w:pPr>
      <w:r>
        <w:rPr>
          <w:b/>
          <w:bCs/>
        </w:rPr>
        <w:t>Расчетная СЗ при наложении загрязнений от двух независимых источников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327"/>
        <w:gridCol w:w="2326"/>
        <w:gridCol w:w="2341"/>
        <w:gridCol w:w="2361"/>
      </w:tblGrid>
      <w:tr>
        <w:trPr>
          <w:tblHeader w:val="true"/>
        </w:trPr>
        <w:tc>
          <w:tcPr>
            <w:tcW w:w="232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СЗ от первого источника</w:t>
            </w:r>
          </w:p>
        </w:tc>
        <w:tc>
          <w:tcPr>
            <w:tcW w:w="7028"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Расчетная СЗ при степени загрязнения от второго источника</w:t>
            </w:r>
          </w:p>
        </w:tc>
      </w:tr>
      <w:tr>
        <w:trPr>
          <w:tblHeader w:val="true"/>
        </w:trPr>
        <w:tc>
          <w:tcPr>
            <w:tcW w:w="232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26"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2</w:t>
            </w:r>
          </w:p>
        </w:tc>
        <w:tc>
          <w:tcPr>
            <w:tcW w:w="234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jc w:val="center"/>
              <w:rPr/>
            </w:pPr>
            <w:r>
              <w:rPr/>
              <w:t>3</w:t>
            </w:r>
          </w:p>
        </w:tc>
        <w:tc>
          <w:tcPr>
            <w:tcW w:w="23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4</w:t>
            </w:r>
          </w:p>
        </w:tc>
      </w:tr>
      <w:tr>
        <w:trPr/>
        <w:tc>
          <w:tcPr>
            <w:tcW w:w="2327" w:type="dxa"/>
            <w:tcBorders>
              <w:left w:val="single" w:sz="8" w:space="0" w:color="000000"/>
            </w:tcBorders>
            <w:shd w:fill="FFFFFF" w:val="clear"/>
          </w:tcPr>
          <w:p>
            <w:pPr>
              <w:pStyle w:val="Normal"/>
              <w:shd w:fill="FFFFFF" w:val="clear"/>
              <w:jc w:val="center"/>
              <w:rPr/>
            </w:pPr>
            <w:r>
              <w:rPr/>
              <w:t>2</w:t>
            </w:r>
          </w:p>
        </w:tc>
        <w:tc>
          <w:tcPr>
            <w:tcW w:w="2326" w:type="dxa"/>
            <w:tcBorders>
              <w:left w:val="single" w:sz="8" w:space="0" w:color="000000"/>
            </w:tcBorders>
            <w:shd w:fill="FFFFFF" w:val="clear"/>
            <w:tcMar>
              <w:left w:w="0" w:type="dxa"/>
              <w:right w:w="0" w:type="dxa"/>
            </w:tcMar>
          </w:tcPr>
          <w:p>
            <w:pPr>
              <w:pStyle w:val="Normal"/>
              <w:shd w:fill="FFFFFF" w:val="clear"/>
              <w:jc w:val="center"/>
              <w:rPr/>
            </w:pPr>
            <w:r>
              <w:rPr/>
              <w:t>2</w:t>
            </w:r>
          </w:p>
        </w:tc>
        <w:tc>
          <w:tcPr>
            <w:tcW w:w="2341" w:type="dxa"/>
            <w:tcBorders>
              <w:left w:val="single" w:sz="8" w:space="0" w:color="000000"/>
            </w:tcBorders>
            <w:shd w:fill="FFFFFF" w:val="clear"/>
            <w:tcMar>
              <w:left w:w="0" w:type="dxa"/>
              <w:right w:w="0" w:type="dxa"/>
            </w:tcMar>
          </w:tcPr>
          <w:p>
            <w:pPr>
              <w:pStyle w:val="Normal"/>
              <w:shd w:fill="FFFFFF" w:val="clear"/>
              <w:jc w:val="center"/>
              <w:rPr/>
            </w:pPr>
            <w:r>
              <w:rPr/>
              <w:t>3</w:t>
            </w:r>
          </w:p>
        </w:tc>
        <w:tc>
          <w:tcPr>
            <w:tcW w:w="23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r>
        <w:trPr/>
        <w:tc>
          <w:tcPr>
            <w:tcW w:w="2327" w:type="dxa"/>
            <w:tcBorders>
              <w:left w:val="single" w:sz="8" w:space="0" w:color="000000"/>
            </w:tcBorders>
            <w:shd w:fill="FFFFFF" w:val="clear"/>
          </w:tcPr>
          <w:p>
            <w:pPr>
              <w:pStyle w:val="Normal"/>
              <w:shd w:fill="FFFFFF" w:val="clear"/>
              <w:jc w:val="center"/>
              <w:rPr/>
            </w:pPr>
            <w:r>
              <w:rPr/>
              <w:t>3</w:t>
            </w:r>
          </w:p>
        </w:tc>
        <w:tc>
          <w:tcPr>
            <w:tcW w:w="2326" w:type="dxa"/>
            <w:tcBorders>
              <w:left w:val="single" w:sz="8" w:space="0" w:color="000000"/>
            </w:tcBorders>
            <w:shd w:fill="FFFFFF" w:val="clear"/>
            <w:tcMar>
              <w:left w:w="0" w:type="dxa"/>
              <w:right w:w="0" w:type="dxa"/>
            </w:tcMar>
          </w:tcPr>
          <w:p>
            <w:pPr>
              <w:pStyle w:val="Normal"/>
              <w:shd w:fill="FFFFFF" w:val="clear"/>
              <w:jc w:val="center"/>
              <w:rPr/>
            </w:pPr>
            <w:r>
              <w:rPr/>
              <w:t>3</w:t>
            </w:r>
          </w:p>
        </w:tc>
        <w:tc>
          <w:tcPr>
            <w:tcW w:w="2341" w:type="dxa"/>
            <w:tcBorders>
              <w:left w:val="single" w:sz="8" w:space="0" w:color="000000"/>
            </w:tcBorders>
            <w:shd w:fill="FFFFFF" w:val="clear"/>
            <w:tcMar>
              <w:left w:w="0" w:type="dxa"/>
              <w:right w:w="0" w:type="dxa"/>
            </w:tcMar>
          </w:tcPr>
          <w:p>
            <w:pPr>
              <w:pStyle w:val="Normal"/>
              <w:shd w:fill="FFFFFF" w:val="clear"/>
              <w:jc w:val="center"/>
              <w:rPr/>
            </w:pPr>
            <w:r>
              <w:rPr/>
              <w:t>4</w:t>
            </w:r>
          </w:p>
        </w:tc>
        <w:tc>
          <w:tcPr>
            <w:tcW w:w="23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r>
        <w:trPr/>
        <w:tc>
          <w:tcPr>
            <w:tcW w:w="2327"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t>4</w:t>
            </w:r>
          </w:p>
        </w:tc>
        <w:tc>
          <w:tcPr>
            <w:tcW w:w="23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23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4</w:t>
            </w:r>
          </w:p>
        </w:tc>
        <w:tc>
          <w:tcPr>
            <w:tcW w:w="23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4</w:t>
            </w:r>
          </w:p>
        </w:tc>
      </w:tr>
    </w:tbl>
    <w:p>
      <w:pPr>
        <w:pStyle w:val="Heading3"/>
        <w:rPr/>
      </w:pPr>
      <w:r>
        <w:rPr/>
        <w:t>Коэффициенты использования основных типов изоляторов и изоляционных конструкций (стеклянных и фарфоровых)</w:t>
      </w:r>
    </w:p>
    <w:p>
      <w:pPr>
        <w:pStyle w:val="Normal"/>
        <w:shd w:fill="FFFFFF" w:val="clear"/>
        <w:ind w:firstLine="283"/>
        <w:jc w:val="both"/>
        <w:rPr/>
      </w:pPr>
      <w:r>
        <w:rPr>
          <w:b/>
          <w:bCs/>
        </w:rPr>
        <w:t>1.9.44.</w:t>
      </w:r>
      <w:r>
        <w:rPr/>
        <w:t xml:space="preserve"> Коэффициенты использования </w:t>
      </w:r>
      <w:r>
        <w:rPr>
          <w:i/>
          <w:iCs/>
        </w:rPr>
        <w:t xml:space="preserve">k </w:t>
      </w:r>
      <w:r>
        <w:rPr/>
        <w:t>изоляционных конструкций, составленных из однотипных изоляторов, следует определять как</w:t>
      </w:r>
    </w:p>
    <w:p>
      <w:pPr>
        <w:pStyle w:val="Normal"/>
        <w:shd w:fill="FFFFFF" w:val="clear"/>
        <w:spacing w:before="120" w:after="120"/>
        <w:jc w:val="center"/>
        <w:rPr/>
      </w:pPr>
      <w:r>
        <w:rPr>
          <w:i/>
          <w:iCs/>
        </w:rPr>
        <w:t>k</w:t>
      </w:r>
      <w:r>
        <w:rPr/>
        <w:t xml:space="preserve"> = </w:t>
      </w:r>
      <w:r>
        <w:rPr>
          <w:i/>
          <w:iCs/>
        </w:rPr>
        <w:t>k</w:t>
      </w:r>
      <w:r>
        <w:rPr>
          <w:i/>
          <w:iCs/>
          <w:vertAlign w:val="subscript"/>
        </w:rPr>
        <w:t>И</w:t>
      </w:r>
      <w:r>
        <w:rPr>
          <w:rFonts w:cs="Symbol" w:ascii="Symbol" w:hAnsi="Symbol"/>
        </w:rPr>
        <w:t></w:t>
      </w:r>
      <w:r>
        <w:rPr>
          <w:i/>
          <w:iCs/>
        </w:rPr>
        <w:t>k</w:t>
      </w:r>
      <w:r>
        <w:rPr>
          <w:i/>
          <w:iCs/>
          <w:vertAlign w:val="subscript"/>
        </w:rPr>
        <w:t>К</w:t>
      </w:r>
    </w:p>
    <w:p>
      <w:pPr>
        <w:pStyle w:val="Normal"/>
        <w:shd w:fill="FFFFFF" w:val="clear"/>
        <w:jc w:val="both"/>
        <w:rPr/>
      </w:pPr>
      <w:r>
        <w:rPr/>
        <w:t xml:space="preserve">где </w:t>
      </w:r>
      <w:r>
        <w:rPr>
          <w:i/>
          <w:iCs/>
        </w:rPr>
        <w:t>k</w:t>
      </w:r>
      <w:r>
        <w:rPr>
          <w:i/>
          <w:iCs/>
          <w:vertAlign w:val="subscript"/>
        </w:rPr>
        <w:t>И</w:t>
      </w:r>
      <w:r>
        <w:rPr/>
        <w:t xml:space="preserve"> - коэффициент использования изолятора;</w:t>
      </w:r>
    </w:p>
    <w:p>
      <w:pPr>
        <w:pStyle w:val="Normal"/>
        <w:shd w:fill="FFFFFF" w:val="clear"/>
        <w:ind w:left="800" w:hanging="517"/>
        <w:jc w:val="both"/>
        <w:rPr/>
      </w:pPr>
      <w:r>
        <w:rPr>
          <w:i/>
          <w:iCs/>
        </w:rPr>
        <w:t>k</w:t>
      </w:r>
      <w:r>
        <w:rPr>
          <w:i/>
          <w:iCs/>
          <w:vertAlign w:val="subscript"/>
        </w:rPr>
        <w:t>K</w:t>
      </w:r>
      <w:r>
        <w:rPr>
          <w:i/>
          <w:iCs/>
        </w:rPr>
        <w:t xml:space="preserve"> - </w:t>
      </w:r>
      <w:r>
        <w:rPr/>
        <w:t>коэффициент использования составной конструкции с параллельными или последовательно-параллельными ветвями.</w:t>
      </w:r>
    </w:p>
    <w:p>
      <w:pPr>
        <w:pStyle w:val="Normal"/>
        <w:shd w:fill="FFFFFF" w:val="clear"/>
        <w:ind w:firstLine="283"/>
        <w:jc w:val="both"/>
        <w:rPr/>
      </w:pPr>
      <w:r>
        <w:rPr>
          <w:b/>
          <w:bCs/>
        </w:rPr>
        <w:t>1.9.45.</w:t>
      </w:r>
      <w:r>
        <w:rPr/>
        <w:t xml:space="preserve"> Коэффициенты использования </w:t>
      </w:r>
      <w:r>
        <w:rPr>
          <w:i/>
          <w:iCs/>
        </w:rPr>
        <w:t>k</w:t>
      </w:r>
      <w:r>
        <w:rPr>
          <w:i/>
          <w:iCs/>
          <w:vertAlign w:val="subscript"/>
        </w:rPr>
        <w:t>И</w:t>
      </w:r>
      <w:r>
        <w:rPr/>
        <w:t xml:space="preserve"> подвесных тарельчатых изоляторов по ГОСТ 27661 со слабо развитой нижней поверхностью изоляционной детали следует определять по табл. 1.9.20 в зависимости от отношения длины пути утечки изолятора </w:t>
      </w:r>
      <w:r>
        <w:rPr>
          <w:i/>
          <w:iCs/>
          <w:caps/>
        </w:rPr>
        <w:t>L</w:t>
      </w:r>
      <w:r>
        <w:rPr>
          <w:i/>
          <w:iCs/>
          <w:caps/>
          <w:vertAlign w:val="subscript"/>
        </w:rPr>
        <w:t>И</w:t>
      </w:r>
      <w:r>
        <w:rPr>
          <w:caps/>
        </w:rPr>
        <w:t xml:space="preserve"> </w:t>
      </w:r>
      <w:r>
        <w:rPr/>
        <w:t xml:space="preserve">к диаметру его тарелки </w:t>
      </w:r>
      <w:r>
        <w:rPr>
          <w:i/>
          <w:iCs/>
        </w:rPr>
        <w:t>D.</w:t>
      </w:r>
    </w:p>
    <w:p>
      <w:pPr>
        <w:pStyle w:val="Normal"/>
        <w:shd w:fill="FFFFFF" w:val="clear"/>
        <w:ind w:firstLine="283"/>
        <w:jc w:val="both"/>
        <w:rPr/>
      </w:pPr>
      <w:r>
        <w:rPr>
          <w:b/>
          <w:bCs/>
        </w:rPr>
        <w:t>1.9.46.</w:t>
      </w:r>
      <w:r>
        <w:rPr/>
        <w:t xml:space="preserve"> Коэффициенты использования </w:t>
      </w:r>
      <w:r>
        <w:rPr>
          <w:i/>
          <w:iCs/>
        </w:rPr>
        <w:t>k</w:t>
      </w:r>
      <w:r>
        <w:rPr>
          <w:i/>
          <w:iCs/>
          <w:vertAlign w:val="subscript"/>
        </w:rPr>
        <w:t>И</w:t>
      </w:r>
      <w:r>
        <w:rPr/>
        <w:t xml:space="preserve"> подвесных тарельчатых изоляторов специального исполнения с сильно развитой поверхностью следует определять по табл. 1.9.21.</w:t>
      </w:r>
    </w:p>
    <w:p>
      <w:pPr>
        <w:pStyle w:val="Normal"/>
        <w:shd w:fill="FFFFFF" w:val="clear"/>
        <w:ind w:firstLine="283"/>
        <w:jc w:val="both"/>
        <w:rPr/>
      </w:pPr>
      <w:r>
        <w:rPr>
          <w:b/>
          <w:bCs/>
        </w:rPr>
        <w:t>1.9.47.</w:t>
      </w:r>
      <w:r>
        <w:rPr/>
        <w:t xml:space="preserve"> Коэффициенты использования </w:t>
      </w:r>
      <w:r>
        <w:rPr>
          <w:i/>
          <w:iCs/>
        </w:rPr>
        <w:t>k</w:t>
      </w:r>
      <w:r>
        <w:rPr>
          <w:i/>
          <w:iCs/>
          <w:vertAlign w:val="subscript"/>
        </w:rPr>
        <w:t>И</w:t>
      </w:r>
      <w:r>
        <w:rPr/>
        <w:t xml:space="preserve"> штыревых изоляторов (линейных, опорных) со слабо развитой поверхностью должны приниматься равными 1,0, с сильно развитой поверхностью - 1,1.</w:t>
      </w:r>
    </w:p>
    <w:p>
      <w:pPr>
        <w:pStyle w:val="Normal"/>
        <w:shd w:fill="FFFFFF" w:val="clear"/>
        <w:ind w:firstLine="283"/>
        <w:jc w:val="both"/>
        <w:rPr/>
      </w:pPr>
      <w:r>
        <w:rPr>
          <w:b/>
          <w:bCs/>
        </w:rPr>
        <w:t>1.9.48.</w:t>
      </w:r>
      <w:r>
        <w:rPr/>
        <w:t xml:space="preserve"> Коэффициенты использования </w:t>
      </w:r>
      <w:r>
        <w:rPr>
          <w:i/>
          <w:iCs/>
        </w:rPr>
        <w:t>k</w:t>
      </w:r>
      <w:r>
        <w:rPr>
          <w:i/>
          <w:iCs/>
          <w:vertAlign w:val="subscript"/>
        </w:rPr>
        <w:t>И</w:t>
      </w:r>
      <w:r>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1.9.22 в зависимости от отношения длины пути утечки изолятора или изоляционной конструкции </w:t>
      </w:r>
      <w:r>
        <w:rPr>
          <w:i/>
          <w:iCs/>
        </w:rPr>
        <w:t>L</w:t>
      </w:r>
      <w:r>
        <w:rPr>
          <w:i/>
          <w:iCs/>
          <w:vertAlign w:val="subscript"/>
        </w:rPr>
        <w:t>И</w:t>
      </w:r>
      <w:r>
        <w:rPr/>
        <w:t xml:space="preserve"> к длине их изоляционной части </w:t>
      </w:r>
      <w:r>
        <w:rPr>
          <w:i/>
          <w:iCs/>
        </w:rPr>
        <w:t>h.</w:t>
      </w:r>
    </w:p>
    <w:p>
      <w:pPr>
        <w:pStyle w:val="Normal"/>
        <w:shd w:fill="FFFFFF" w:val="clear"/>
        <w:ind w:firstLine="283"/>
        <w:jc w:val="both"/>
        <w:rPr/>
      </w:pPr>
      <w:r>
        <w:rPr>
          <w:b/>
          <w:bCs/>
        </w:rPr>
        <w:t>1.9.49.</w:t>
      </w:r>
      <w:r>
        <w:rPr/>
        <w:t xml:space="preserve"> Коэффициенты использования </w:t>
      </w:r>
      <w:r>
        <w:rPr>
          <w:i/>
          <w:iCs/>
        </w:rPr>
        <w:t>k</w:t>
      </w:r>
      <w:r>
        <w:rPr>
          <w:i/>
          <w:iCs/>
          <w:vertAlign w:val="subscript"/>
        </w:rPr>
        <w:t>K</w:t>
      </w:r>
      <w:r>
        <w:rPr/>
        <w:t xml:space="preserve"> одноцепных гирлянд и одиночных опорных колонок, составленных из однотипных изоляторов, следует принимать равными 1,0.</w:t>
      </w:r>
    </w:p>
    <w:p>
      <w:pPr>
        <w:pStyle w:val="Normal"/>
        <w:shd w:fill="FFFFFF" w:val="clear"/>
        <w:ind w:firstLine="283"/>
        <w:jc w:val="both"/>
        <w:rPr/>
      </w:pPr>
      <w:r>
        <w:rPr>
          <w:b/>
          <w:bCs/>
        </w:rPr>
        <w:t>1.9.50.</w:t>
      </w:r>
      <w:r>
        <w:rPr/>
        <w:t xml:space="preserve"> Коэффициенты использования </w:t>
      </w:r>
      <w:r>
        <w:rPr>
          <w:i/>
          <w:iCs/>
        </w:rPr>
        <w:t>k</w:t>
      </w:r>
      <w:r>
        <w:rPr>
          <w:i/>
          <w:iCs/>
          <w:vertAlign w:val="subscript"/>
        </w:rPr>
        <w:t>K</w:t>
      </w:r>
      <w:r>
        <w:rP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следует определять по табл. 1.9.23.</w:t>
      </w:r>
    </w:p>
    <w:p>
      <w:pPr>
        <w:pStyle w:val="Normal"/>
        <w:shd w:fill="FFFFFF" w:val="clear"/>
        <w:ind w:firstLine="283"/>
        <w:jc w:val="both"/>
        <w:rPr/>
      </w:pPr>
      <w:r>
        <w:rPr>
          <w:b/>
          <w:bCs/>
        </w:rPr>
        <w:t>1.9.51.</w:t>
      </w:r>
      <w:r>
        <w:rPr/>
        <w:t xml:space="preserve"> Коэффициенты использования </w:t>
      </w:r>
      <w:r>
        <w:rPr>
          <w:i/>
          <w:iCs/>
        </w:rPr>
        <w:t>k</w:t>
      </w:r>
      <w:r>
        <w:rPr>
          <w:i/>
          <w:iCs/>
          <w:vertAlign w:val="subscript"/>
        </w:rPr>
        <w:t>K</w:t>
      </w:r>
      <w:r>
        <w:rPr/>
        <w:t xml:space="preserve"> </w:t>
      </w:r>
      <w:r>
        <w:rPr>
          <w:rFonts w:cs="Symbol" w:ascii="Symbol" w:hAnsi="Symbol"/>
        </w:rPr>
        <w:t></w:t>
      </w:r>
      <w:r>
        <w:rPr/>
        <w:t>-образных и V-образных гирлянд с одноцепными ветвями следует принимать равными 1,0.</w:t>
      </w:r>
    </w:p>
    <w:p>
      <w:pPr>
        <w:pStyle w:val="Normal"/>
        <w:shd w:fill="FFFFFF" w:val="clear"/>
        <w:ind w:firstLine="283"/>
        <w:jc w:val="both"/>
        <w:rPr/>
      </w:pPr>
      <w:r>
        <w:rPr>
          <w:b/>
          <w:bCs/>
        </w:rPr>
        <w:t>1.9.52.</w:t>
      </w:r>
      <w:r>
        <w:rPr/>
        <w:t xml:space="preserve"> Коэффициенты использования </w:t>
      </w:r>
      <w:r>
        <w:rPr>
          <w:i/>
          <w:iCs/>
        </w:rPr>
        <w:t>k</w:t>
      </w:r>
      <w:r>
        <w:rPr>
          <w:i/>
          <w:iCs/>
          <w:vertAlign w:val="subscript"/>
        </w:rPr>
        <w:t>K</w:t>
      </w:r>
      <w:r>
        <w:rPr/>
        <w:t xml:space="preserve"> составных конструкций с последовательно-параллельными ветвями, составленными из изоляторов одного типа (гирлянд типа </w:t>
      </w:r>
      <w:r>
        <w:rPr>
          <w:vertAlign w:val="subscript"/>
        </w:rPr>
        <w:drawing>
          <wp:inline distT="0" distB="0" distL="0" distR="0">
            <wp:extent cx="190500" cy="180975"/>
            <wp:effectExtent l="0" t="0" r="0" b="0"/>
            <wp:docPr id="2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 descr=""/>
                    <pic:cNvPicPr>
                      <a:picLocks noChangeAspect="1" noChangeArrowheads="1"/>
                    </pic:cNvPicPr>
                  </pic:nvPicPr>
                  <pic:blipFill>
                    <a:blip r:embed="rId31"/>
                    <a:srcRect l="-189" t="-199" r="-189" b="-199"/>
                    <a:stretch>
                      <a:fillRect/>
                    </a:stretch>
                  </pic:blipFill>
                  <pic:spPr bwMode="auto">
                    <a:xfrm>
                      <a:off x="0" y="0"/>
                      <a:ext cx="190500" cy="180975"/>
                    </a:xfrm>
                    <a:prstGeom prst="rect">
                      <a:avLst/>
                    </a:prstGeom>
                  </pic:spPr>
                </pic:pic>
              </a:graphicData>
            </a:graphic>
          </wp:inline>
        </w:drawing>
      </w:r>
      <w:r>
        <w:rPr/>
        <w:t xml:space="preserve"> или </w:t>
      </w:r>
      <w:r>
        <w:rPr>
          <w:vertAlign w:val="subscript"/>
        </w:rPr>
        <w:drawing>
          <wp:inline distT="0" distB="0" distL="0" distR="0">
            <wp:extent cx="171450" cy="161925"/>
            <wp:effectExtent l="0" t="0" r="0" b="0"/>
            <wp:docPr id="2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 descr=""/>
                    <pic:cNvPicPr>
                      <a:picLocks noChangeAspect="1" noChangeArrowheads="1"/>
                    </pic:cNvPicPr>
                  </pic:nvPicPr>
                  <pic:blipFill>
                    <a:blip r:embed="rId32"/>
                    <a:srcRect l="-210" t="-222" r="-210" b="-222"/>
                    <a:stretch>
                      <a:fillRect/>
                    </a:stretch>
                  </pic:blipFill>
                  <pic:spPr bwMode="auto">
                    <a:xfrm>
                      <a:off x="0" y="0"/>
                      <a:ext cx="171450" cy="161925"/>
                    </a:xfrm>
                    <a:prstGeom prst="rect">
                      <a:avLst/>
                    </a:prstGeom>
                  </pic:spPr>
                </pic:pic>
              </a:graphicData>
            </a:graphic>
          </wp:inline>
        </w:drawing>
      </w:r>
      <w:r>
        <w:rPr/>
        <w:t>, опорных колонок с различным числом параллельных ветвей по высоте, а также подстанционных аппаратов с растяжками), следует принимать равными 1,1.</w:t>
      </w:r>
    </w:p>
    <w:p>
      <w:pPr>
        <w:pStyle w:val="Normal"/>
        <w:shd w:fill="FFFFFF" w:val="clear"/>
        <w:ind w:firstLine="283"/>
        <w:jc w:val="both"/>
        <w:rPr/>
      </w:pPr>
      <w:r>
        <w:rPr>
          <w:b/>
          <w:bCs/>
        </w:rPr>
        <w:t>1.9.53.</w:t>
      </w:r>
      <w:r>
        <w:rPr/>
        <w:t xml:space="preserve"> Коэффициенты использования </w:t>
      </w:r>
      <w:r>
        <w:rPr>
          <w:i/>
          <w:iCs/>
        </w:rPr>
        <w:t>k</w:t>
      </w:r>
      <w:r>
        <w:rPr>
          <w:i/>
          <w:iCs/>
          <w:vertAlign w:val="subscript"/>
        </w:rPr>
        <w:t>И</w:t>
      </w:r>
      <w:r>
        <w:rPr/>
        <w:t xml:space="preserve"> одноцепных гирлянд и одиночных опорных колонок, составленных из разнотипных изоляторов с коэффициентами использования </w:t>
      </w:r>
      <w:r>
        <w:rPr>
          <w:i/>
          <w:iCs/>
        </w:rPr>
        <w:t>k</w:t>
      </w:r>
      <w:r>
        <w:rPr>
          <w:i/>
          <w:iCs/>
          <w:vertAlign w:val="subscript"/>
        </w:rPr>
        <w:t>И1</w:t>
      </w:r>
      <w:r>
        <w:rPr>
          <w:i/>
          <w:iCs/>
        </w:rPr>
        <w:t xml:space="preserve"> </w:t>
      </w:r>
      <w:r>
        <w:rPr/>
        <w:t xml:space="preserve">и </w:t>
      </w:r>
      <w:r>
        <w:rPr>
          <w:i/>
          <w:iCs/>
        </w:rPr>
        <w:t>k</w:t>
      </w:r>
      <w:r>
        <w:rPr>
          <w:i/>
          <w:iCs/>
          <w:vertAlign w:val="subscript"/>
        </w:rPr>
        <w:t>И2</w:t>
      </w:r>
      <w:r>
        <w:rPr/>
        <w:t>, должны определяться по формуле</w:t>
      </w:r>
    </w:p>
    <w:p>
      <w:pPr>
        <w:pStyle w:val="Normal"/>
        <w:shd w:fill="FFFFFF" w:val="clear"/>
        <w:spacing w:before="120" w:after="120"/>
        <w:jc w:val="center"/>
        <w:rPr/>
      </w:pPr>
      <w:r>
        <w:rPr>
          <w:vertAlign w:val="subscript"/>
        </w:rPr>
        <w:drawing>
          <wp:inline distT="0" distB="0" distL="0" distR="0">
            <wp:extent cx="933450" cy="628650"/>
            <wp:effectExtent l="0" t="0" r="0" b="0"/>
            <wp:docPr id="2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 descr=""/>
                    <pic:cNvPicPr>
                      <a:picLocks noChangeAspect="1" noChangeArrowheads="1"/>
                    </pic:cNvPicPr>
                  </pic:nvPicPr>
                  <pic:blipFill>
                    <a:blip r:embed="rId33"/>
                    <a:srcRect l="-38" t="-57" r="-38" b="-57"/>
                    <a:stretch>
                      <a:fillRect/>
                    </a:stretch>
                  </pic:blipFill>
                  <pic:spPr bwMode="auto">
                    <a:xfrm>
                      <a:off x="0" y="0"/>
                      <a:ext cx="933450" cy="628650"/>
                    </a:xfrm>
                    <a:prstGeom prst="rect">
                      <a:avLst/>
                    </a:prstGeom>
                  </pic:spPr>
                </pic:pic>
              </a:graphicData>
            </a:graphic>
          </wp:inline>
        </w:drawing>
      </w:r>
      <w:r>
        <w:rPr/>
        <w:t>,</w:t>
      </w:r>
    </w:p>
    <w:p>
      <w:pPr>
        <w:pStyle w:val="Normal"/>
        <w:shd w:fill="FFFFFF" w:val="clear"/>
        <w:ind w:left="1300" w:hanging="1300"/>
        <w:jc w:val="both"/>
        <w:rPr/>
      </w:pPr>
      <w:r>
        <w:rPr/>
        <w:t xml:space="preserve">где </w:t>
      </w:r>
      <w:r>
        <w:rPr>
          <w:i/>
          <w:iCs/>
        </w:rPr>
        <w:t>L</w:t>
      </w:r>
      <w:r>
        <w:rPr>
          <w:i/>
          <w:iCs/>
          <w:vertAlign w:val="subscript"/>
        </w:rPr>
        <w:t>1</w:t>
      </w:r>
      <w:r>
        <w:rPr/>
        <w:t xml:space="preserve"> и </w:t>
      </w:r>
      <w:r>
        <w:rPr>
          <w:i/>
          <w:iCs/>
        </w:rPr>
        <w:t>L</w:t>
      </w:r>
      <w:r>
        <w:rPr>
          <w:i/>
          <w:iCs/>
          <w:vertAlign w:val="subscript"/>
        </w:rPr>
        <w:t>2</w:t>
      </w:r>
      <w:r>
        <w:rPr>
          <w:i/>
          <w:iCs/>
        </w:rPr>
        <w:t xml:space="preserve"> - </w:t>
      </w:r>
      <w:r>
        <w:rPr/>
        <w:t xml:space="preserve">длина пути утечки участков конструкции из изоляторов соответствующего типа. Аналогичным образом должна определяться величина </w:t>
      </w:r>
      <w:r>
        <w:rPr>
          <w:i/>
          <w:iCs/>
        </w:rPr>
        <w:t>k</w:t>
      </w:r>
      <w:r>
        <w:rPr>
          <w:i/>
          <w:iCs/>
          <w:vertAlign w:val="subscript"/>
        </w:rPr>
        <w:t>И</w:t>
      </w:r>
      <w:r>
        <w:rPr/>
        <w:t xml:space="preserve"> для конструкций указанного вида при числе разных типов изоляторов, большем двух.</w:t>
      </w:r>
    </w:p>
    <w:p>
      <w:pPr>
        <w:pStyle w:val="Normal"/>
        <w:shd w:fill="FFFFFF" w:val="clear"/>
        <w:spacing w:before="120" w:after="120"/>
        <w:jc w:val="right"/>
        <w:rPr>
          <w:i/>
          <w:i/>
          <w:iCs/>
        </w:rPr>
      </w:pPr>
      <w:r>
        <w:rPr>
          <w:i/>
          <w:iCs/>
        </w:rPr>
        <w:t>Таблица 1.9.20</w:t>
      </w:r>
    </w:p>
    <w:p>
      <w:pPr>
        <w:pStyle w:val="Normal"/>
        <w:shd w:fill="FFFFFF" w:val="clear"/>
        <w:spacing w:before="0" w:after="120"/>
        <w:jc w:val="center"/>
        <w:rPr/>
      </w:pPr>
      <w:r>
        <w:rPr>
          <w:b/>
          <w:bCs/>
        </w:rPr>
        <w:t xml:space="preserve">Коэффициенты использования </w:t>
      </w:r>
      <w:r>
        <w:rPr>
          <w:i/>
          <w:iCs/>
        </w:rPr>
        <w:t>k</w:t>
      </w:r>
      <w:r>
        <w:rPr>
          <w:i/>
          <w:iCs/>
          <w:vertAlign w:val="subscript"/>
        </w:rPr>
        <w:t>И</w:t>
      </w:r>
      <w:r>
        <w:rPr>
          <w:b/>
          <w:bCs/>
        </w:rPr>
        <w:t xml:space="preserve"> подвесных тарельчатых изоляторов со слабо развитой нижней поверхностью изоляционной детали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75"/>
        <w:gridCol w:w="4680"/>
      </w:tblGrid>
      <w:tr>
        <w:trPr>
          <w:tblHeader w:val="true"/>
        </w:trPr>
        <w:tc>
          <w:tcPr>
            <w:tcW w:w="4675"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i/>
                <w:iCs/>
              </w:rPr>
              <w:t>L</w:t>
            </w:r>
            <w:r>
              <w:rPr>
                <w:i/>
                <w:iCs/>
                <w:vertAlign w:val="subscript"/>
              </w:rPr>
              <w:t>И</w:t>
            </w:r>
            <w:r>
              <w:rPr/>
              <w:t>/</w:t>
            </w:r>
            <w:r>
              <w:rPr>
                <w:i/>
                <w:iCs/>
              </w:rPr>
              <w:t>D</w:t>
            </w:r>
          </w:p>
        </w:tc>
        <w:tc>
          <w:tcPr>
            <w:tcW w:w="468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i/>
                <w:iCs/>
              </w:rPr>
              <w:t>k</w:t>
            </w:r>
            <w:r>
              <w:rPr>
                <w:i/>
                <w:iCs/>
                <w:vertAlign w:val="subscript"/>
              </w:rPr>
              <w:t>И</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0,90 до 1,05 включительно</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1,00</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1,05 до 1,10 включительно</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1,05</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1,10 до 1,20 включительно</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1,10</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1,20 до 1,30 включительно</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1,15</w:t>
            </w:r>
          </w:p>
        </w:tc>
      </w:tr>
      <w:tr>
        <w:trPr/>
        <w:tc>
          <w:tcPr>
            <w:tcW w:w="467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От 1,30 до 1,40 включительно</w:t>
            </w:r>
          </w:p>
        </w:tc>
        <w:tc>
          <w:tcPr>
            <w:tcW w:w="468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1,20</w:t>
            </w:r>
          </w:p>
        </w:tc>
      </w:tr>
    </w:tbl>
    <w:p>
      <w:pPr>
        <w:pStyle w:val="Normal"/>
        <w:shd w:fill="FFFFFF" w:val="clear"/>
        <w:spacing w:before="120" w:after="120"/>
        <w:jc w:val="right"/>
        <w:rPr>
          <w:i/>
          <w:i/>
          <w:iCs/>
        </w:rPr>
      </w:pPr>
      <w:r>
        <w:rPr>
          <w:i/>
          <w:iCs/>
        </w:rPr>
        <w:t>Таблица 1.9.21</w:t>
      </w:r>
    </w:p>
    <w:p>
      <w:pPr>
        <w:pStyle w:val="Normal"/>
        <w:shd w:fill="FFFFFF" w:val="clear"/>
        <w:spacing w:before="0" w:after="120"/>
        <w:jc w:val="center"/>
        <w:rPr/>
      </w:pPr>
      <w:r>
        <w:rPr>
          <w:b/>
          <w:bCs/>
        </w:rPr>
        <w:t xml:space="preserve">Коэффициенты использования </w:t>
      </w:r>
      <w:r>
        <w:rPr>
          <w:b/>
          <w:bCs/>
          <w:i/>
          <w:iCs/>
        </w:rPr>
        <w:t>k</w:t>
      </w:r>
      <w:r>
        <w:rPr>
          <w:b/>
          <w:bCs/>
          <w:i/>
          <w:iCs/>
          <w:vertAlign w:val="subscript"/>
        </w:rPr>
        <w:t>И</w:t>
      </w:r>
      <w:r>
        <w:rPr>
          <w:b/>
          <w:bCs/>
          <w:i/>
          <w:iCs/>
        </w:rPr>
        <w:t xml:space="preserve"> </w:t>
      </w:r>
      <w:r>
        <w:rPr>
          <w:b/>
          <w:bCs/>
        </w:rPr>
        <w:t>подвесных тарельчатых изоляторов специального исполнения</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7286"/>
        <w:gridCol w:w="2069"/>
      </w:tblGrid>
      <w:tr>
        <w:trPr>
          <w:tblHeader w:val="true"/>
        </w:trPr>
        <w:tc>
          <w:tcPr>
            <w:tcW w:w="7286"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Конфигурация изолятора</w:t>
            </w:r>
          </w:p>
        </w:tc>
        <w:tc>
          <w:tcPr>
            <w:tcW w:w="206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i/>
                <w:iCs/>
              </w:rPr>
              <w:t>k</w:t>
            </w:r>
            <w:r>
              <w:rPr>
                <w:i/>
                <w:iCs/>
                <w:vertAlign w:val="subscript"/>
              </w:rPr>
              <w:t>И</w:t>
            </w:r>
          </w:p>
        </w:tc>
      </w:tr>
      <w:tr>
        <w:trPr/>
        <w:tc>
          <w:tcPr>
            <w:tcW w:w="72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Двукрылая</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1,20</w:t>
            </w:r>
          </w:p>
        </w:tc>
      </w:tr>
      <w:tr>
        <w:trPr/>
        <w:tc>
          <w:tcPr>
            <w:tcW w:w="72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С увеличенным вылетом ребра на нижней поверхности</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1,25</w:t>
            </w:r>
          </w:p>
        </w:tc>
      </w:tr>
      <w:tr>
        <w:trPr/>
        <w:tc>
          <w:tcPr>
            <w:tcW w:w="72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Аэродинамического профиля (конусная, полусферическая)</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1,0</w:t>
            </w:r>
          </w:p>
        </w:tc>
      </w:tr>
      <w:tr>
        <w:trPr/>
        <w:tc>
          <w:tcPr>
            <w:tcW w:w="7286"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Колоколообразная с гладкой внутренней и ребристой наружной поверхностями</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1,15</w:t>
            </w:r>
          </w:p>
        </w:tc>
      </w:tr>
    </w:tbl>
    <w:p>
      <w:pPr>
        <w:pStyle w:val="Normal"/>
        <w:shd w:fill="FFFFFF" w:val="clear"/>
        <w:spacing w:before="120" w:after="120"/>
        <w:jc w:val="right"/>
        <w:rPr>
          <w:i/>
          <w:i/>
          <w:iCs/>
        </w:rPr>
      </w:pPr>
      <w:r>
        <w:rPr>
          <w:i/>
          <w:iCs/>
        </w:rPr>
        <w:t>Таблица 1.9.22</w:t>
      </w:r>
    </w:p>
    <w:p>
      <w:pPr>
        <w:pStyle w:val="Normal"/>
        <w:shd w:fill="FFFFFF" w:val="clear"/>
        <w:spacing w:before="0" w:after="120"/>
        <w:jc w:val="center"/>
        <w:rPr>
          <w:b/>
          <w:b/>
          <w:bCs/>
        </w:rPr>
      </w:pPr>
      <w:r>
        <w:rPr>
          <w:b/>
          <w:bCs/>
        </w:rPr>
        <w:t>Коэффициенты использования одиночных изоляционных колонок, опорных и подвесных стержневых изоляторов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120"/>
        <w:gridCol w:w="1404"/>
        <w:gridCol w:w="1363"/>
        <w:gridCol w:w="1363"/>
        <w:gridCol w:w="1348"/>
        <w:gridCol w:w="1363"/>
        <w:gridCol w:w="1394"/>
      </w:tblGrid>
      <w:tr>
        <w:trPr/>
        <w:tc>
          <w:tcPr>
            <w:tcW w:w="1120"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i/>
                <w:iCs/>
              </w:rPr>
              <w:t>L</w:t>
            </w:r>
            <w:r>
              <w:rPr>
                <w:i/>
                <w:iCs/>
                <w:vertAlign w:val="subscript"/>
              </w:rPr>
              <w:t>И</w:t>
            </w:r>
            <w:r>
              <w:rPr/>
              <w:t>/</w:t>
            </w:r>
            <w:r>
              <w:rPr>
                <w:i/>
                <w:iCs/>
              </w:rPr>
              <w:t>h</w:t>
            </w:r>
          </w:p>
        </w:tc>
        <w:tc>
          <w:tcPr>
            <w:tcW w:w="1404"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менее 2,5</w:t>
            </w:r>
          </w:p>
        </w:tc>
        <w:tc>
          <w:tcPr>
            <w:tcW w:w="136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2,5-3,00</w:t>
            </w:r>
          </w:p>
        </w:tc>
        <w:tc>
          <w:tcPr>
            <w:tcW w:w="136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3,01-3,30</w:t>
            </w:r>
          </w:p>
        </w:tc>
        <w:tc>
          <w:tcPr>
            <w:tcW w:w="1348"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3,31-3,50</w:t>
            </w:r>
          </w:p>
        </w:tc>
        <w:tc>
          <w:tcPr>
            <w:tcW w:w="136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3,51-3,71</w:t>
            </w:r>
          </w:p>
        </w:tc>
        <w:tc>
          <w:tcPr>
            <w:tcW w:w="139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3,71-4,00</w:t>
            </w:r>
          </w:p>
        </w:tc>
      </w:tr>
      <w:tr>
        <w:trPr/>
        <w:tc>
          <w:tcPr>
            <w:tcW w:w="1120" w:type="dxa"/>
            <w:tcBorders>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i/>
                <w:iCs/>
              </w:rPr>
              <w:t>K</w:t>
            </w:r>
            <w:r>
              <w:rPr>
                <w:i/>
                <w:iCs/>
                <w:vertAlign w:val="subscript"/>
              </w:rPr>
              <w:t>к</w:t>
            </w:r>
          </w:p>
        </w:tc>
        <w:tc>
          <w:tcPr>
            <w:tcW w:w="1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1,0</w:t>
            </w:r>
          </w:p>
        </w:tc>
        <w:tc>
          <w:tcPr>
            <w:tcW w:w="1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1,10</w:t>
            </w:r>
          </w:p>
        </w:tc>
        <w:tc>
          <w:tcPr>
            <w:tcW w:w="1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1,15</w:t>
            </w:r>
          </w:p>
        </w:tc>
        <w:tc>
          <w:tcPr>
            <w:tcW w:w="13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1,20</w:t>
            </w:r>
          </w:p>
        </w:tc>
        <w:tc>
          <w:tcPr>
            <w:tcW w:w="136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1,25</w:t>
            </w:r>
          </w:p>
        </w:tc>
        <w:tc>
          <w:tcPr>
            <w:tcW w:w="139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1,30</w:t>
            </w:r>
          </w:p>
        </w:tc>
      </w:tr>
    </w:tbl>
    <w:p>
      <w:pPr>
        <w:pStyle w:val="Normal"/>
        <w:shd w:fill="FFFFFF" w:val="clear"/>
        <w:spacing w:before="120" w:after="120"/>
        <w:jc w:val="right"/>
        <w:rPr>
          <w:i/>
          <w:i/>
          <w:iCs/>
        </w:rPr>
      </w:pPr>
      <w:r>
        <w:rPr>
          <w:i/>
          <w:iCs/>
        </w:rPr>
        <w:t>Таблица 1.9.23</w:t>
      </w:r>
    </w:p>
    <w:p>
      <w:pPr>
        <w:pStyle w:val="Normal"/>
        <w:shd w:fill="FFFFFF" w:val="clear"/>
        <w:spacing w:before="0" w:after="120"/>
        <w:jc w:val="center"/>
        <w:rPr/>
      </w:pPr>
      <w:r>
        <w:rPr>
          <w:b/>
          <w:bCs/>
        </w:rPr>
        <w:t xml:space="preserve">Коэффициенты использования </w:t>
      </w:r>
      <w:r>
        <w:rPr>
          <w:i/>
          <w:iCs/>
        </w:rPr>
        <w:t>k</w:t>
      </w:r>
      <w:r>
        <w:rPr>
          <w:i/>
          <w:iCs/>
          <w:vertAlign w:val="subscript"/>
        </w:rPr>
        <w:t>к</w:t>
      </w:r>
      <w:r>
        <w:rPr>
          <w:b/>
          <w:bCs/>
        </w:rPr>
        <w:t xml:space="preserve"> составных конструкций с электрически параллельными ветвями (без перемычек)</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809"/>
        <w:gridCol w:w="1499"/>
        <w:gridCol w:w="1499"/>
        <w:gridCol w:w="1548"/>
      </w:tblGrid>
      <w:tr>
        <w:trPr/>
        <w:tc>
          <w:tcPr>
            <w:tcW w:w="4809" w:type="dxa"/>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jc w:val="center"/>
              <w:rPr/>
            </w:pPr>
            <w:r>
              <w:rPr/>
              <w:t>Количество параллельных ветвей</w:t>
            </w:r>
          </w:p>
        </w:tc>
        <w:tc>
          <w:tcPr>
            <w:tcW w:w="1499"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w:t>
            </w:r>
          </w:p>
        </w:tc>
        <w:tc>
          <w:tcPr>
            <w:tcW w:w="1499"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2</w:t>
            </w:r>
          </w:p>
        </w:tc>
        <w:tc>
          <w:tcPr>
            <w:tcW w:w="154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3-5</w:t>
            </w:r>
          </w:p>
        </w:tc>
      </w:tr>
      <w:tr>
        <w:trPr/>
        <w:tc>
          <w:tcPr>
            <w:tcW w:w="4809" w:type="dxa"/>
            <w:tcBorders>
              <w:left w:val="single" w:sz="8" w:space="0" w:color="000000"/>
              <w:bottom w:val="single" w:sz="8" w:space="0" w:color="000000"/>
              <w:insideH w:val="single" w:sz="8" w:space="0" w:color="000000"/>
            </w:tcBorders>
            <w:shd w:fill="FFFFFF" w:val="clear"/>
          </w:tcPr>
          <w:p>
            <w:pPr>
              <w:pStyle w:val="Normal"/>
              <w:shd w:fill="FFFFFF" w:val="clear"/>
              <w:jc w:val="center"/>
              <w:rPr/>
            </w:pPr>
            <w:r>
              <w:rPr>
                <w:i/>
                <w:iCs/>
              </w:rPr>
              <w:t>K</w:t>
            </w:r>
            <w:r>
              <w:rPr>
                <w:i/>
                <w:iCs/>
                <w:vertAlign w:val="subscript"/>
              </w:rPr>
              <w:t>к</w:t>
            </w:r>
          </w:p>
        </w:tc>
        <w:tc>
          <w:tcPr>
            <w:tcW w:w="14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1,0</w:t>
            </w:r>
          </w:p>
        </w:tc>
        <w:tc>
          <w:tcPr>
            <w:tcW w:w="14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jc w:val="center"/>
              <w:rPr/>
            </w:pPr>
            <w:r>
              <w:rPr/>
              <w:t>1,05</w:t>
            </w:r>
          </w:p>
        </w:tc>
        <w:tc>
          <w:tcPr>
            <w:tcW w:w="15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center"/>
              <w:rPr/>
            </w:pPr>
            <w:r>
              <w:rPr/>
              <w:t>1,10</w:t>
            </w:r>
          </w:p>
        </w:tc>
      </w:tr>
    </w:tbl>
    <w:p>
      <w:pPr>
        <w:pStyle w:val="Normal"/>
        <w:shd w:fill="FFFFFF" w:val="clear"/>
        <w:spacing w:before="120" w:after="0"/>
        <w:ind w:firstLine="283"/>
        <w:jc w:val="both"/>
        <w:rPr/>
      </w:pPr>
      <w:r>
        <w:rPr>
          <w:b/>
          <w:bCs/>
        </w:rPr>
        <w:t xml:space="preserve">1.9.54. </w:t>
      </w:r>
      <w:r>
        <w:rPr/>
        <w:t>Конфигурация подвесных изоляторов для районов с различными видами загрязнений должна выбираться по табл. 1.9.24.</w:t>
      </w:r>
    </w:p>
    <w:p>
      <w:pPr>
        <w:pStyle w:val="Normal"/>
        <w:shd w:fill="FFFFFF" w:val="clear"/>
        <w:spacing w:before="120" w:after="120"/>
        <w:jc w:val="right"/>
        <w:rPr>
          <w:i/>
          <w:i/>
          <w:iCs/>
        </w:rPr>
      </w:pPr>
      <w:r>
        <w:rPr>
          <w:i/>
          <w:iCs/>
        </w:rPr>
        <w:t>Таблица 1.9.24</w:t>
      </w:r>
    </w:p>
    <w:p>
      <w:pPr>
        <w:pStyle w:val="Normal"/>
        <w:shd w:fill="FFFFFF" w:val="clear"/>
        <w:spacing w:before="0" w:after="120"/>
        <w:jc w:val="center"/>
        <w:rPr>
          <w:b/>
          <w:b/>
          <w:bCs/>
        </w:rPr>
      </w:pPr>
      <w:r>
        <w:rPr>
          <w:b/>
          <w:bCs/>
        </w:rPr>
        <w:t>Рекомендуемые области применения подвесных изоляторов различной конфигурации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365"/>
        <w:gridCol w:w="4990"/>
      </w:tblGrid>
      <w:tr>
        <w:trPr>
          <w:tblHeader w:val="true"/>
        </w:trPr>
        <w:tc>
          <w:tcPr>
            <w:tcW w:w="4365"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jc w:val="center"/>
              <w:rPr/>
            </w:pPr>
            <w:r>
              <w:rPr/>
              <w:t>Конфигурация изолятора</w:t>
            </w:r>
          </w:p>
        </w:tc>
        <w:tc>
          <w:tcPr>
            <w:tcW w:w="499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jc w:val="center"/>
              <w:rPr/>
            </w:pPr>
            <w:r>
              <w:rPr/>
              <w:t>Характеристика районов загрязнения</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Тарельчатый с ребристой нижней поверхностью (</w:t>
            </w:r>
            <w:r>
              <w:rPr>
                <w:i/>
                <w:iCs/>
              </w:rPr>
              <w:t>L</w:t>
            </w:r>
            <w:r>
              <w:rPr>
                <w:i/>
                <w:iCs/>
                <w:vertAlign w:val="subscript"/>
              </w:rPr>
              <w:t>И</w:t>
            </w:r>
            <w:r>
              <w:rPr/>
              <w:t>/</w:t>
            </w:r>
            <w:r>
              <w:rPr>
                <w:i/>
                <w:iCs/>
              </w:rPr>
              <w:t>D</w:t>
            </w:r>
            <w:r>
              <w:rPr/>
              <w:t xml:space="preserve"> </w:t>
            </w:r>
            <w:r>
              <w:rPr>
                <w:rFonts w:cs="Symbol" w:ascii="Symbol" w:hAnsi="Symbol"/>
              </w:rPr>
              <w:t></w:t>
            </w:r>
            <w:r>
              <w:rPr/>
              <w:t xml:space="preserve"> 1,4)</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1-2-й СЗ при любых видах загрязнения</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Тарельчатый гладкий полусферический, тарельчатый гладкий конусный</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1-2-й СЗ при любых видах загрязнения, районы с засоленными почвами и с промышленными загрязнениями не выше 3-й СЗ</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Тарельчатый фарфоровый</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Стержневой фарфоровый нормального исполнения (</w:t>
            </w:r>
            <w:r>
              <w:rPr>
                <w:i/>
                <w:iCs/>
              </w:rPr>
              <w:t>L</w:t>
            </w:r>
            <w:r>
              <w:rPr>
                <w:i/>
                <w:iCs/>
                <w:vertAlign w:val="subscript"/>
              </w:rPr>
              <w:t>И</w:t>
            </w:r>
            <w:r>
              <w:rPr/>
              <w:t>/</w:t>
            </w:r>
            <w:r>
              <w:rPr>
                <w:i/>
                <w:iCs/>
              </w:rPr>
              <w:t>h</w:t>
            </w:r>
            <w:r>
              <w:rPr/>
              <w:t xml:space="preserve"> </w:t>
            </w:r>
            <w:r>
              <w:rPr>
                <w:rFonts w:cs="Symbol" w:ascii="Symbol" w:hAnsi="Symbol"/>
              </w:rPr>
              <w:t></w:t>
            </w:r>
            <w:r>
              <w:rPr/>
              <w:t xml:space="preserve"> 2,5)</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1-й СЗ, в том числе с труднодоступными трассами ВЛ</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Тарельчатый двукрылый</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засоленными почвами и с промышленными загрязнениями (2-4-я СЗ)</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 xml:space="preserve">Тарельчатый с сильно выступающим ребром на нижней поверхности </w:t>
            </w:r>
            <w:r>
              <w:rPr>
                <w:i/>
                <w:iCs/>
              </w:rPr>
              <w:t>(L</w:t>
            </w:r>
            <w:r>
              <w:rPr>
                <w:i/>
                <w:iCs/>
                <w:vertAlign w:val="subscript"/>
              </w:rPr>
              <w:t>И</w:t>
            </w:r>
            <w:r>
              <w:rPr/>
              <w:t>/</w:t>
            </w:r>
            <w:r>
              <w:rPr>
                <w:i/>
                <w:iCs/>
              </w:rPr>
              <w:t>D</w:t>
            </w:r>
            <w:r>
              <w:rPr/>
              <w:t xml:space="preserve"> &gt; 1,4)</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Побережья морей и соленых озер (2-4-я</w:t>
            </w:r>
            <w:r>
              <w:rPr>
                <w:i/>
                <w:iCs/>
              </w:rPr>
              <w:t xml:space="preserve"> </w:t>
            </w:r>
            <w:r>
              <w:rPr/>
              <w:t>СЗ)</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Стержневой фарфоровый специального исполнения (</w:t>
            </w:r>
            <w:r>
              <w:rPr>
                <w:i/>
                <w:iCs/>
              </w:rPr>
              <w:t>L</w:t>
            </w:r>
            <w:r>
              <w:rPr>
                <w:i/>
                <w:iCs/>
                <w:vertAlign w:val="subscript"/>
              </w:rPr>
              <w:t>И</w:t>
            </w:r>
            <w:r>
              <w:rPr>
                <w:i/>
                <w:iCs/>
              </w:rPr>
              <w:t>/h</w:t>
            </w:r>
            <w:r>
              <w:rPr/>
              <w:t xml:space="preserve"> &gt; 2,5)</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2-4-й СЗ при любых видах загрязнения; районы с труднодоступными трассами ВЛ (2-3-я СЗ)</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Стержневой полимерный нормального исполнения</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1-2-й СЗ при любых видах загрязнения, в том числе районы с труднодоступными трассами ВЛ</w:t>
            </w:r>
          </w:p>
        </w:tc>
      </w:tr>
      <w:tr>
        <w:trPr/>
        <w:tc>
          <w:tcPr>
            <w:tcW w:w="4365" w:type="dxa"/>
            <w:tcBorders>
              <w:left w:val="single" w:sz="8" w:space="0" w:color="000000"/>
              <w:bottom w:val="single" w:sz="8" w:space="0" w:color="000000"/>
              <w:insideH w:val="single" w:sz="8" w:space="0" w:color="000000"/>
            </w:tcBorders>
            <w:shd w:fill="FFFFFF" w:val="clear"/>
          </w:tcPr>
          <w:p>
            <w:pPr>
              <w:pStyle w:val="Normal"/>
              <w:shd w:fill="FFFFFF" w:val="clear"/>
              <w:jc w:val="both"/>
              <w:rPr/>
            </w:pPr>
            <w:r>
              <w:rPr/>
              <w:t>Стержневой полимерный специального исполнения</w:t>
            </w:r>
          </w:p>
        </w:tc>
        <w:tc>
          <w:tcPr>
            <w:tcW w:w="49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jc w:val="both"/>
              <w:rPr/>
            </w:pPr>
            <w:r>
              <w:rPr/>
              <w:t>Районы с 2-3-й СЗ при любых видах загрязнения, в том числе районы с труднодоступными трассами ВЛ</w:t>
            </w:r>
          </w:p>
        </w:tc>
      </w:tr>
    </w:tbl>
    <w:p>
      <w:pPr>
        <w:pStyle w:val="Normal"/>
        <w:spacing w:before="120" w:after="120"/>
        <w:ind w:firstLine="284"/>
        <w:jc w:val="both"/>
        <w:rPr/>
      </w:pPr>
      <w:r>
        <w:rPr>
          <w:i/>
          <w:iCs/>
        </w:rPr>
        <w:t xml:space="preserve">Примечание. D - </w:t>
      </w:r>
      <w:r>
        <w:rPr/>
        <w:t xml:space="preserve">диаметр тарельчатого изолятора, см; </w:t>
      </w:r>
      <w:r>
        <w:rPr>
          <w:i/>
          <w:iCs/>
        </w:rPr>
        <w:t xml:space="preserve">h </w:t>
      </w:r>
      <w:r>
        <w:rPr/>
        <w:t xml:space="preserve">- высота изоляционной части стержневого изолятора, см; </w:t>
      </w:r>
      <w:r>
        <w:rPr>
          <w:i/>
          <w:iCs/>
        </w:rPr>
        <w:t>L</w:t>
      </w:r>
      <w:r>
        <w:rPr>
          <w:i/>
          <w:iCs/>
          <w:vertAlign w:val="subscript"/>
        </w:rPr>
        <w:t>И</w:t>
      </w:r>
      <w:r>
        <w:rPr/>
        <w:t xml:space="preserve"> - длина пути утечки, см.</w:t>
      </w:r>
    </w:p>
    <w:p>
      <w:pPr>
        <w:pStyle w:val="Heading1"/>
        <w:rPr/>
      </w:pPr>
      <w:bookmarkStart w:id="10" w:name="_%D0%A0%D0%90%D0%97%D0%94%D0%95%D0%9B_2."/>
      <w:bookmarkEnd w:id="10"/>
      <w:r>
        <w:rPr/>
        <w:t>РАЗДЕЛ 2. КАНАЛИЗАЦИЯ ЭЛЕКТРОЭНЕРГИИ</w:t>
      </w:r>
    </w:p>
    <w:p>
      <w:pPr>
        <w:pStyle w:val="Heading2"/>
        <w:rPr/>
      </w:pPr>
      <w:bookmarkStart w:id="11" w:name="_%D0%93%D0%9B%D0%90%D0%92%D0%90_2.4_%D0%"/>
      <w:bookmarkEnd w:id="11"/>
      <w:r>
        <w:rPr/>
        <w:t>ГЛАВА 2.4 ВОЗДУШНЫЕ ЛИНИИ ЭЛЕКТРОПЕРЕДАЧИ НАПРЯЖЕНИЕМ ДО 1 кВ</w:t>
      </w:r>
    </w:p>
    <w:p>
      <w:pPr>
        <w:pStyle w:val="Normal"/>
        <w:jc w:val="right"/>
        <w:rPr/>
      </w:pPr>
      <w:r>
        <w:rPr/>
        <w:t>УТВЕРЖДЕНО</w:t>
      </w:r>
    </w:p>
    <w:p>
      <w:pPr>
        <w:pStyle w:val="Normal"/>
        <w:jc w:val="right"/>
        <w:rPr/>
      </w:pPr>
      <w:r>
        <w:rPr/>
        <w:t>приказом Минэнерго России</w:t>
      </w:r>
    </w:p>
    <w:p>
      <w:pPr>
        <w:pStyle w:val="Normal"/>
        <w:jc w:val="right"/>
        <w:rPr/>
      </w:pPr>
      <w:r>
        <w:rPr/>
        <w:t>От 20 мая 2003 г. № 187</w:t>
      </w:r>
    </w:p>
    <w:p>
      <w:pPr>
        <w:pStyle w:val="Normal"/>
        <w:spacing w:before="120" w:after="120"/>
        <w:jc w:val="center"/>
        <w:rPr>
          <w:b/>
          <w:b/>
          <w:bCs/>
          <w:i/>
          <w:i/>
          <w:iCs/>
        </w:rPr>
      </w:pPr>
      <w:r>
        <w:rPr>
          <w:b/>
          <w:bCs/>
          <w:i/>
          <w:iCs/>
        </w:rPr>
        <w:t>Вводится в действие с 1 октября 2003 г.</w:t>
      </w:r>
    </w:p>
    <w:p>
      <w:pPr>
        <w:pStyle w:val="Heading3"/>
        <w:rPr/>
      </w:pPr>
      <w:r>
        <w:rPr/>
        <w:t>ОБЛАСТЬ ПРИМЕНЕНИЯ. ОПРЕДЕЛЕНИЯ</w:t>
      </w:r>
    </w:p>
    <w:p>
      <w:pPr>
        <w:pStyle w:val="Normal"/>
        <w:ind w:firstLine="284"/>
        <w:jc w:val="both"/>
        <w:rPr/>
      </w:pPr>
      <w:r>
        <w:rPr/>
        <w:t>2.4.1. Настоящая глава Правил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p>
      <w:pPr>
        <w:pStyle w:val="Normal"/>
        <w:ind w:firstLine="284"/>
        <w:jc w:val="both"/>
        <w:rPr/>
      </w:pPr>
      <w:r>
        <w:rPr/>
        <w:t>Дополнительные требования к ВЛ до 1 кВ приведены в гл. 2.5, 6.3 и 7.7.</w:t>
      </w:r>
    </w:p>
    <w:p>
      <w:pPr>
        <w:pStyle w:val="Normal"/>
        <w:ind w:firstLine="284"/>
        <w:jc w:val="both"/>
        <w:rPr/>
      </w:pPr>
      <w:r>
        <w:rPr/>
        <w:t>Кабельные вставки в линию и кабельные ответвления от линии должны выполняться в соответствии с требованиями гл. 2.3.</w:t>
      </w:r>
    </w:p>
    <w:p>
      <w:pPr>
        <w:pStyle w:val="Normal"/>
        <w:ind w:firstLine="284"/>
        <w:jc w:val="both"/>
        <w:rPr/>
      </w:pPr>
      <w:r>
        <w:rPr/>
        <w:t>2.4.2. 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p>
      <w:pPr>
        <w:pStyle w:val="Normal"/>
        <w:ind w:firstLine="284"/>
        <w:jc w:val="both"/>
        <w:rPr/>
      </w:pPr>
      <w:r>
        <w:rPr/>
        <w:t>Воздушная линия электропередачи напряжением до 1 кВ с применением самонесущих изолированных проводов (СИП) обозначается ВЛИ.</w:t>
      </w:r>
    </w:p>
    <w:p>
      <w:pPr>
        <w:pStyle w:val="Normal"/>
        <w:ind w:firstLine="284"/>
        <w:jc w:val="both"/>
        <w:rPr/>
      </w:pPr>
      <w:r>
        <w:rPr/>
        <w:t>Самонесущий изолированный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pPr>
        <w:pStyle w:val="Normal"/>
        <w:ind w:firstLine="284"/>
        <w:jc w:val="both"/>
        <w:rPr/>
      </w:pPr>
      <w:r>
        <w:rPr/>
        <w:t>2.4.3. Магистраль ВЛ - участок линии от питающей трансформаторной подстанции до концевой опоры.</w:t>
      </w:r>
    </w:p>
    <w:p>
      <w:pPr>
        <w:pStyle w:val="Normal"/>
        <w:ind w:firstLine="284"/>
        <w:jc w:val="both"/>
        <w:rPr/>
      </w:pPr>
      <w:r>
        <w:rPr/>
        <w:t>К магистрали ВЛ могут быть присоединены линейные ответвления или ответвления к вводу.</w:t>
      </w:r>
    </w:p>
    <w:p>
      <w:pPr>
        <w:pStyle w:val="Normal"/>
        <w:ind w:firstLine="284"/>
        <w:jc w:val="both"/>
        <w:rPr/>
      </w:pPr>
      <w:r>
        <w:rPr/>
        <w:t>Линейное ответвление от ВЛ - участок линии, присоединенной к магистрали ВЛ, имеющий более двух пролетов.</w:t>
      </w:r>
    </w:p>
    <w:p>
      <w:pPr>
        <w:pStyle w:val="Normal"/>
        <w:ind w:firstLine="284"/>
        <w:jc w:val="both"/>
        <w:rPr/>
      </w:pPr>
      <w:r>
        <w:rPr/>
        <w:t>Ответвление от ВЛ к вводу - участок от опоры магистрали или линейного ответвления до зажима (изолятора ввода).</w:t>
      </w:r>
    </w:p>
    <w:p>
      <w:pPr>
        <w:pStyle w:val="Normal"/>
        <w:ind w:firstLine="284"/>
        <w:jc w:val="both"/>
        <w:rPr/>
      </w:pPr>
      <w:r>
        <w:rPr/>
        <w:t>Ответвление от ВЛИ допускается выполнять в пролете.</w:t>
      </w:r>
    </w:p>
    <w:p>
      <w:pPr>
        <w:pStyle w:val="Normal"/>
        <w:ind w:firstLine="284"/>
        <w:jc w:val="both"/>
        <w:rPr/>
      </w:pPr>
      <w:r>
        <w:rPr/>
        <w:t>2.4.4. Состояние ВЛ в расчетах механической части:</w:t>
      </w:r>
    </w:p>
    <w:p>
      <w:pPr>
        <w:pStyle w:val="Normal"/>
        <w:ind w:firstLine="284"/>
        <w:jc w:val="both"/>
        <w:rPr/>
      </w:pPr>
      <w:r>
        <w:rPr/>
        <w:t>нормальный режим - режим при необорванных проводах;</w:t>
      </w:r>
    </w:p>
    <w:p>
      <w:pPr>
        <w:pStyle w:val="Normal"/>
        <w:ind w:firstLine="284"/>
        <w:jc w:val="both"/>
        <w:rPr/>
      </w:pPr>
      <w:r>
        <w:rPr/>
        <w:t>аварийный режим - режим при оборванных проводах;</w:t>
      </w:r>
    </w:p>
    <w:p>
      <w:pPr>
        <w:pStyle w:val="Normal"/>
        <w:ind w:firstLine="284"/>
        <w:jc w:val="both"/>
        <w:rPr/>
      </w:pPr>
      <w:r>
        <w:rPr/>
        <w:t>монтажный режим - режим в условиях монтажа опор и проводов.</w:t>
      </w:r>
    </w:p>
    <w:p>
      <w:pPr>
        <w:pStyle w:val="Normal"/>
        <w:ind w:firstLine="284"/>
        <w:jc w:val="both"/>
        <w:rPr/>
      </w:pPr>
      <w:r>
        <w:rPr/>
        <w:t>Механический расчет ВЛ до 1 кВ в аварийном режиме не производится.</w:t>
      </w:r>
    </w:p>
    <w:p>
      <w:pPr>
        <w:pStyle w:val="Heading3"/>
        <w:rPr/>
      </w:pPr>
      <w:r>
        <w:rPr/>
        <w:t>ОБЩИЕ ТРЕБОВАНИЯ</w:t>
      </w:r>
    </w:p>
    <w:p>
      <w:pPr>
        <w:pStyle w:val="Normal"/>
        <w:ind w:firstLine="284"/>
        <w:jc w:val="both"/>
        <w:rPr/>
      </w:pPr>
      <w:r>
        <w:rPr/>
        <w:t>2.4.5. Механический расчет элементов ВЛ должен производиться по методам, изложенным в гл. 2.5.</w:t>
      </w:r>
    </w:p>
    <w:p>
      <w:pPr>
        <w:pStyle w:val="Normal"/>
        <w:ind w:firstLine="284"/>
        <w:jc w:val="both"/>
        <w:rPr/>
      </w:pPr>
      <w:r>
        <w:rPr/>
        <w:t>2.4.6. 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 (например, отбойными тумбами).</w:t>
      </w:r>
    </w:p>
    <w:p>
      <w:pPr>
        <w:pStyle w:val="Normal"/>
        <w:ind w:firstLine="284"/>
        <w:jc w:val="both"/>
        <w:rPr/>
      </w:pPr>
      <w:r>
        <w:rPr/>
        <w:t>2.4.7. На опорах ВЛ на высоте не менее 2 м от земли через 250 м на магистрали ВЛ должны быть установлены (нанесены): порядковый номер опоры; плакаты, на которых указаны расстояния от опоры ВЛ до кабельной линии связи (на опорах, установленных на расстоянии менее 4 м до кабелей связи), ширина охранной зоны и телефон владельца ВЛ.</w:t>
      </w:r>
    </w:p>
    <w:p>
      <w:pPr>
        <w:pStyle w:val="Normal"/>
        <w:ind w:firstLine="284"/>
        <w:jc w:val="both"/>
        <w:rPr/>
      </w:pPr>
      <w:r>
        <w:rPr/>
        <w:t>2.4.8. При прохождении ВЛИ по лесным массивам и зеленым насаждениям вырубка просек не требуется. При этом расстояние от проводов до деревьев и кустов при наибольшей стреле провеса СИП и наибольшем их отклонении должно быть не менее 0,3 м.</w:t>
      </w:r>
    </w:p>
    <w:p>
      <w:pPr>
        <w:pStyle w:val="Normal"/>
        <w:ind w:firstLine="284"/>
        <w:jc w:val="both"/>
        <w:rPr/>
      </w:pPr>
      <w:r>
        <w:rPr/>
        <w:t>При прохождении ВЛ с неизолированными проводами по лесным массивам и зеленым насаждениям вырубка просеки не обязательна. При этом расстояние от проводов при наибольшей стреле провеса или наибольшем отклонении до деревьев и кустов должно быть не менее 1 м.</w:t>
      </w:r>
    </w:p>
    <w:p>
      <w:pPr>
        <w:pStyle w:val="Normal"/>
        <w:ind w:firstLine="284"/>
        <w:jc w:val="both"/>
        <w:rPr/>
      </w:pPr>
      <w:r>
        <w:rPr/>
        <w:t>Расстояние от изолированных проводов до зеленых насаждений должно быть не менее 0,5 м.</w:t>
      </w:r>
    </w:p>
    <w:p>
      <w:pPr>
        <w:pStyle w:val="Normal"/>
        <w:ind w:firstLine="284"/>
        <w:jc w:val="both"/>
        <w:rPr/>
      </w:pPr>
      <w:r>
        <w:rPr/>
        <w:t>2.4.9. Конструкции опор ВЛ должны быть защищены от коррозии с учетом требований 2.5.25, 2.5.26 и строительных норм и правил.</w:t>
      </w:r>
    </w:p>
    <w:p>
      <w:pPr>
        <w:pStyle w:val="Normal"/>
        <w:ind w:firstLine="284"/>
        <w:jc w:val="both"/>
        <w:rPr/>
      </w:pPr>
      <w:r>
        <w:rPr/>
        <w:t>2.4.10. Защиту ВЛ от электрических перегрузок следует выполнять в соответствии с требованиями гл. 3.1.</w:t>
      </w:r>
    </w:p>
    <w:p>
      <w:pPr>
        <w:pStyle w:val="Heading3"/>
        <w:rPr/>
      </w:pPr>
      <w:r>
        <w:rPr/>
        <w:t>КЛИМАТИЧЕСКИЕ УСЛОВИЯ</w:t>
      </w:r>
    </w:p>
    <w:p>
      <w:pPr>
        <w:pStyle w:val="Normal"/>
        <w:ind w:firstLine="284"/>
        <w:jc w:val="both"/>
        <w:rPr/>
      </w:pPr>
      <w:r>
        <w:rPr/>
        <w:t>2.4.11. Климатические условия для расчета ВЛ до 1 кВ в нормальном режиме должны приниматься как для ВЛ до 20 кВ в соответствии с 2.5.38 - 2.5.74. При этом для ВЛ до 1 кВ следует принимать:</w:t>
      </w:r>
    </w:p>
    <w:p>
      <w:pPr>
        <w:pStyle w:val="Normal"/>
        <w:ind w:firstLine="284"/>
        <w:jc w:val="both"/>
        <w:rPr/>
      </w:pPr>
      <w:r>
        <w:rPr/>
        <w:t xml:space="preserve">при расчете по 2.5.52: </w:t>
      </w:r>
      <w:r>
        <w:rPr>
          <w:i/>
          <w:iCs/>
        </w:rPr>
        <w:t>С</w:t>
      </w:r>
      <w:r>
        <w:rPr>
          <w:i/>
          <w:iCs/>
          <w:vertAlign w:val="subscript"/>
        </w:rPr>
        <w:t>х</w:t>
      </w:r>
      <w:r>
        <w:rPr/>
        <w:t xml:space="preserve"> = 1,1 - для СИП, свободных или покрытых гололедом;</w:t>
      </w:r>
    </w:p>
    <w:p>
      <w:pPr>
        <w:pStyle w:val="Normal"/>
        <w:ind w:firstLine="284"/>
        <w:jc w:val="both"/>
        <w:rPr/>
      </w:pPr>
      <w:r>
        <w:rPr/>
        <w:t>при расчете по 2.5.54 и 2.5.55:</w:t>
      </w:r>
    </w:p>
    <w:p>
      <w:pPr>
        <w:pStyle w:val="Normal"/>
        <w:ind w:firstLine="284"/>
        <w:jc w:val="both"/>
        <w:rPr/>
      </w:pPr>
      <w:r>
        <w:rPr>
          <w:i/>
          <w:iCs/>
        </w:rPr>
        <w:t>γ</w:t>
      </w:r>
      <w:r>
        <w:rPr>
          <w:i/>
          <w:iCs/>
          <w:vertAlign w:val="subscript"/>
        </w:rPr>
        <w:t>nw</w:t>
      </w:r>
      <w:r>
        <w:rPr/>
        <w:t xml:space="preserve"> = </w:t>
      </w:r>
      <w:r>
        <w:rPr>
          <w:i/>
          <w:iCs/>
        </w:rPr>
        <w:t>γ</w:t>
      </w:r>
      <w:r>
        <w:rPr>
          <w:i/>
          <w:iCs/>
          <w:vertAlign w:val="subscript"/>
        </w:rPr>
        <w:t>nг</w:t>
      </w:r>
      <w:r>
        <w:rPr/>
        <w:t xml:space="preserve"> = 0,8 - для одноцепных ВЛ;</w:t>
      </w:r>
    </w:p>
    <w:p>
      <w:pPr>
        <w:pStyle w:val="Normal"/>
        <w:ind w:firstLine="284"/>
        <w:jc w:val="both"/>
        <w:rPr/>
      </w:pPr>
      <w:r>
        <w:rPr>
          <w:i/>
          <w:iCs/>
        </w:rPr>
        <w:t>γ</w:t>
      </w:r>
      <w:r>
        <w:rPr>
          <w:i/>
          <w:iCs/>
          <w:vertAlign w:val="subscript"/>
        </w:rPr>
        <w:t>nw</w:t>
      </w:r>
      <w:r>
        <w:rPr/>
        <w:t xml:space="preserve"> = </w:t>
      </w:r>
      <w:r>
        <w:rPr>
          <w:i/>
          <w:iCs/>
        </w:rPr>
        <w:t>γ</w:t>
      </w:r>
      <w:r>
        <w:rPr>
          <w:i/>
          <w:iCs/>
          <w:vertAlign w:val="subscript"/>
        </w:rPr>
        <w:t>nг</w:t>
      </w:r>
      <w:r>
        <w:rPr/>
        <w:t xml:space="preserve"> = 0,9 - для одноцепных ВЛ с подвеской на опорах ПВ;</w:t>
      </w:r>
    </w:p>
    <w:p>
      <w:pPr>
        <w:pStyle w:val="Normal"/>
        <w:ind w:firstLine="284"/>
        <w:jc w:val="both"/>
        <w:rPr/>
      </w:pPr>
      <w:r>
        <w:rPr>
          <w:i/>
          <w:iCs/>
        </w:rPr>
        <w:t>γ</w:t>
      </w:r>
      <w:r>
        <w:rPr>
          <w:i/>
          <w:iCs/>
          <w:vertAlign w:val="subscript"/>
        </w:rPr>
        <w:t>nw</w:t>
      </w:r>
      <w:r>
        <w:rPr/>
        <w:t xml:space="preserve"> = 1,0 и </w:t>
      </w:r>
      <w:r>
        <w:rPr>
          <w:i/>
          <w:iCs/>
        </w:rPr>
        <w:t>γ</w:t>
      </w:r>
      <w:r>
        <w:rPr>
          <w:i/>
          <w:iCs/>
          <w:vertAlign w:val="subscript"/>
        </w:rPr>
        <w:t>nг</w:t>
      </w:r>
      <w:r>
        <w:rPr/>
        <w:t xml:space="preserve"> = 1,2 - для двухцепных и многоцепных ВЛ, а также при подвеске на опорах ВЛ самонесущего неметаллического оптического кабеля (ОКСН);</w:t>
      </w:r>
    </w:p>
    <w:p>
      <w:pPr>
        <w:pStyle w:val="Normal"/>
        <w:ind w:firstLine="284"/>
        <w:jc w:val="both"/>
        <w:rPr/>
      </w:pPr>
      <w:r>
        <w:rPr>
          <w:i/>
          <w:iCs/>
        </w:rPr>
        <w:t>γ</w:t>
      </w:r>
      <w:r>
        <w:rPr>
          <w:i/>
          <w:iCs/>
          <w:vertAlign w:val="subscript"/>
        </w:rPr>
        <w:t>р</w:t>
      </w:r>
      <w:r>
        <w:rPr/>
        <w:t xml:space="preserve"> = 1,0 и </w:t>
      </w:r>
      <w:r>
        <w:rPr>
          <w:i/>
          <w:iCs/>
        </w:rPr>
        <w:t>К</w:t>
      </w:r>
      <w:r>
        <w:rPr>
          <w:vertAlign w:val="subscript"/>
        </w:rPr>
        <w:t>1</w:t>
      </w:r>
      <w:r>
        <w:rPr/>
        <w:t xml:space="preserve"> = 1,0 - во всех случаях.</w:t>
      </w:r>
    </w:p>
    <w:p>
      <w:pPr>
        <w:pStyle w:val="Normal"/>
        <w:ind w:firstLine="284"/>
        <w:jc w:val="both"/>
        <w:rPr/>
      </w:pPr>
      <w:r>
        <w:rPr/>
        <w:t>2.4.12. Расчет длины пролета ответвления от ВЛ к вводу по 2.4.20 должен выполняться в гололедном режиме для двух случаев:</w:t>
      </w:r>
    </w:p>
    <w:p>
      <w:pPr>
        <w:pStyle w:val="Normal"/>
        <w:ind w:firstLine="284"/>
        <w:jc w:val="both"/>
        <w:rPr/>
      </w:pPr>
      <w:r>
        <w:rPr/>
        <w:t xml:space="preserve">1) направление ветра под углом 90° к оси ВЛ, провода ВЛ покрыты гололедом </w:t>
      </w:r>
      <w:r>
        <w:rPr>
          <w:i/>
          <w:iCs/>
        </w:rPr>
        <w:t>b</w:t>
      </w:r>
      <w:r>
        <w:rPr>
          <w:i/>
          <w:iCs/>
          <w:vertAlign w:val="subscript"/>
        </w:rPr>
        <w:t>э</w:t>
      </w:r>
      <w:r>
        <w:rPr/>
        <w:t xml:space="preserve">, толщина стенки гололеда на проводах ответвления </w:t>
      </w:r>
      <w:r>
        <w:rPr>
          <w:i/>
          <w:iCs/>
        </w:rPr>
        <w:t>b</w:t>
      </w:r>
      <w:r>
        <w:rPr>
          <w:i/>
          <w:iCs/>
          <w:vertAlign w:val="subscript"/>
        </w:rPr>
        <w:t>o</w:t>
      </w:r>
      <w:r>
        <w:rPr/>
        <w:t xml:space="preserve"> = 0,5 </w:t>
      </w:r>
      <w:r>
        <w:rPr>
          <w:i/>
          <w:iCs/>
        </w:rPr>
        <w:t>b</w:t>
      </w:r>
      <w:r>
        <w:rPr>
          <w:i/>
          <w:iCs/>
          <w:vertAlign w:val="subscript"/>
        </w:rPr>
        <w:t>э</w:t>
      </w:r>
      <w:r>
        <w:rPr/>
        <w:t>;</w:t>
      </w:r>
    </w:p>
    <w:p>
      <w:pPr>
        <w:pStyle w:val="Normal"/>
        <w:ind w:firstLine="284"/>
        <w:jc w:val="both"/>
        <w:rPr/>
      </w:pPr>
      <w:r>
        <w:rPr/>
        <w:t xml:space="preserve">2) направление ветра вдоль ВЛ (угол 0°), толщина стенки гололеда на проводах ответвления </w:t>
      </w:r>
      <w:r>
        <w:rPr>
          <w:i/>
          <w:iCs/>
        </w:rPr>
        <w:t>b</w:t>
      </w:r>
      <w:r>
        <w:rPr>
          <w:i/>
          <w:iCs/>
          <w:vertAlign w:val="subscript"/>
        </w:rPr>
        <w:t>o</w:t>
      </w:r>
      <w:r>
        <w:rPr/>
        <w:t xml:space="preserve"> = </w:t>
      </w:r>
      <w:r>
        <w:rPr>
          <w:i/>
          <w:iCs/>
        </w:rPr>
        <w:t>b</w:t>
      </w:r>
      <w:r>
        <w:rPr>
          <w:i/>
          <w:iCs/>
          <w:vertAlign w:val="subscript"/>
        </w:rPr>
        <w:t>э</w:t>
      </w:r>
      <w:r>
        <w:rPr/>
        <w:t>.</w:t>
      </w:r>
    </w:p>
    <w:p>
      <w:pPr>
        <w:pStyle w:val="Normal"/>
        <w:ind w:firstLine="284"/>
        <w:jc w:val="both"/>
        <w:rPr/>
      </w:pPr>
      <w:r>
        <w:rPr/>
        <w:t>При этом в обоих случаях следует учитывать редукцию тяжения проводов ответвления при отклонении верха опоры.</w:t>
      </w:r>
    </w:p>
    <w:p>
      <w:pPr>
        <w:pStyle w:val="Heading3"/>
        <w:rPr/>
      </w:pPr>
      <w:r>
        <w:rPr/>
        <w:t>ПРОВОДА. ЛИНЕЙНАЯ АРМАТУРА</w:t>
      </w:r>
    </w:p>
    <w:p>
      <w:pPr>
        <w:pStyle w:val="Normal"/>
        <w:ind w:firstLine="284"/>
        <w:jc w:val="both"/>
        <w:rPr/>
      </w:pPr>
      <w:r>
        <w:rPr/>
        <w:t>2.4.13. На ВЛ должны, как правило, применяться самонесущие изолированные провода (СИП).</w:t>
      </w:r>
    </w:p>
    <w:p>
      <w:pPr>
        <w:pStyle w:val="Normal"/>
        <w:ind w:firstLine="284"/>
        <w:jc w:val="both"/>
        <w:rPr/>
      </w:pPr>
      <w:r>
        <w:rPr/>
        <w:t>СИП должен относиться к категории защищенных, иметь изоляцию из трудносгораемого светостабилизированного синтетического материала, стойкого к ультрафиолетовому излучению и воздействию озона.</w:t>
      </w:r>
    </w:p>
    <w:p>
      <w:pPr>
        <w:pStyle w:val="Normal"/>
        <w:ind w:firstLine="284"/>
        <w:jc w:val="both"/>
        <w:rPr/>
      </w:pPr>
      <w:r>
        <w:rPr/>
        <w:t>2.4.14. По условиям механической прочности на магистралях ВЛ, на линейном ответвлении от ВЛ и на ответвлениях к вводам следует применять провода с минимальными сечениями, указанными в табл. 2.4.1 и 2.4.2.</w:t>
      </w:r>
    </w:p>
    <w:p>
      <w:pPr>
        <w:pStyle w:val="Normal"/>
        <w:ind w:firstLine="284"/>
        <w:jc w:val="both"/>
        <w:rPr/>
      </w:pPr>
      <w:r>
        <w:rPr/>
        <w:t>2.4.15.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pPr>
        <w:pStyle w:val="Normal"/>
        <w:spacing w:before="120" w:after="120"/>
        <w:jc w:val="right"/>
        <w:rPr/>
      </w:pPr>
      <w:r>
        <w:rPr>
          <w:spacing w:val="40"/>
        </w:rPr>
        <w:t>Таблица</w:t>
      </w:r>
      <w:r>
        <w:rPr/>
        <w:t xml:space="preserve"> 2.4.1</w:t>
      </w:r>
    </w:p>
    <w:p>
      <w:pPr>
        <w:pStyle w:val="Normal"/>
        <w:spacing w:before="0" w:after="120"/>
        <w:jc w:val="center"/>
        <w:rPr>
          <w:b/>
          <w:b/>
          <w:bCs/>
        </w:rPr>
      </w:pPr>
      <w:r>
        <w:rPr>
          <w:b/>
          <w:bCs/>
        </w:rPr>
        <w:t>Минимально допустимые сечения изолированных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12"/>
        <w:gridCol w:w="3930"/>
        <w:gridCol w:w="3013"/>
      </w:tblGrid>
      <w:tr>
        <w:trPr>
          <w:tblHeader w:val="true"/>
        </w:trPr>
        <w:tc>
          <w:tcPr>
            <w:tcW w:w="2412"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 xml:space="preserve">Нормативная толщина стенки гололеда </w:t>
            </w:r>
            <w:r>
              <w:rPr>
                <w:i/>
                <w:iCs/>
              </w:rPr>
              <w:t>b</w:t>
            </w:r>
            <w:r>
              <w:rPr>
                <w:i/>
                <w:iCs/>
                <w:vertAlign w:val="subscript"/>
              </w:rPr>
              <w:t>э</w:t>
            </w:r>
            <w:r>
              <w:rPr/>
              <w:t>, мм</w:t>
            </w:r>
          </w:p>
        </w:tc>
        <w:tc>
          <w:tcPr>
            <w:tcW w:w="3930"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Сечение несущей жилы, мм</w:t>
            </w:r>
            <w:r>
              <w:rPr>
                <w:vertAlign w:val="superscript"/>
              </w:rPr>
              <w:t>2</w:t>
            </w:r>
            <w:r>
              <w:rPr/>
              <w:t>, на магистрали ВЛИ, на линейном ответвлении от ВЛИ</w:t>
            </w:r>
          </w:p>
        </w:tc>
        <w:tc>
          <w:tcPr>
            <w:tcW w:w="301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Сечение жилы на ответвлениях от ВЛИ и от ВЛ к вводам, мм</w:t>
            </w:r>
            <w:r>
              <w:rPr>
                <w:vertAlign w:val="superscript"/>
              </w:rPr>
              <w:t>2</w:t>
            </w:r>
          </w:p>
        </w:tc>
      </w:tr>
      <w:tr>
        <w:trPr/>
        <w:tc>
          <w:tcPr>
            <w:tcW w:w="2412" w:type="dxa"/>
            <w:tcBorders>
              <w:left w:val="single" w:sz="8" w:space="0" w:color="000000"/>
            </w:tcBorders>
            <w:shd w:fill="FFFFFF" w:val="clear"/>
          </w:tcPr>
          <w:p>
            <w:pPr>
              <w:pStyle w:val="Normal"/>
              <w:jc w:val="center"/>
              <w:rPr/>
            </w:pPr>
            <w:r>
              <w:rPr/>
              <w:t>10</w:t>
            </w:r>
          </w:p>
        </w:tc>
        <w:tc>
          <w:tcPr>
            <w:tcW w:w="3930" w:type="dxa"/>
            <w:tcBorders>
              <w:left w:val="single" w:sz="8" w:space="0" w:color="000000"/>
            </w:tcBorders>
            <w:shd w:fill="FFFFFF" w:val="clear"/>
            <w:tcMar>
              <w:left w:w="0" w:type="dxa"/>
              <w:right w:w="0" w:type="dxa"/>
            </w:tcMar>
          </w:tcPr>
          <w:p>
            <w:pPr>
              <w:pStyle w:val="Normal"/>
              <w:jc w:val="center"/>
              <w:rPr/>
            </w:pPr>
            <w:r>
              <w:rPr/>
              <w:t>35 (25)</w:t>
            </w:r>
            <w:r>
              <w:rPr>
                <w:vertAlign w:val="superscript"/>
              </w:rPr>
              <w:t>*</w:t>
            </w:r>
          </w:p>
        </w:tc>
        <w:tc>
          <w:tcPr>
            <w:tcW w:w="301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w:t>
            </w:r>
          </w:p>
        </w:tc>
      </w:tr>
      <w:tr>
        <w:trPr/>
        <w:tc>
          <w:tcPr>
            <w:tcW w:w="2412" w:type="dxa"/>
            <w:tcBorders>
              <w:left w:val="single" w:sz="8" w:space="0" w:color="000000"/>
              <w:bottom w:val="single" w:sz="8" w:space="0" w:color="000000"/>
              <w:insideH w:val="single" w:sz="8" w:space="0" w:color="000000"/>
            </w:tcBorders>
            <w:shd w:fill="FFFFFF" w:val="clear"/>
          </w:tcPr>
          <w:p>
            <w:pPr>
              <w:pStyle w:val="Normal"/>
              <w:jc w:val="center"/>
              <w:rPr/>
            </w:pPr>
            <w:r>
              <w:rPr/>
              <w:t>15 и более</w:t>
            </w:r>
          </w:p>
        </w:tc>
        <w:tc>
          <w:tcPr>
            <w:tcW w:w="39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 (25)</w:t>
            </w:r>
            <w:r>
              <w:rPr>
                <w:vertAlign w:val="superscript"/>
              </w:rPr>
              <w:t>*</w:t>
            </w:r>
          </w:p>
        </w:tc>
        <w:tc>
          <w:tcPr>
            <w:tcW w:w="30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16</w:t>
            </w:r>
          </w:p>
        </w:tc>
      </w:tr>
    </w:tbl>
    <w:p>
      <w:pPr>
        <w:pStyle w:val="Normal"/>
        <w:spacing w:before="120" w:after="0"/>
        <w:ind w:firstLine="283"/>
        <w:jc w:val="both"/>
        <w:rPr/>
      </w:pPr>
      <w:r>
        <w:rPr>
          <w:vertAlign w:val="superscript"/>
        </w:rPr>
        <w:t>*</w:t>
      </w:r>
      <w:r>
        <w:rPr/>
        <w:t xml:space="preserve"> В скобках дано сечение жилы самонесущих изолированных проводов, скрученных в жгут, без несущего провода.</w:t>
      </w:r>
    </w:p>
    <w:p>
      <w:pPr>
        <w:pStyle w:val="Normal"/>
        <w:spacing w:before="120" w:after="120"/>
        <w:jc w:val="right"/>
        <w:rPr/>
      </w:pPr>
      <w:r>
        <w:rPr>
          <w:spacing w:val="40"/>
        </w:rPr>
        <w:t>Таблица</w:t>
      </w:r>
      <w:r>
        <w:rPr/>
        <w:t xml:space="preserve"> 2.4.2</w:t>
      </w:r>
    </w:p>
    <w:p>
      <w:pPr>
        <w:pStyle w:val="Normal"/>
        <w:spacing w:before="0" w:after="120"/>
        <w:jc w:val="center"/>
        <w:rPr>
          <w:b/>
          <w:b/>
          <w:bCs/>
        </w:rPr>
      </w:pPr>
      <w:r>
        <w:rPr>
          <w:b/>
          <w:bCs/>
        </w:rPr>
        <w:t>Минимально допустимые сечения неизолированных и изолированных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340"/>
        <w:gridCol w:w="3843"/>
        <w:gridCol w:w="3172"/>
      </w:tblGrid>
      <w:tr>
        <w:trPr>
          <w:tblHeader w:val="true"/>
        </w:trPr>
        <w:tc>
          <w:tcPr>
            <w:tcW w:w="2340"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 xml:space="preserve">Нормативная толщина стенки гололеда </w:t>
            </w:r>
            <w:r>
              <w:rPr>
                <w:i/>
                <w:iCs/>
              </w:rPr>
              <w:t>b</w:t>
            </w:r>
            <w:r>
              <w:rPr>
                <w:i/>
                <w:iCs/>
                <w:vertAlign w:val="subscript"/>
              </w:rPr>
              <w:t>э</w:t>
            </w:r>
            <w:r>
              <w:rPr/>
              <w:t>, мм</w:t>
            </w:r>
          </w:p>
        </w:tc>
        <w:tc>
          <w:tcPr>
            <w:tcW w:w="384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Материал провода</w:t>
            </w:r>
          </w:p>
        </w:tc>
        <w:tc>
          <w:tcPr>
            <w:tcW w:w="317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Сечение провода на магистрали и линейном ответвлении, мм</w:t>
            </w:r>
          </w:p>
        </w:tc>
      </w:tr>
      <w:tr>
        <w:trPr/>
        <w:tc>
          <w:tcPr>
            <w:tcW w:w="2340" w:type="dxa"/>
            <w:vMerge w:val="restart"/>
            <w:tcBorders>
              <w:left w:val="single" w:sz="8" w:space="0" w:color="000000"/>
              <w:bottom w:val="single" w:sz="8" w:space="0" w:color="000000"/>
              <w:insideH w:val="single" w:sz="8" w:space="0" w:color="000000"/>
            </w:tcBorders>
            <w:shd w:fill="FFFFFF" w:val="clear"/>
          </w:tcPr>
          <w:p>
            <w:pPr>
              <w:pStyle w:val="Normal"/>
              <w:jc w:val="center"/>
              <w:rPr/>
            </w:pPr>
            <w:r>
              <w:rPr/>
              <w:t>10</w:t>
            </w:r>
          </w:p>
        </w:tc>
        <w:tc>
          <w:tcPr>
            <w:tcW w:w="38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Алюминий (А), нетермообработанный алюминиевый сплав (АН)</w:t>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234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843" w:type="dxa"/>
            <w:tcBorders>
              <w:left w:val="single" w:sz="8" w:space="0" w:color="000000"/>
              <w:bottom w:val="single" w:sz="8" w:space="0" w:color="000000"/>
              <w:insideH w:val="single" w:sz="8" w:space="0" w:color="000000"/>
            </w:tcBorders>
            <w:shd w:fill="FFFFFF" w:val="clear"/>
          </w:tcPr>
          <w:p>
            <w:pPr>
              <w:pStyle w:val="Normal"/>
              <w:jc w:val="both"/>
              <w:rPr/>
            </w:pPr>
            <w:r>
              <w:rPr/>
              <w:t>Сталеалюминий (АС), термообработанный алюминиевый сплав (АЖ)</w:t>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234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843" w:type="dxa"/>
            <w:tcBorders>
              <w:left w:val="single" w:sz="8" w:space="0" w:color="000000"/>
              <w:bottom w:val="single" w:sz="8" w:space="0" w:color="000000"/>
              <w:insideH w:val="single" w:sz="8" w:space="0" w:color="000000"/>
            </w:tcBorders>
            <w:shd w:fill="FFFFFF" w:val="clear"/>
          </w:tcPr>
          <w:p>
            <w:pPr>
              <w:pStyle w:val="Normal"/>
              <w:jc w:val="both"/>
              <w:rPr/>
            </w:pPr>
            <w:r>
              <w:rPr/>
              <w:t>Медь (М)</w:t>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16</w:t>
            </w:r>
          </w:p>
        </w:tc>
      </w:tr>
      <w:tr>
        <w:trPr/>
        <w:tc>
          <w:tcPr>
            <w:tcW w:w="2340" w:type="dxa"/>
            <w:vMerge w:val="restart"/>
            <w:tcBorders>
              <w:left w:val="single" w:sz="8" w:space="0" w:color="000000"/>
              <w:bottom w:val="single" w:sz="8" w:space="0" w:color="000000"/>
              <w:insideH w:val="single" w:sz="8" w:space="0" w:color="000000"/>
            </w:tcBorders>
            <w:shd w:fill="FFFFFF" w:val="clear"/>
          </w:tcPr>
          <w:p>
            <w:pPr>
              <w:pStyle w:val="Normal"/>
              <w:jc w:val="center"/>
              <w:rPr/>
            </w:pPr>
            <w:r>
              <w:rPr/>
              <w:t>15 и более</w:t>
            </w:r>
          </w:p>
        </w:tc>
        <w:tc>
          <w:tcPr>
            <w:tcW w:w="3843"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А, АН АС, АЖ М</w:t>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234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843"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Pr>
          <w:p>
            <w:pPr>
              <w:pStyle w:val="Normal"/>
              <w:jc w:val="center"/>
              <w:rPr/>
            </w:pPr>
            <w:r>
              <w:rPr/>
              <w:t>25</w:t>
            </w:r>
          </w:p>
        </w:tc>
      </w:tr>
      <w:tr>
        <w:trPr/>
        <w:tc>
          <w:tcPr>
            <w:tcW w:w="2340"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3843"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17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Pr>
          <w:p>
            <w:pPr>
              <w:pStyle w:val="Normal"/>
              <w:jc w:val="center"/>
              <w:rPr/>
            </w:pPr>
            <w:r>
              <w:rPr/>
              <w:t>16</w:t>
            </w:r>
          </w:p>
        </w:tc>
      </w:tr>
    </w:tbl>
    <w:p>
      <w:pPr>
        <w:pStyle w:val="Normal"/>
        <w:spacing w:before="120" w:after="0"/>
        <w:ind w:firstLine="283"/>
        <w:jc w:val="both"/>
        <w:rPr/>
      </w:pPr>
      <w:r>
        <w:rPr/>
        <w:t>2.4.16. Магистраль ВЛ, как правило, следует выполнять проводами неизменного сечения.</w:t>
      </w:r>
    </w:p>
    <w:p>
      <w:pPr>
        <w:pStyle w:val="Normal"/>
        <w:ind w:firstLine="283"/>
        <w:jc w:val="both"/>
        <w:rPr/>
      </w:pPr>
      <w:r>
        <w:rPr/>
        <w:t>Сечения фазных проводов магистрали ВЛ рекомендуется принимать не менее 50 мм</w:t>
      </w:r>
      <w:r>
        <w:rPr>
          <w:vertAlign w:val="superscript"/>
        </w:rPr>
        <w:t>2</w:t>
      </w:r>
      <w:r>
        <w:rPr/>
        <w:t>.</w:t>
      </w:r>
    </w:p>
    <w:p>
      <w:pPr>
        <w:pStyle w:val="Normal"/>
        <w:ind w:firstLine="283"/>
        <w:jc w:val="both"/>
        <w:rPr/>
      </w:pPr>
      <w:r>
        <w:rPr/>
        <w:t>2.4.17. Механический расчет проводов должен производиться по методу допускаемых напряжений для условий, указанных в 2.5.38 - 2.5.74. При этом напряжения в проводах не должны превышать допускаемых напряжений, приведенных в табл. 2.4.3,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pPr>
        <w:pStyle w:val="Normal"/>
        <w:ind w:firstLine="283"/>
        <w:jc w:val="both"/>
        <w:rPr/>
      </w:pPr>
      <w:r>
        <w:rPr/>
        <w:t>При расчете используются параметры проводов, приведенные в табл. 2.5.8.</w:t>
      </w:r>
    </w:p>
    <w:p>
      <w:pPr>
        <w:pStyle w:val="Normal"/>
        <w:spacing w:before="120" w:after="120"/>
        <w:jc w:val="right"/>
        <w:rPr/>
      </w:pPr>
      <w:r>
        <w:rPr>
          <w:spacing w:val="40"/>
        </w:rPr>
        <w:t>Таблица</w:t>
      </w:r>
      <w:r>
        <w:rPr/>
        <w:t xml:space="preserve"> 2.4.3</w:t>
      </w:r>
    </w:p>
    <w:p>
      <w:pPr>
        <w:pStyle w:val="Normal"/>
        <w:spacing w:before="0" w:after="120"/>
        <w:jc w:val="center"/>
        <w:rPr>
          <w:b/>
          <w:b/>
          <w:bCs/>
        </w:rPr>
      </w:pPr>
      <w:r>
        <w:rPr>
          <w:b/>
          <w:bCs/>
        </w:rPr>
        <w:t>Допустимое механическое напряжение в проводах ВЛ до 1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812"/>
        <w:gridCol w:w="2633"/>
        <w:gridCol w:w="1910"/>
      </w:tblGrid>
      <w:tr>
        <w:trPr>
          <w:tblHeader w:val="true"/>
        </w:trPr>
        <w:tc>
          <w:tcPr>
            <w:tcW w:w="481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w:t>
            </w:r>
          </w:p>
        </w:tc>
        <w:tc>
          <w:tcPr>
            <w:tcW w:w="4543"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Допустимое напряжение, % предела прочности при растяжении</w:t>
            </w:r>
          </w:p>
        </w:tc>
      </w:tr>
      <w:tr>
        <w:trPr>
          <w:tblHeader w:val="true"/>
        </w:trPr>
        <w:tc>
          <w:tcPr>
            <w:tcW w:w="481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633"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 xml:space="preserve">при наибольшей нагрузке и низшей температуре </w:t>
            </w:r>
            <w:r>
              <w:rPr>
                <w:i/>
                <w:iCs/>
              </w:rPr>
              <w:t>t</w:t>
            </w:r>
            <w:r>
              <w:rPr>
                <w:i/>
                <w:iCs/>
                <w:vertAlign w:val="subscript"/>
              </w:rPr>
              <w:t>u</w:t>
            </w:r>
            <w:r>
              <w:rPr/>
              <w:t xml:space="preserve"> = </w:t>
            </w:r>
            <w:r>
              <w:rPr>
                <w:i/>
                <w:iCs/>
              </w:rPr>
              <w:t>t</w:t>
            </w:r>
            <w:r>
              <w:rPr>
                <w:i/>
                <w:iCs/>
                <w:vertAlign w:val="subscript"/>
              </w:rPr>
              <w:t>-</w:t>
            </w:r>
          </w:p>
        </w:tc>
        <w:tc>
          <w:tcPr>
            <w:tcW w:w="19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при среднегодовой температуре </w:t>
            </w:r>
            <w:r>
              <w:rPr>
                <w:i/>
                <w:iCs/>
              </w:rPr>
              <w:t>t</w:t>
            </w:r>
            <w:r>
              <w:rPr>
                <w:i/>
                <w:iCs/>
                <w:vertAlign w:val="subscript"/>
              </w:rPr>
              <w:t>сг</w:t>
            </w:r>
          </w:p>
        </w:tc>
      </w:tr>
      <w:tr>
        <w:trPr/>
        <w:tc>
          <w:tcPr>
            <w:tcW w:w="4812" w:type="dxa"/>
            <w:tcBorders>
              <w:left w:val="single" w:sz="8" w:space="0" w:color="000000"/>
              <w:bottom w:val="single" w:sz="8" w:space="0" w:color="000000"/>
              <w:insideH w:val="single" w:sz="8" w:space="0" w:color="000000"/>
            </w:tcBorders>
            <w:shd w:fill="FFFFFF" w:val="clear"/>
          </w:tcPr>
          <w:p>
            <w:pPr>
              <w:pStyle w:val="Normal"/>
              <w:jc w:val="both"/>
              <w:rPr/>
            </w:pPr>
            <w:r>
              <w:rPr/>
              <w:t>СИП сечением 25 - 120 мм</w:t>
            </w:r>
            <w:r>
              <w:rPr>
                <w:vertAlign w:val="superscript"/>
              </w:rPr>
              <w:t>2</w:t>
            </w:r>
          </w:p>
        </w:tc>
        <w:tc>
          <w:tcPr>
            <w:tcW w:w="26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9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tcBorders>
            <w:shd w:fill="FFFFFF" w:val="clear"/>
          </w:tcPr>
          <w:p>
            <w:pPr>
              <w:pStyle w:val="Normal"/>
              <w:jc w:val="both"/>
              <w:rPr/>
            </w:pPr>
            <w:r>
              <w:rPr/>
              <w:t>Алюминиевый сечением, мм</w:t>
            </w:r>
            <w:r>
              <w:rPr>
                <w:vertAlign w:val="superscript"/>
              </w:rPr>
              <w:t>2</w:t>
            </w:r>
            <w:r>
              <w:rPr/>
              <w:t>:</w:t>
            </w:r>
          </w:p>
        </w:tc>
        <w:tc>
          <w:tcPr>
            <w:tcW w:w="2633" w:type="dxa"/>
            <w:tcBorders>
              <w:left w:val="single" w:sz="8" w:space="0" w:color="000000"/>
            </w:tcBorders>
            <w:shd w:fill="FFFFFF" w:val="clear"/>
            <w:tcMar>
              <w:left w:w="0" w:type="dxa"/>
              <w:right w:w="0" w:type="dxa"/>
            </w:tcMar>
          </w:tcPr>
          <w:p>
            <w:pPr>
              <w:pStyle w:val="Normal"/>
              <w:snapToGrid w:val="false"/>
              <w:rPr/>
            </w:pPr>
            <w:r>
              <w:rPr/>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812" w:type="dxa"/>
            <w:tcBorders>
              <w:left w:val="single" w:sz="8" w:space="0" w:color="000000"/>
            </w:tcBorders>
            <w:shd w:fill="FFFFFF" w:val="clear"/>
          </w:tcPr>
          <w:p>
            <w:pPr>
              <w:pStyle w:val="Normal"/>
              <w:jc w:val="both"/>
              <w:rPr/>
            </w:pPr>
            <w:r>
              <w:rPr/>
              <w:t>25 - 95</w:t>
            </w:r>
          </w:p>
        </w:tc>
        <w:tc>
          <w:tcPr>
            <w:tcW w:w="2633" w:type="dxa"/>
            <w:tcBorders>
              <w:left w:val="single" w:sz="8" w:space="0" w:color="000000"/>
            </w:tcBorders>
            <w:shd w:fill="FFFFFF" w:val="clear"/>
            <w:tcMar>
              <w:left w:w="0" w:type="dxa"/>
              <w:right w:w="0" w:type="dxa"/>
            </w:tcMar>
          </w:tcPr>
          <w:p>
            <w:pPr>
              <w:pStyle w:val="Normal"/>
              <w:jc w:val="center"/>
              <w:rPr/>
            </w:pPr>
            <w:r>
              <w:rPr/>
              <w:t>35</w:t>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bottom w:val="single" w:sz="8" w:space="0" w:color="000000"/>
              <w:insideH w:val="single" w:sz="8" w:space="0" w:color="000000"/>
            </w:tcBorders>
            <w:shd w:fill="FFFFFF" w:val="clear"/>
          </w:tcPr>
          <w:p>
            <w:pPr>
              <w:pStyle w:val="Normal"/>
              <w:jc w:val="both"/>
              <w:rPr/>
            </w:pPr>
            <w:r>
              <w:rPr/>
              <w:t>120</w:t>
            </w:r>
          </w:p>
        </w:tc>
        <w:tc>
          <w:tcPr>
            <w:tcW w:w="26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9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tcBorders>
            <w:shd w:fill="FFFFFF" w:val="clear"/>
          </w:tcPr>
          <w:p>
            <w:pPr>
              <w:pStyle w:val="Normal"/>
              <w:jc w:val="both"/>
              <w:rPr/>
            </w:pPr>
            <w:r>
              <w:rPr/>
              <w:t>Из термообработанного и нетермообработанного алюминиевого сплава сечением, мм</w:t>
            </w:r>
            <w:r>
              <w:rPr>
                <w:vertAlign w:val="superscript"/>
              </w:rPr>
              <w:t>2</w:t>
            </w:r>
            <w:r>
              <w:rPr/>
              <w:t>:</w:t>
            </w:r>
          </w:p>
        </w:tc>
        <w:tc>
          <w:tcPr>
            <w:tcW w:w="2633" w:type="dxa"/>
            <w:tcBorders>
              <w:left w:val="single" w:sz="8" w:space="0" w:color="000000"/>
            </w:tcBorders>
            <w:shd w:fill="FFFFFF" w:val="clear"/>
            <w:tcMar>
              <w:left w:w="0" w:type="dxa"/>
              <w:right w:w="0" w:type="dxa"/>
            </w:tcMar>
          </w:tcPr>
          <w:p>
            <w:pPr>
              <w:pStyle w:val="Normal"/>
              <w:snapToGrid w:val="false"/>
              <w:rPr/>
            </w:pPr>
            <w:r>
              <w:rPr/>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812" w:type="dxa"/>
            <w:tcBorders>
              <w:left w:val="single" w:sz="8" w:space="0" w:color="000000"/>
            </w:tcBorders>
            <w:shd w:fill="FFFFFF" w:val="clear"/>
          </w:tcPr>
          <w:p>
            <w:pPr>
              <w:pStyle w:val="Normal"/>
              <w:jc w:val="both"/>
              <w:rPr/>
            </w:pPr>
            <w:r>
              <w:rPr/>
              <w:t>25 - 95</w:t>
            </w:r>
          </w:p>
        </w:tc>
        <w:tc>
          <w:tcPr>
            <w:tcW w:w="2633" w:type="dxa"/>
            <w:tcBorders>
              <w:left w:val="single" w:sz="8" w:space="0" w:color="000000"/>
            </w:tcBorders>
            <w:shd w:fill="FFFFFF" w:val="clear"/>
            <w:tcMar>
              <w:left w:w="0" w:type="dxa"/>
              <w:right w:w="0" w:type="dxa"/>
            </w:tcMar>
          </w:tcPr>
          <w:p>
            <w:pPr>
              <w:pStyle w:val="Normal"/>
              <w:jc w:val="center"/>
              <w:rPr/>
            </w:pPr>
            <w:r>
              <w:rPr/>
              <w:t>40</w:t>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bottom w:val="single" w:sz="8" w:space="0" w:color="000000"/>
              <w:insideH w:val="single" w:sz="8" w:space="0" w:color="000000"/>
            </w:tcBorders>
            <w:shd w:fill="FFFFFF" w:val="clear"/>
          </w:tcPr>
          <w:p>
            <w:pPr>
              <w:pStyle w:val="Normal"/>
              <w:jc w:val="both"/>
              <w:rPr/>
            </w:pPr>
            <w:r>
              <w:rPr/>
              <w:t>120</w:t>
            </w:r>
          </w:p>
        </w:tc>
        <w:tc>
          <w:tcPr>
            <w:tcW w:w="26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9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tcBorders>
            <w:shd w:fill="FFFFFF" w:val="clear"/>
          </w:tcPr>
          <w:p>
            <w:pPr>
              <w:pStyle w:val="Normal"/>
              <w:jc w:val="both"/>
              <w:rPr/>
            </w:pPr>
            <w:r>
              <w:rPr/>
              <w:t>Сталеалюминиевый сечением, мм</w:t>
            </w:r>
            <w:r>
              <w:rPr>
                <w:vertAlign w:val="superscript"/>
              </w:rPr>
              <w:t>2</w:t>
            </w:r>
            <w:r>
              <w:rPr/>
              <w:t>:</w:t>
            </w:r>
          </w:p>
        </w:tc>
        <w:tc>
          <w:tcPr>
            <w:tcW w:w="2633" w:type="dxa"/>
            <w:tcBorders>
              <w:left w:val="single" w:sz="8" w:space="0" w:color="000000"/>
            </w:tcBorders>
            <w:shd w:fill="FFFFFF" w:val="clear"/>
            <w:tcMar>
              <w:left w:w="0" w:type="dxa"/>
              <w:right w:w="0" w:type="dxa"/>
            </w:tcMar>
          </w:tcPr>
          <w:p>
            <w:pPr>
              <w:pStyle w:val="Normal"/>
              <w:snapToGrid w:val="false"/>
              <w:rPr/>
            </w:pPr>
            <w:r>
              <w:rPr/>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812" w:type="dxa"/>
            <w:tcBorders>
              <w:left w:val="single" w:sz="8" w:space="0" w:color="000000"/>
            </w:tcBorders>
            <w:shd w:fill="FFFFFF" w:val="clear"/>
          </w:tcPr>
          <w:p>
            <w:pPr>
              <w:pStyle w:val="Normal"/>
              <w:jc w:val="both"/>
              <w:rPr/>
            </w:pPr>
            <w:r>
              <w:rPr/>
              <w:t>25</w:t>
            </w:r>
          </w:p>
        </w:tc>
        <w:tc>
          <w:tcPr>
            <w:tcW w:w="2633" w:type="dxa"/>
            <w:tcBorders>
              <w:left w:val="single" w:sz="8" w:space="0" w:color="000000"/>
            </w:tcBorders>
            <w:shd w:fill="FFFFFF" w:val="clear"/>
            <w:tcMar>
              <w:left w:w="0" w:type="dxa"/>
              <w:right w:w="0" w:type="dxa"/>
            </w:tcMar>
          </w:tcPr>
          <w:p>
            <w:pPr>
              <w:pStyle w:val="Normal"/>
              <w:jc w:val="center"/>
              <w:rPr/>
            </w:pPr>
            <w:r>
              <w:rPr/>
              <w:t>35</w:t>
            </w:r>
          </w:p>
        </w:tc>
        <w:tc>
          <w:tcPr>
            <w:tcW w:w="19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812" w:type="dxa"/>
            <w:tcBorders>
              <w:left w:val="single" w:sz="8" w:space="0" w:color="000000"/>
              <w:bottom w:val="single" w:sz="8" w:space="0" w:color="000000"/>
              <w:insideH w:val="single" w:sz="8" w:space="0" w:color="000000"/>
            </w:tcBorders>
            <w:shd w:fill="FFFFFF" w:val="clear"/>
          </w:tcPr>
          <w:p>
            <w:pPr>
              <w:pStyle w:val="Normal"/>
              <w:jc w:val="both"/>
              <w:rPr/>
            </w:pPr>
            <w:r>
              <w:rPr/>
              <w:t>35 - 95</w:t>
            </w:r>
          </w:p>
        </w:tc>
        <w:tc>
          <w:tcPr>
            <w:tcW w:w="26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9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bl>
    <w:p>
      <w:pPr>
        <w:pStyle w:val="Normal"/>
        <w:spacing w:before="120" w:after="0"/>
        <w:ind w:firstLine="283"/>
        <w:jc w:val="both"/>
        <w:rPr/>
      </w:pPr>
      <w:r>
        <w:rPr/>
        <w:t>2.4.18. 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pPr>
        <w:pStyle w:val="Normal"/>
        <w:ind w:firstLine="283"/>
        <w:jc w:val="both"/>
        <w:rPr/>
      </w:pPr>
      <w:r>
        <w:rPr/>
        <w:t>2.4.19. Длина пролета 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pPr>
        <w:pStyle w:val="Normal"/>
        <w:ind w:firstLine="283"/>
        <w:jc w:val="both"/>
        <w:rPr/>
      </w:pPr>
      <w:r>
        <w:rPr/>
        <w:t>При расстояниях от магистрали ВЛ до здания, превышающих расчетные значения пролета ответвления, устанавливается необходимое число дополнительных опор.</w:t>
      </w:r>
    </w:p>
    <w:p>
      <w:pPr>
        <w:pStyle w:val="Normal"/>
        <w:ind w:firstLine="283"/>
        <w:jc w:val="both"/>
        <w:rPr/>
      </w:pPr>
      <w:r>
        <w:rPr/>
        <w:t>2.4.20. Выбор сечения токоведущих проводников по длительно допустимому току следует выполнять с учетом требований гл. 1.3.</w:t>
      </w:r>
    </w:p>
    <w:p>
      <w:pPr>
        <w:pStyle w:val="Normal"/>
        <w:ind w:firstLine="283"/>
        <w:jc w:val="both"/>
        <w:rPr/>
      </w:pPr>
      <w:r>
        <w:rPr/>
        <w:t>Сечение токоведущих проводников должно проверяться по условию нагрева при коротких замыканиях (КЗ) и на термическую стойкость.</w:t>
      </w:r>
    </w:p>
    <w:p>
      <w:pPr>
        <w:pStyle w:val="Normal"/>
        <w:ind w:firstLine="283"/>
        <w:jc w:val="both"/>
        <w:rPr/>
      </w:pPr>
      <w:r>
        <w:rPr/>
        <w:t>2.4.21. Крепление, соединение СИП и присоединение к СИП следует производить следующим образом:</w:t>
      </w:r>
    </w:p>
    <w:p>
      <w:pPr>
        <w:pStyle w:val="Normal"/>
        <w:ind w:firstLine="283"/>
        <w:jc w:val="both"/>
        <w:rPr/>
      </w:pPr>
      <w:r>
        <w:rPr/>
        <w:t>1) крепление провода магистрали ВЛИ на промежуточных и угловых промежуточных опорах - с помощью поддерживающих зажимов;</w:t>
      </w:r>
    </w:p>
    <w:p>
      <w:pPr>
        <w:pStyle w:val="Normal"/>
        <w:ind w:firstLine="283"/>
        <w:jc w:val="both"/>
        <w:rPr/>
      </w:pPr>
      <w:r>
        <w:rPr/>
        <w:t>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pPr>
        <w:pStyle w:val="Normal"/>
        <w:ind w:firstLine="283"/>
        <w:jc w:val="both"/>
        <w:rPr/>
      </w:pPr>
      <w:r>
        <w:rPr/>
        <w:t>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 иметь механическую прочность не менее 90 % разрывного усилия провода;</w:t>
      </w:r>
    </w:p>
    <w:p>
      <w:pPr>
        <w:pStyle w:val="Normal"/>
        <w:ind w:firstLine="283"/>
        <w:jc w:val="both"/>
        <w:rPr/>
      </w:pPr>
      <w:r>
        <w:rPr/>
        <w:t>4) соединение фазных проводов магистрали ВЛИ - с помощью соединительных зажимов, имеющих изолирующее покрытие или защитную изолирующую оболочку;</w:t>
      </w:r>
    </w:p>
    <w:p>
      <w:pPr>
        <w:pStyle w:val="Normal"/>
        <w:ind w:firstLine="283"/>
        <w:jc w:val="both"/>
        <w:rPr/>
      </w:pPr>
      <w:r>
        <w:rPr/>
        <w:t>5) соединение проводов в пролете ответвления к вводу не допускается;</w:t>
      </w:r>
    </w:p>
    <w:p>
      <w:pPr>
        <w:pStyle w:val="Normal"/>
        <w:ind w:firstLine="283"/>
        <w:jc w:val="both"/>
        <w:rPr/>
      </w:pPr>
      <w:r>
        <w:rPr/>
        <w:t>6) соединение заземляющих проводников - с помощью плашечных зажимов;</w:t>
      </w:r>
    </w:p>
    <w:p>
      <w:pPr>
        <w:pStyle w:val="Normal"/>
        <w:ind w:firstLine="283"/>
        <w:jc w:val="both"/>
        <w:rPr/>
      </w:pPr>
      <w:r>
        <w:rPr/>
        <w:t>7) ответвительные зажимы следует применять в случаях:</w:t>
      </w:r>
    </w:p>
    <w:p>
      <w:pPr>
        <w:pStyle w:val="Normal"/>
        <w:ind w:firstLine="283"/>
        <w:jc w:val="both"/>
        <w:rPr/>
      </w:pPr>
      <w:r>
        <w:rPr/>
        <w:t>ответвления от фазных жил, за исключением СИП со всеми несущими проводниками жгута;</w:t>
      </w:r>
    </w:p>
    <w:p>
      <w:pPr>
        <w:pStyle w:val="Normal"/>
        <w:ind w:firstLine="283"/>
        <w:jc w:val="both"/>
        <w:rPr/>
      </w:pPr>
      <w:r>
        <w:rPr/>
        <w:t>ответвления от несущей жилы.</w:t>
      </w:r>
    </w:p>
    <w:p>
      <w:pPr>
        <w:pStyle w:val="Normal"/>
        <w:ind w:firstLine="283"/>
        <w:jc w:val="both"/>
        <w:rPr/>
      </w:pPr>
      <w:r>
        <w:rPr/>
        <w:t>2.4.22. Крепление поддерживающих и натяжных зажимов к опорам ВЛИ, стенам зданий и сооружениям следует выполнять с помощью крюков и кронштейнов.</w:t>
      </w:r>
    </w:p>
    <w:p>
      <w:pPr>
        <w:pStyle w:val="Normal"/>
        <w:ind w:firstLine="283"/>
        <w:jc w:val="both"/>
        <w:rPr/>
      </w:pPr>
      <w:r>
        <w:rPr/>
        <w:t>2.4.23. Расчетные усилия в поддерживающих и натяжных зажимах, узлах крепления и кронштейнах в нормальном режиме не должны превышать 40 % их механической разрушающей нагрузки.</w:t>
      </w:r>
    </w:p>
    <w:p>
      <w:pPr>
        <w:pStyle w:val="Normal"/>
        <w:ind w:firstLine="283"/>
        <w:jc w:val="both"/>
        <w:rPr/>
      </w:pPr>
      <w:r>
        <w:rPr/>
        <w:t>2.4.24. Соединения проводов в пролетах ВЛ следует производить при помощи соединительных зажимов, обеспечивающих механическую прочность не менее 90 % разрывного усилия провода.</w:t>
      </w:r>
    </w:p>
    <w:p>
      <w:pPr>
        <w:pStyle w:val="Normal"/>
        <w:ind w:firstLine="283"/>
        <w:jc w:val="both"/>
        <w:rPr/>
      </w:pPr>
      <w:r>
        <w:rPr/>
        <w:t>В одном пролете ВЛ допускается не более одного соединения на каждый провод.</w:t>
      </w:r>
    </w:p>
    <w:p>
      <w:pPr>
        <w:pStyle w:val="Normal"/>
        <w:ind w:firstLine="283"/>
        <w:jc w:val="both"/>
        <w:rPr/>
      </w:pPr>
      <w:r>
        <w:rPr/>
        <w:t>В пролетах пересечения ВЛ с инженерными сооружениями соединение проводов ВЛ не допускается.</w:t>
      </w:r>
    </w:p>
    <w:p>
      <w:pPr>
        <w:pStyle w:val="Normal"/>
        <w:ind w:firstLine="283"/>
        <w:jc w:val="both"/>
        <w:rPr/>
      </w:pPr>
      <w:r>
        <w:rPr/>
        <w:t>Соединение проводов в петлях анкерных опор должно производиться при помощи зажимов или сваркой.</w:t>
      </w:r>
    </w:p>
    <w:p>
      <w:pPr>
        <w:pStyle w:val="Normal"/>
        <w:ind w:firstLine="283"/>
        <w:jc w:val="both"/>
        <w:rPr/>
      </w:pPr>
      <w:r>
        <w:rPr/>
        <w:t>Провода разных марок или сечений должны соединяться только в петлях анкерных опор.</w:t>
      </w:r>
    </w:p>
    <w:p>
      <w:pPr>
        <w:pStyle w:val="Normal"/>
        <w:ind w:firstLine="283"/>
        <w:jc w:val="both"/>
        <w:rPr/>
      </w:pPr>
      <w:r>
        <w:rPr/>
        <w:t>2.4.25. Крепление неизолированных проводов к изоляторам и изолирующим траверсам на опорах ВЛ, за исключением опор для пересечений, рекомендуется выполнять одинарным.</w:t>
      </w:r>
    </w:p>
    <w:p>
      <w:pPr>
        <w:pStyle w:val="Normal"/>
        <w:ind w:firstLine="283"/>
        <w:jc w:val="both"/>
        <w:rPr/>
      </w:pPr>
      <w:r>
        <w:rPr/>
        <w:t>Крепление неизолированных проводов к штыревым изоляторам на промежуточных опорах следует выполнять, как правило, на шейке изолятора с внутренней его стороны по отношению к стойке опоры.</w:t>
      </w:r>
    </w:p>
    <w:p>
      <w:pPr>
        <w:pStyle w:val="Normal"/>
        <w:ind w:firstLine="283"/>
        <w:jc w:val="both"/>
        <w:rPr/>
      </w:pPr>
      <w:r>
        <w:rPr/>
        <w:t>2.4.26. Крюки и штыри должны рассчитываться в нормальном режиме работы ВЛ по методу разрушающих нагрузок.</w:t>
      </w:r>
    </w:p>
    <w:p>
      <w:pPr>
        <w:pStyle w:val="Normal"/>
        <w:ind w:firstLine="283"/>
        <w:jc w:val="both"/>
        <w:rPr/>
      </w:pPr>
      <w:r>
        <w:rPr/>
        <w:t>При этом усилия не должны превышать значений, приведенных в 2.5.101.</w:t>
      </w:r>
    </w:p>
    <w:p>
      <w:pPr>
        <w:pStyle w:val="Heading3"/>
        <w:rPr/>
      </w:pPr>
      <w:r>
        <w:rPr/>
        <w:t>РАСПОЛОЖЕНИЕ ПРОВОДОВ НА ОПОРАХ</w:t>
      </w:r>
    </w:p>
    <w:p>
      <w:pPr>
        <w:pStyle w:val="Normal"/>
        <w:ind w:firstLine="284"/>
        <w:jc w:val="both"/>
        <w:rPr/>
      </w:pPr>
      <w:r>
        <w:rPr/>
        <w:t xml:space="preserve">2.4.27. На опорах допускается любое расположение изолированных и неизолированных 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w:t>
      </w:r>
      <w:r>
        <w:rPr>
          <w:i/>
          <w:iCs/>
        </w:rPr>
        <w:t>PEN</w:t>
      </w:r>
      <w:r>
        <w:rPr/>
        <w:t xml:space="preserve"> (</w:t>
      </w:r>
      <w:r>
        <w:rPr>
          <w:i/>
          <w:iCs/>
        </w:rPr>
        <w:t>РЕ</w:t>
      </w:r>
      <w:r>
        <w:rPr/>
        <w:t>) проводником ВЛ.</w:t>
      </w:r>
    </w:p>
    <w:p>
      <w:pPr>
        <w:pStyle w:val="Normal"/>
        <w:ind w:firstLine="284"/>
        <w:jc w:val="both"/>
        <w:rPr/>
      </w:pPr>
      <w:r>
        <w:rPr/>
        <w:t>2.4.28. Устанавливаемые на опорах аппараты для подключения электроприемников должны размещаться на высоте не менее 1,6 м от поверхности земли.</w:t>
      </w:r>
    </w:p>
    <w:p>
      <w:pPr>
        <w:pStyle w:val="Normal"/>
        <w:ind w:firstLine="284"/>
        <w:jc w:val="both"/>
        <w:rPr/>
      </w:pPr>
      <w:r>
        <w:rPr/>
        <w:t>Устанавливаемые на опорах защитные и секционирующие устройства должны размещаться ниже проводов ВЛ.</w:t>
      </w:r>
    </w:p>
    <w:p>
      <w:pPr>
        <w:pStyle w:val="Normal"/>
        <w:ind w:firstLine="284"/>
        <w:jc w:val="both"/>
        <w:rPr/>
      </w:pPr>
      <w:r>
        <w:rPr/>
        <w:t>2.4.29. Расстояния между неизолированными проводами на опоре и в пролете по условиям их сближения в пролете при наибольшей стреле провеса до 1,2 м должны быть не менее:</w:t>
      </w:r>
    </w:p>
    <w:p>
      <w:pPr>
        <w:pStyle w:val="Normal"/>
        <w:ind w:firstLine="284"/>
        <w:jc w:val="both"/>
        <w:rPr/>
      </w:pPr>
      <w:r>
        <w:rPr/>
        <w:t>при вертикальном расположении проводов и расположении проводов с горизонтальным смещением не более 20 см: 40 см в I, II и III районах по гололеду, 60 см в IV и особом районах по гололеду;</w:t>
      </w:r>
    </w:p>
    <w:p>
      <w:pPr>
        <w:pStyle w:val="Normal"/>
        <w:ind w:firstLine="284"/>
        <w:jc w:val="both"/>
        <w:rPr/>
      </w:pPr>
      <w:r>
        <w:rPr/>
        <w:t>при других расположениях проводов во всех районах по гололеду при скорости ветра при гололеде: до 18 м/с - 40 см, более 18 м/с - 60 см.</w:t>
      </w:r>
    </w:p>
    <w:p>
      <w:pPr>
        <w:pStyle w:val="Normal"/>
        <w:ind w:firstLine="284"/>
        <w:jc w:val="both"/>
        <w:rPr/>
      </w:pPr>
      <w:r>
        <w:rP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pPr>
        <w:pStyle w:val="Normal"/>
        <w:ind w:firstLine="284"/>
        <w:jc w:val="both"/>
        <w:rPr/>
      </w:pPr>
      <w:r>
        <w:rPr/>
        <w:t>2.4.30. Расстояние по вертикали между изолированными и неизолированными проводами ВЛ разных фаз на опоре при ответвлении от ВЛ и при пересечении разных ВЛ на общей опоре должно быть не менее 10 см.</w:t>
      </w:r>
    </w:p>
    <w:p>
      <w:pPr>
        <w:pStyle w:val="Normal"/>
        <w:ind w:firstLine="284"/>
        <w:jc w:val="both"/>
        <w:rPr/>
      </w:pPr>
      <w:r>
        <w:rPr/>
        <w:t>Расстояния от проводов ВЛ до любых элементов опоры должно быть не менее 5 см.</w:t>
      </w:r>
    </w:p>
    <w:p>
      <w:pPr>
        <w:pStyle w:val="Normal"/>
        <w:ind w:firstLine="284"/>
        <w:jc w:val="both"/>
        <w:rPr/>
      </w:pPr>
      <w:r>
        <w:rPr/>
        <w:t>2.4.31. При совместной подвеске на общих опорах ВЛИ и ВЛ до 1 кВ расстояние по вертикали между ними на опоре и в пролете при температуре окружающего воздуха плюс 15 °С без ветра должно быть не менее 0,4 м.</w:t>
      </w:r>
    </w:p>
    <w:p>
      <w:pPr>
        <w:pStyle w:val="Normal"/>
        <w:ind w:firstLine="284"/>
        <w:jc w:val="both"/>
        <w:rPr/>
      </w:pPr>
      <w:r>
        <w:rPr/>
        <w:t>2.4.32. При совместной подвеске на общих опорах двух или более ВЛИ расстояние между жгутами СИП должно быть не менее 0,3 м.</w:t>
      </w:r>
    </w:p>
    <w:p>
      <w:pPr>
        <w:pStyle w:val="Normal"/>
        <w:ind w:firstLine="284"/>
        <w:jc w:val="both"/>
        <w:rPr/>
      </w:pPr>
      <w:r>
        <w:rPr/>
        <w:t>2.4.33. При совместной подвеске на общих опорах проводов ВЛ до 1 кВ и проводов ВЛ до 20 кВ расстояние по вертикали между ближайшими проводами ВЛ разных напряжений на общей опоре, а также в середине пролета при температуре окружающего воздуха плюс 15 °С без ветра должно быть не менее:</w:t>
      </w:r>
    </w:p>
    <w:p>
      <w:pPr>
        <w:pStyle w:val="Normal"/>
        <w:ind w:firstLine="284"/>
        <w:jc w:val="both"/>
        <w:rPr/>
      </w:pPr>
      <w:r>
        <w:rPr/>
        <w:t>1,0 м - при подвеске СИП с изолированным несущим и со всеми несущими проводами;</w:t>
      </w:r>
    </w:p>
    <w:p>
      <w:pPr>
        <w:pStyle w:val="Normal"/>
        <w:ind w:firstLine="284"/>
        <w:jc w:val="both"/>
        <w:rPr/>
      </w:pPr>
      <w:r>
        <w:rPr/>
        <w:t>1,75 м - при подвеске СИП с неизолированным несущим проводом;</w:t>
      </w:r>
    </w:p>
    <w:p>
      <w:pPr>
        <w:pStyle w:val="Normal"/>
        <w:ind w:firstLine="284"/>
        <w:jc w:val="both"/>
        <w:rPr/>
      </w:pPr>
      <w:r>
        <w:rPr/>
        <w:t>2,0 м - при подвеске неизолированных и изолированных проводов ВЛ до 1 кВ.</w:t>
      </w:r>
    </w:p>
    <w:p>
      <w:pPr>
        <w:pStyle w:val="Normal"/>
        <w:ind w:firstLine="284"/>
        <w:jc w:val="both"/>
        <w:rPr/>
      </w:pPr>
      <w:r>
        <w:rPr/>
        <w:t>2.4.34. При подвеске на общих опорах проводов ВЛ до 1 кВ и защищенных проводов ВЛЗ 6 - 20 кВ (см. 2.5.1) расстояние по вертикали между ближайшими проводами ВЛ до 1 кВ и ВЛЗ 6 - 20 кВ на опоре и в пролете при температуре плюс 15 °С без ветра должно быть не менее 0,3 м для СИП и 1,5 м для неизолированных и изолированных проводов ВЛ до 1 кВ.</w:t>
      </w:r>
    </w:p>
    <w:p>
      <w:pPr>
        <w:pStyle w:val="Heading3"/>
        <w:rPr/>
      </w:pPr>
      <w:r>
        <w:rPr/>
        <w:t>ИЗОЛЯЦИЯ</w:t>
      </w:r>
    </w:p>
    <w:p>
      <w:pPr>
        <w:pStyle w:val="Normal"/>
        <w:ind w:firstLine="284"/>
        <w:jc w:val="both"/>
        <w:rPr/>
      </w:pPr>
      <w:r>
        <w:rPr/>
        <w:t>2.4.35. Самонесущий изолированный провод крепится к опорам без применения изоляторов.</w:t>
      </w:r>
    </w:p>
    <w:p>
      <w:pPr>
        <w:pStyle w:val="Normal"/>
        <w:ind w:firstLine="284"/>
        <w:jc w:val="both"/>
        <w:rPr/>
      </w:pPr>
      <w:r>
        <w:rPr/>
        <w:t>2.4.36. На ВЛ с неизолированными и изолированными проводами независимо от материала опор, степени загрязнения атмосферы и интенсивности грозовой деятельности следует применять изоляторы либо траверсы из изоляционных материалов.</w:t>
      </w:r>
    </w:p>
    <w:p>
      <w:pPr>
        <w:pStyle w:val="Normal"/>
        <w:ind w:firstLine="284"/>
        <w:jc w:val="both"/>
        <w:rPr/>
      </w:pPr>
      <w:r>
        <w:rPr/>
        <w:t>Выбор и расчет изоляторов и арматуры выполняются в соответствии с 2.5.100.</w:t>
      </w:r>
    </w:p>
    <w:p>
      <w:pPr>
        <w:pStyle w:val="Normal"/>
        <w:ind w:firstLine="284"/>
        <w:jc w:val="both"/>
        <w:rPr/>
      </w:pPr>
      <w:r>
        <w:rPr/>
        <w:t>2.4.37. На опорах ответвлений от ВЛ с неизолированными и изолированными проводами следует, как правило, применять многошейковые или дополнительные изоляторы.</w:t>
      </w:r>
    </w:p>
    <w:p>
      <w:pPr>
        <w:pStyle w:val="Heading3"/>
        <w:rPr/>
      </w:pPr>
      <w:r>
        <w:rPr/>
        <w:t>ЗАЗЕМЛЕНИЕ. ЗАЩИТА ОТ ПЕРЕНАПРЯЖЕНИЙ</w:t>
      </w:r>
    </w:p>
    <w:p>
      <w:pPr>
        <w:pStyle w:val="Normal"/>
        <w:ind w:firstLine="284"/>
        <w:jc w:val="both"/>
        <w:rPr/>
      </w:pPr>
      <w:r>
        <w:rPr/>
        <w:t>2.4.38. На опорах ВЛ должны быть выполнены заземляющие устройства, предназначенные для повторного заземления, защиты от грозовых перенапряжений, заземления электрооборудования, установленного на опорах ВЛ. Сопротивление заземляющего устройства должно быть не более 30 Ом.</w:t>
      </w:r>
    </w:p>
    <w:p>
      <w:pPr>
        <w:pStyle w:val="Normal"/>
        <w:ind w:firstLine="284"/>
        <w:jc w:val="both"/>
        <w:rPr/>
      </w:pPr>
      <w:r>
        <w:rPr/>
        <w:t xml:space="preserve">2.4.39. Металлические опоры, металлические конструкции и арматура железобетонных элементов опор должны быть присоединены к </w:t>
      </w:r>
      <w:r>
        <w:rPr>
          <w:i/>
          <w:iCs/>
        </w:rPr>
        <w:t>PEN</w:t>
      </w:r>
      <w:r>
        <w:rPr/>
        <w:t>-проводнику.</w:t>
      </w:r>
    </w:p>
    <w:p>
      <w:pPr>
        <w:pStyle w:val="Normal"/>
        <w:ind w:firstLine="284"/>
        <w:jc w:val="both"/>
        <w:rPr/>
      </w:pPr>
      <w:r>
        <w:rPr/>
        <w:t xml:space="preserve">2.4.40. На железобетонных опорах </w:t>
      </w:r>
      <w:r>
        <w:rPr>
          <w:i/>
          <w:iCs/>
        </w:rPr>
        <w:t>PEN</w:t>
      </w:r>
      <w:r>
        <w:rPr/>
        <w:t>-проводник следует присоединять к арматуре железобетонных стоек и подкосов опор.</w:t>
      </w:r>
    </w:p>
    <w:p>
      <w:pPr>
        <w:pStyle w:val="Normal"/>
        <w:ind w:firstLine="284"/>
        <w:jc w:val="both"/>
        <w:rPr/>
      </w:pPr>
      <w:r>
        <w:rPr/>
        <w:t>2.4.41. Крюки и штыри деревянных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заземления и заземления для защиты от атмосферных перенапряжений.</w:t>
      </w:r>
    </w:p>
    <w:p>
      <w:pPr>
        <w:pStyle w:val="Normal"/>
        <w:ind w:firstLine="284"/>
        <w:jc w:val="both"/>
        <w:rPr/>
      </w:pPr>
      <w:r>
        <w:rPr/>
        <w:t>2.4.42.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pPr>
        <w:pStyle w:val="Normal"/>
        <w:ind w:firstLine="284"/>
        <w:jc w:val="both"/>
        <w:rPr/>
      </w:pPr>
      <w:r>
        <w:rPr/>
        <w:t xml:space="preserve">2.4.43. На деревянных опорах ВЛ при переходе в кабельную линию заземляющий проводник должен быть присоединен к </w:t>
      </w:r>
      <w:r>
        <w:rPr>
          <w:i/>
          <w:iCs/>
        </w:rPr>
        <w:t>PEN</w:t>
      </w:r>
      <w:r>
        <w:rPr/>
        <w:t>-проводнику ВЛ и к металлической оболочке кабеля.</w:t>
      </w:r>
    </w:p>
    <w:p>
      <w:pPr>
        <w:pStyle w:val="Normal"/>
        <w:ind w:firstLine="284"/>
        <w:jc w:val="both"/>
        <w:rPr/>
      </w:pPr>
      <w:r>
        <w:rPr/>
        <w:t>2.4.44. Защитные аппараты, устанавливаемые на опорах ВЛ для защиты от грозовых перенапряжений, должны быть присоединены к заземлителю отдельным спуском.</w:t>
      </w:r>
    </w:p>
    <w:p>
      <w:pPr>
        <w:pStyle w:val="Normal"/>
        <w:ind w:firstLine="284"/>
        <w:jc w:val="both"/>
        <w:rPr/>
      </w:pPr>
      <w:r>
        <w:rPr/>
        <w:t>2.4.45. Соединение заземляющих проводников между собой, присоединение их к верхним заземляющим выпускам стоек железобетонных опор, к крюкам и кронштейнам, а также к заземляемым металлоконструкциям и к заземляемому электрооборудованию, установленному на опорах ВЛ, должны выполняться сваркой или болтовыми соединениями.</w:t>
      </w:r>
    </w:p>
    <w:p>
      <w:pPr>
        <w:pStyle w:val="Normal"/>
        <w:ind w:firstLine="284"/>
        <w:jc w:val="both"/>
        <w:rPr/>
      </w:pPr>
      <w:r>
        <w:rPr/>
        <w:t>Присоединение заземляющих проводников (спусков) к заземлителю в земле также должно выполняться сваркой или иметь болтовые соединения.</w:t>
      </w:r>
    </w:p>
    <w:p>
      <w:pPr>
        <w:pStyle w:val="Normal"/>
        <w:ind w:firstLine="284"/>
        <w:jc w:val="both"/>
        <w:rPr/>
      </w:pPr>
      <w:r>
        <w:rPr/>
        <w:t>2.4.46. В населенной местности с одно- и двухэтажной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200 м для районов с числом грозовых часов в году до 40, 100 м - для районов с числом грозовых часов в году более 40.</w:t>
      </w:r>
    </w:p>
    <w:p>
      <w:pPr>
        <w:pStyle w:val="Normal"/>
        <w:ind w:firstLine="284"/>
        <w:jc w:val="both"/>
        <w:rPr/>
      </w:pPr>
      <w:r>
        <w:rPr/>
        <w:t>Кроме того, заземляющие устройства должны быть выполнены:</w:t>
      </w:r>
    </w:p>
    <w:p>
      <w:pPr>
        <w:pStyle w:val="Normal"/>
        <w:ind w:firstLine="284"/>
        <w:jc w:val="both"/>
        <w:rPr/>
      </w:pPr>
      <w:r>
        <w:rPr/>
        <w:t>1) на опорах с ответвлениями к вводам в здания, в которых может быть сосредоточено большое количество людей (школы, ясли, больницы) или которые представляют большую материальную ценность (животноводческие и птицеводческие помещения, склады);</w:t>
      </w:r>
    </w:p>
    <w:p>
      <w:pPr>
        <w:pStyle w:val="Normal"/>
        <w:ind w:firstLine="284"/>
        <w:jc w:val="both"/>
        <w:rPr/>
      </w:pPr>
      <w:r>
        <w:rPr/>
        <w:t>2) на концевых опорах линий, имеющих ответвления к вводам, при этом наибольшее расстояние от соседнего заземления этих же линий должно быть не более 100 м для районов с числом грозовых часов в году до 40 и 50 м - для районов с числом грозовых часов в году более 40.</w:t>
      </w:r>
    </w:p>
    <w:p>
      <w:pPr>
        <w:pStyle w:val="Normal"/>
        <w:ind w:firstLine="284"/>
        <w:jc w:val="both"/>
        <w:rPr/>
      </w:pPr>
      <w:r>
        <w:rPr/>
        <w:t>2.4.47. В начале и конце каждой магистрали ВЛИ на проводах рекомендуется устанавливать зажимы для присоединения приборов контроля напряжения и переносного заземления.</w:t>
      </w:r>
    </w:p>
    <w:p>
      <w:pPr>
        <w:pStyle w:val="Normal"/>
        <w:ind w:firstLine="284"/>
        <w:jc w:val="both"/>
        <w:rPr/>
      </w:pPr>
      <w:r>
        <w:rPr/>
        <w:t xml:space="preserve">Заземляющие устройства защиты от грозовых перенапряжений рекомендуется совмещать с повторным заземлением </w:t>
      </w:r>
      <w:r>
        <w:rPr>
          <w:i/>
          <w:iCs/>
        </w:rPr>
        <w:t>PEN</w:t>
      </w:r>
      <w:r>
        <w:rPr/>
        <w:t>-проводника.</w:t>
      </w:r>
    </w:p>
    <w:p>
      <w:pPr>
        <w:pStyle w:val="Normal"/>
        <w:ind w:firstLine="284"/>
        <w:jc w:val="both"/>
        <w:rPr/>
      </w:pPr>
      <w:r>
        <w:rPr/>
        <w:t>2.4.48. Требования к заземляющим устройствам повторного заземления и защитным проводникам приведены в 1.7.102, 1.7.103, 1.7.126. В качестве заземляющих проводников на опорах ВЛ допускается применять круглую сталь, имеющую антикоррозионное покрытие диаметром не менее 6 мм.</w:t>
      </w:r>
    </w:p>
    <w:p>
      <w:pPr>
        <w:pStyle w:val="Normal"/>
        <w:ind w:firstLine="284"/>
        <w:jc w:val="both"/>
        <w:rPr/>
      </w:pPr>
      <w:r>
        <w:rPr/>
        <w:t>2.4.49. Оттяжки опор ВЛ должны быть присоединены к заземляющему проводнику.</w:t>
      </w:r>
    </w:p>
    <w:p>
      <w:pPr>
        <w:pStyle w:val="Heading3"/>
        <w:rPr/>
      </w:pPr>
      <w:r>
        <w:rPr/>
        <w:t>ОПОРЫ</w:t>
      </w:r>
    </w:p>
    <w:p>
      <w:pPr>
        <w:pStyle w:val="Normal"/>
        <w:ind w:firstLine="284"/>
        <w:jc w:val="both"/>
        <w:rPr/>
      </w:pPr>
      <w:r>
        <w:rPr/>
        <w:t>2.4.50. На ВЛ могут применяться опоры из различного материала. Для ВЛ следует применять следующие типы опор:</w:t>
      </w:r>
    </w:p>
    <w:p>
      <w:pPr>
        <w:pStyle w:val="Normal"/>
        <w:ind w:firstLine="284"/>
        <w:jc w:val="both"/>
        <w:rPr/>
      </w:pPr>
      <w:r>
        <w:rPr/>
        <w:t>1) 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pPr>
        <w:pStyle w:val="Normal"/>
        <w:ind w:firstLine="284"/>
        <w:jc w:val="both"/>
        <w:rPr/>
      </w:pPr>
      <w:r>
        <w:rPr/>
        <w:t>2) анкерные, устанавливаемые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pPr>
        <w:pStyle w:val="Normal"/>
        <w:ind w:firstLine="284"/>
        <w:jc w:val="both"/>
        <w:rPr/>
      </w:pPr>
      <w:r>
        <w:rPr/>
        <w:t>3) угловые, устанавливаемые в местах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pPr>
        <w:pStyle w:val="Normal"/>
        <w:ind w:firstLine="284"/>
        <w:jc w:val="both"/>
        <w:rPr/>
      </w:pPr>
      <w:r>
        <w:rPr/>
        <w:t>4) концевые,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p>
      <w:pPr>
        <w:pStyle w:val="Normal"/>
        <w:ind w:firstLine="284"/>
        <w:jc w:val="both"/>
        <w:rPr/>
      </w:pPr>
      <w:r>
        <w:rPr/>
        <w:t>Опоры, на которых выполняются ответвления от ВЛ, называются ответвительными;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pPr>
        <w:pStyle w:val="Normal"/>
        <w:ind w:firstLine="284"/>
        <w:jc w:val="both"/>
        <w:rPr/>
      </w:pPr>
      <w:r>
        <w:rPr/>
        <w:t>2.4.51. Конструкции опор должны обеспечивать возможность установки:</w:t>
      </w:r>
    </w:p>
    <w:p>
      <w:pPr>
        <w:pStyle w:val="Normal"/>
        <w:ind w:firstLine="284"/>
        <w:jc w:val="both"/>
        <w:rPr/>
      </w:pPr>
      <w:r>
        <w:rPr/>
        <w:t>светильников уличного освещения всех типов;</w:t>
      </w:r>
    </w:p>
    <w:p>
      <w:pPr>
        <w:pStyle w:val="Normal"/>
        <w:ind w:firstLine="284"/>
        <w:jc w:val="both"/>
        <w:rPr/>
      </w:pPr>
      <w:r>
        <w:rPr/>
        <w:t>концевых кабельных муфт;</w:t>
      </w:r>
    </w:p>
    <w:p>
      <w:pPr>
        <w:pStyle w:val="Normal"/>
        <w:ind w:firstLine="284"/>
        <w:jc w:val="both"/>
        <w:rPr/>
      </w:pPr>
      <w:r>
        <w:rPr/>
        <w:t>защитных аппаратов;</w:t>
      </w:r>
    </w:p>
    <w:p>
      <w:pPr>
        <w:pStyle w:val="Normal"/>
        <w:ind w:firstLine="284"/>
        <w:jc w:val="both"/>
        <w:rPr/>
      </w:pPr>
      <w:r>
        <w:rPr/>
        <w:t>секционирующих и коммутационных аппаратов;</w:t>
      </w:r>
    </w:p>
    <w:p>
      <w:pPr>
        <w:pStyle w:val="Normal"/>
        <w:ind w:firstLine="284"/>
        <w:jc w:val="both"/>
        <w:rPr/>
      </w:pPr>
      <w:r>
        <w:rPr/>
        <w:t>шкафов и щитков для подключения электроприемников.</w:t>
      </w:r>
    </w:p>
    <w:p>
      <w:pPr>
        <w:pStyle w:val="Normal"/>
        <w:ind w:firstLine="284"/>
        <w:jc w:val="both"/>
        <w:rPr/>
      </w:pPr>
      <w:r>
        <w:rPr/>
        <w:t>2.4.52. Опоры независимо от их типа могут быть свободностоящими, с подкосами или оттяжками.</w:t>
      </w:r>
    </w:p>
    <w:p>
      <w:pPr>
        <w:pStyle w:val="Normal"/>
        <w:ind w:firstLine="284"/>
        <w:jc w:val="both"/>
        <w:rPr/>
      </w:pPr>
      <w:r>
        <w:rP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Сечение однопроволочных стальных оттяжек должно быть не менее 25 мм</w:t>
      </w:r>
      <w:r>
        <w:rPr>
          <w:vertAlign w:val="superscript"/>
        </w:rPr>
        <w:t>2</w:t>
      </w:r>
      <w:r>
        <w:rPr/>
        <w:t>.</w:t>
      </w:r>
    </w:p>
    <w:p>
      <w:pPr>
        <w:pStyle w:val="Normal"/>
        <w:ind w:firstLine="284"/>
        <w:jc w:val="both"/>
        <w:rPr/>
      </w:pPr>
      <w:r>
        <w:rPr/>
        <w:t>2.4.53. Опоры ВЛ должны рассчитываться по первому и второму предельному состоянию в нормальном режиме работы ВЛ на климатические условия по 2.4.11 и 2.4.12.</w:t>
      </w:r>
    </w:p>
    <w:p>
      <w:pPr>
        <w:pStyle w:val="Normal"/>
        <w:ind w:firstLine="284"/>
        <w:jc w:val="both"/>
        <w:rPr/>
      </w:pPr>
      <w:r>
        <w:rPr/>
        <w:t>Промежуточные опоры должны быть рассчитаны на следующие сочетания нагрузок:</w:t>
      </w:r>
    </w:p>
    <w:p>
      <w:pPr>
        <w:pStyle w:val="Normal"/>
        <w:ind w:firstLine="284"/>
        <w:jc w:val="both"/>
        <w:rPr/>
      </w:pPr>
      <w:r>
        <w:rPr/>
        <w:t>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от гололеда или частично покрытых гололедом (по 2.4.12);</w:t>
      </w:r>
    </w:p>
    <w:p>
      <w:pPr>
        <w:pStyle w:val="Normal"/>
        <w:ind w:firstLine="284"/>
        <w:jc w:val="both"/>
        <w:rPr/>
      </w:pPr>
      <w:r>
        <w:rPr/>
        <w:t>на нагрузку от тяжения проводов ответвлений к вводам, покрытых гололедом, при этом допускается учет отклонения опоры под действием нагрузки;</w:t>
      </w:r>
    </w:p>
    <w:p>
      <w:pPr>
        <w:pStyle w:val="Normal"/>
        <w:ind w:firstLine="284"/>
        <w:jc w:val="both"/>
        <w:rPr/>
      </w:pPr>
      <w:r>
        <w:rPr/>
        <w:t>на условную расчетную нагрузку, равную 1,5 кН, приложенную к вершине опоры и направленную вдоль оси ВЛ.</w:t>
      </w:r>
    </w:p>
    <w:p>
      <w:pPr>
        <w:pStyle w:val="Normal"/>
        <w:ind w:firstLine="284"/>
        <w:jc w:val="both"/>
        <w:rPr/>
      </w:pPr>
      <w:r>
        <w:rP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pPr>
        <w:pStyle w:val="Normal"/>
        <w:ind w:firstLine="284"/>
        <w:jc w:val="both"/>
        <w:rPr/>
      </w:pPr>
      <w:r>
        <w:rPr/>
        <w:t>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тяжения всех проводов.</w:t>
      </w:r>
    </w:p>
    <w:p>
      <w:pPr>
        <w:pStyle w:val="Normal"/>
        <w:ind w:firstLine="284"/>
        <w:jc w:val="both"/>
        <w:rPr/>
      </w:pPr>
      <w:r>
        <w:rPr/>
        <w:t>Концевые опоры должны быть рассчитаны на одностороннее тяжение всех проводов.</w:t>
      </w:r>
    </w:p>
    <w:p>
      <w:pPr>
        <w:pStyle w:val="Normal"/>
        <w:ind w:firstLine="284"/>
        <w:jc w:val="both"/>
        <w:rPr/>
      </w:pPr>
      <w:r>
        <w:rPr/>
        <w:t>Ответвительные опоры рассчитываются на результирующую нагрузку от тяжения всех проводов.</w:t>
      </w:r>
    </w:p>
    <w:p>
      <w:pPr>
        <w:pStyle w:val="Normal"/>
        <w:ind w:firstLine="284"/>
        <w:jc w:val="both"/>
        <w:rPr/>
      </w:pPr>
      <w:r>
        <w:rPr/>
        <w:t>2.4.54. При установке опор на затапливаемых участках трассы, где возможны размывы грунта или воздействие ледохода, опоры должны быть укреплены (подсыпка земли, замощение, устройство банкеток, установка ледорезов).</w:t>
      </w:r>
    </w:p>
    <w:p>
      <w:pPr>
        <w:pStyle w:val="Heading3"/>
        <w:rPr/>
      </w:pPr>
      <w:r>
        <w:rPr/>
        <w:t>ГАБАРИТЫ, ПЕРЕСЕЧЕНИЯ И СБЛИЖЕНИЯ</w:t>
      </w:r>
    </w:p>
    <w:p>
      <w:pPr>
        <w:pStyle w:val="Normal"/>
        <w:ind w:firstLine="284"/>
        <w:jc w:val="both"/>
        <w:rPr/>
      </w:pPr>
      <w:r>
        <w:rPr/>
        <w:t>2.4.55. Расстояние по вертикали от проводов ВЛИ до поверхности земли в населенной и ненаселенной местности до земли и проезжей части улиц должно быть не менее 5 м. Оно может быть уменьшено в труднодоступной местности до 2,5 м и в недоступной (склоны гор, скалы, утесы) - до 1 м.</w:t>
      </w:r>
    </w:p>
    <w:p>
      <w:pPr>
        <w:pStyle w:val="Normal"/>
        <w:ind w:firstLine="284"/>
        <w:jc w:val="both"/>
        <w:rPr/>
      </w:pPr>
      <w:r>
        <w:rPr/>
        <w:t>При пересечении непроезжей части улиц ответвлениями от ВЛИ к вводам в здания расстояния от СИП до тротуаров пешеходных дорожек допускается уменьшить до 3,5 м.</w:t>
      </w:r>
    </w:p>
    <w:p>
      <w:pPr>
        <w:pStyle w:val="Normal"/>
        <w:ind w:firstLine="284"/>
        <w:jc w:val="both"/>
        <w:rPr/>
      </w:pPr>
      <w:r>
        <w:rPr/>
        <w:t>Расстояние от СИП и изолированных проводов до поверхности земли на ответвлениях к вводу должно быть не менее 2,5 м.</w:t>
      </w:r>
    </w:p>
    <w:p>
      <w:pPr>
        <w:pStyle w:val="Normal"/>
        <w:ind w:firstLine="284"/>
        <w:jc w:val="both"/>
        <w:rPr/>
      </w:pPr>
      <w:r>
        <w:rPr/>
        <w:t>Расстояние от неизолированных проводов до поверхности земли на ответвлениях к вводам должно быть не менее 2,75 м.</w:t>
      </w:r>
    </w:p>
    <w:p>
      <w:pPr>
        <w:pStyle w:val="Normal"/>
        <w:ind w:firstLine="284"/>
        <w:jc w:val="both"/>
        <w:rPr/>
      </w:pPr>
      <w:r>
        <w:rPr/>
        <w:t>2.4.56. 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6 м. Расстояние от проводов до земли может быть уменьшено в труднодоступной местности до 3,5 м и в недоступной местности (склоны гор, скалы, утесы) - до 1 м.</w:t>
      </w:r>
    </w:p>
    <w:p>
      <w:pPr>
        <w:pStyle w:val="Normal"/>
        <w:ind w:firstLine="284"/>
        <w:jc w:val="both"/>
        <w:rPr/>
      </w:pPr>
      <w:r>
        <w:rPr/>
        <w:t>2.4.57. Расстояние по горизонтали от СИП при наибольшем их отклонении до элементов зданий и сооружений должно быть не менее:</w:t>
      </w:r>
    </w:p>
    <w:p>
      <w:pPr>
        <w:pStyle w:val="Normal"/>
        <w:ind w:firstLine="284"/>
        <w:jc w:val="both"/>
        <w:rPr/>
      </w:pPr>
      <w:r>
        <w:rPr/>
        <w:t>1,0 м - до балконов, террас и окон;</w:t>
      </w:r>
    </w:p>
    <w:p>
      <w:pPr>
        <w:pStyle w:val="Normal"/>
        <w:ind w:firstLine="284"/>
        <w:jc w:val="both"/>
        <w:rPr/>
      </w:pPr>
      <w:r>
        <w:rPr/>
        <w:t>0,2 м - до глухих стен зданий, сооружений.</w:t>
      </w:r>
    </w:p>
    <w:p>
      <w:pPr>
        <w:pStyle w:val="Normal"/>
        <w:ind w:firstLine="284"/>
        <w:jc w:val="both"/>
        <w:rPr/>
      </w:pPr>
      <w:r>
        <w:rPr/>
        <w:t>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 менее 2,5 м.</w:t>
      </w:r>
    </w:p>
    <w:p>
      <w:pPr>
        <w:pStyle w:val="Normal"/>
        <w:ind w:firstLine="284"/>
        <w:jc w:val="both"/>
        <w:rPr/>
      </w:pPr>
      <w:r>
        <w:rPr/>
        <w:t>2.4.58. Расстояние по горизонтали от проводов ВЛ при наибольшем их отклонении до зданий и сооружений должно быть не менее:</w:t>
      </w:r>
    </w:p>
    <w:p>
      <w:pPr>
        <w:pStyle w:val="Normal"/>
        <w:ind w:firstLine="284"/>
        <w:jc w:val="both"/>
        <w:rPr/>
      </w:pPr>
      <w:r>
        <w:rPr/>
        <w:t>1,5 м - до балконов, террас и окон;</w:t>
      </w:r>
    </w:p>
    <w:p>
      <w:pPr>
        <w:pStyle w:val="Normal"/>
        <w:ind w:firstLine="284"/>
        <w:jc w:val="both"/>
        <w:rPr/>
      </w:pPr>
      <w:r>
        <w:rPr/>
        <w:t>1,0 м - до глухих стен.</w:t>
      </w:r>
    </w:p>
    <w:p>
      <w:pPr>
        <w:pStyle w:val="Normal"/>
        <w:ind w:firstLine="284"/>
        <w:jc w:val="both"/>
        <w:rPr/>
      </w:pPr>
      <w:r>
        <w:rPr/>
        <w:t>Прохождение ВЛ с неизолированными проводами над зданиями и сооружениями не допускается.</w:t>
      </w:r>
    </w:p>
    <w:p>
      <w:pPr>
        <w:pStyle w:val="Normal"/>
        <w:ind w:firstLine="284"/>
        <w:jc w:val="both"/>
        <w:rPr/>
      </w:pPr>
      <w:r>
        <w:rPr/>
        <w:t>2.4.59. 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pPr>
        <w:pStyle w:val="Normal"/>
        <w:ind w:firstLine="284"/>
        <w:jc w:val="both"/>
        <w:rPr/>
      </w:pPr>
      <w:r>
        <w:rPr/>
        <w:t>2.4.60. При прокладке по стенам зданий и сооружениям минимальное расстояние от СИП должно быть:</w:t>
      </w:r>
    </w:p>
    <w:p>
      <w:pPr>
        <w:pStyle w:val="Normal"/>
        <w:ind w:firstLine="284"/>
        <w:jc w:val="both"/>
        <w:rPr/>
      </w:pPr>
      <w:r>
        <w:rPr/>
        <w:t>при горизонтальной прокладке над окном, входной дверью - 0,3 м;</w:t>
      </w:r>
    </w:p>
    <w:p>
      <w:pPr>
        <w:pStyle w:val="Normal"/>
        <w:ind w:firstLine="284"/>
        <w:jc w:val="both"/>
        <w:rPr/>
      </w:pPr>
      <w:r>
        <w:rPr/>
        <w:t>под балконом, окном, карнизом - 0,5 м;</w:t>
      </w:r>
    </w:p>
    <w:p>
      <w:pPr>
        <w:pStyle w:val="Normal"/>
        <w:ind w:firstLine="284"/>
        <w:jc w:val="both"/>
        <w:rPr/>
      </w:pPr>
      <w:r>
        <w:rPr/>
        <w:t>до земли - 2,5 м;</w:t>
      </w:r>
    </w:p>
    <w:p>
      <w:pPr>
        <w:pStyle w:val="Normal"/>
        <w:ind w:firstLine="284"/>
        <w:jc w:val="both"/>
        <w:rPr/>
      </w:pPr>
      <w:r>
        <w:rPr/>
        <w:t>при вертикальной прокладке до окна - 0,5 м;</w:t>
      </w:r>
    </w:p>
    <w:p>
      <w:pPr>
        <w:pStyle w:val="Normal"/>
        <w:ind w:firstLine="284"/>
        <w:jc w:val="both"/>
        <w:rPr/>
      </w:pPr>
      <w:r>
        <w:rPr/>
        <w:t>до балкона, входной двери - 1,0 м.</w:t>
      </w:r>
    </w:p>
    <w:p>
      <w:pPr>
        <w:pStyle w:val="Normal"/>
        <w:ind w:firstLine="284"/>
        <w:jc w:val="both"/>
        <w:rPr/>
      </w:pPr>
      <w:r>
        <w:rPr/>
        <w:t>Расстояние в свету между СИП и стеной здания или сооружением должно быть не менее 0,06 м.</w:t>
      </w:r>
    </w:p>
    <w:p>
      <w:pPr>
        <w:pStyle w:val="Normal"/>
        <w:ind w:firstLine="284"/>
        <w:jc w:val="both"/>
        <w:rPr/>
      </w:pPr>
      <w:r>
        <w:rPr/>
        <w:t>2.4.61. Расстояния по горизонтали от подземных частей опор или заземлителей опор до подземных кабелей, трубопроводов и наземных колонок различного назначения должны быть не менее приведенных в табл. 2.4.4.</w:t>
      </w:r>
    </w:p>
    <w:p>
      <w:pPr>
        <w:pStyle w:val="Normal"/>
        <w:spacing w:before="120" w:after="120"/>
        <w:jc w:val="right"/>
        <w:rPr/>
      </w:pPr>
      <w:r>
        <w:rPr>
          <w:spacing w:val="40"/>
        </w:rPr>
        <w:t>Таблица</w:t>
      </w:r>
      <w:r>
        <w:rPr/>
        <w:t xml:space="preserve"> 2.4.4</w:t>
      </w:r>
    </w:p>
    <w:p>
      <w:pPr>
        <w:pStyle w:val="Normal"/>
        <w:spacing w:before="0" w:after="120"/>
        <w:jc w:val="center"/>
        <w:rPr>
          <w:b/>
          <w:b/>
          <w:bCs/>
        </w:rPr>
      </w:pPr>
      <w:r>
        <w:rPr>
          <w:b/>
          <w:bCs/>
        </w:rPr>
        <w:t>Наименьшее допустимое расстояние по горизонтали от подземных частей опор или заземляющих устройств опор до подземных кабелей, трубопроводов и наземных колонок</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7805"/>
        <w:gridCol w:w="1550"/>
      </w:tblGrid>
      <w:tr>
        <w:trPr>
          <w:tblHeader w:val="true"/>
        </w:trPr>
        <w:tc>
          <w:tcPr>
            <w:tcW w:w="7805"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Объект сближения</w:t>
            </w:r>
          </w:p>
        </w:tc>
        <w:tc>
          <w:tcPr>
            <w:tcW w:w="155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м</w:t>
            </w:r>
          </w:p>
        </w:tc>
      </w:tr>
      <w:tr>
        <w:trPr/>
        <w:tc>
          <w:tcPr>
            <w:tcW w:w="7805" w:type="dxa"/>
            <w:tcBorders>
              <w:left w:val="single" w:sz="8" w:space="0" w:color="000000"/>
            </w:tcBorders>
            <w:shd w:fill="FFFFFF" w:val="clear"/>
          </w:tcPr>
          <w:p>
            <w:pPr>
              <w:pStyle w:val="Normal"/>
              <w:jc w:val="both"/>
              <w:rPr/>
            </w:pPr>
            <w:r>
              <w:rPr/>
              <w:t>Водо-, паро- и теплопроводы, распределительные газопроводы, канализационные трубы</w:t>
            </w:r>
          </w:p>
        </w:tc>
        <w:tc>
          <w:tcPr>
            <w:tcW w:w="155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w:t>
            </w:r>
          </w:p>
        </w:tc>
      </w:tr>
      <w:tr>
        <w:trPr/>
        <w:tc>
          <w:tcPr>
            <w:tcW w:w="7805" w:type="dxa"/>
            <w:tcBorders>
              <w:left w:val="single" w:sz="8" w:space="0" w:color="000000"/>
            </w:tcBorders>
            <w:shd w:fill="FFFFFF" w:val="clear"/>
          </w:tcPr>
          <w:p>
            <w:pPr>
              <w:pStyle w:val="Normal"/>
              <w:jc w:val="both"/>
              <w:rPr/>
            </w:pPr>
            <w:r>
              <w:rPr/>
              <w:t>Пожарные гидранты, колодцы, люки канализации, водоразборные колонки</w:t>
            </w:r>
          </w:p>
        </w:tc>
        <w:tc>
          <w:tcPr>
            <w:tcW w:w="155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w:t>
            </w:r>
          </w:p>
        </w:tc>
      </w:tr>
      <w:tr>
        <w:trPr/>
        <w:tc>
          <w:tcPr>
            <w:tcW w:w="7805" w:type="dxa"/>
            <w:tcBorders>
              <w:left w:val="single" w:sz="8" w:space="0" w:color="000000"/>
            </w:tcBorders>
            <w:shd w:fill="FFFFFF" w:val="clear"/>
          </w:tcPr>
          <w:p>
            <w:pPr>
              <w:pStyle w:val="Normal"/>
              <w:jc w:val="both"/>
              <w:rPr/>
            </w:pPr>
            <w:r>
              <w:rPr/>
              <w:t>Кабели (кроме кабелей связи, сигнализации и проводного вещания, см. также 2.4.77)</w:t>
            </w:r>
          </w:p>
        </w:tc>
        <w:tc>
          <w:tcPr>
            <w:tcW w:w="155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w:t>
            </w:r>
          </w:p>
        </w:tc>
      </w:tr>
      <w:tr>
        <w:trPr/>
        <w:tc>
          <w:tcPr>
            <w:tcW w:w="7805" w:type="dxa"/>
            <w:tcBorders>
              <w:left w:val="single" w:sz="8" w:space="0" w:color="000000"/>
              <w:bottom w:val="single" w:sz="8" w:space="0" w:color="000000"/>
              <w:insideH w:val="single" w:sz="8" w:space="0" w:color="000000"/>
            </w:tcBorders>
            <w:shd w:fill="FFFFFF" w:val="clear"/>
          </w:tcPr>
          <w:p>
            <w:pPr>
              <w:pStyle w:val="Normal"/>
              <w:jc w:val="both"/>
              <w:rPr/>
            </w:pPr>
            <w:r>
              <w:rPr/>
              <w:t>То же, но при прокладке их в изолирующей трубе</w:t>
            </w:r>
          </w:p>
        </w:tc>
        <w:tc>
          <w:tcPr>
            <w:tcW w:w="155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0,5</w:t>
            </w:r>
          </w:p>
        </w:tc>
      </w:tr>
    </w:tbl>
    <w:p>
      <w:pPr>
        <w:pStyle w:val="Normal"/>
        <w:spacing w:before="120" w:after="0"/>
        <w:ind w:firstLine="284"/>
        <w:jc w:val="both"/>
        <w:rPr/>
      </w:pPr>
      <w:r>
        <w:rPr/>
        <w:t>2.4.62. При пересечении ВЛ с различными сооружениями, а также с улицами и площадями населенных пунктов угол пересечения не нормируется.</w:t>
      </w:r>
    </w:p>
    <w:p>
      <w:pPr>
        <w:pStyle w:val="Normal"/>
        <w:ind w:firstLine="284"/>
        <w:jc w:val="both"/>
        <w:rPr/>
      </w:pPr>
      <w:r>
        <w:rPr/>
        <w:t>2.4.63. 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2.5.268 - 2.5.272. При пересечении несудоходных рек и каналов наименьшие расстояния от проводов ВЛ до наибольшего уровня воды должно быть не менее 2 м, а до уровня льда - не менее 6 м.</w:t>
      </w:r>
    </w:p>
    <w:p>
      <w:pPr>
        <w:pStyle w:val="Normal"/>
        <w:ind w:firstLine="284"/>
        <w:jc w:val="both"/>
        <w:rPr/>
      </w:pPr>
      <w:r>
        <w:rPr/>
        <w:t>2.4.64. Пересечения и сближения ВЛ напряжением до 1 кВ с ВЛ напряжением выше 1 кВ, а также совместная подвеска их проводов на общих опорах должны выполняться с соблюдением требований, приведенных в 2.5.220 - 2.5.230.</w:t>
      </w:r>
    </w:p>
    <w:p>
      <w:pPr>
        <w:pStyle w:val="Normal"/>
        <w:ind w:firstLine="284"/>
        <w:jc w:val="both"/>
        <w:rPr/>
      </w:pPr>
      <w:r>
        <w:rPr/>
        <w:t>2.4.65. Пересечение ВЛ (ВЛИ) до 1 кВ между собой рекомендуется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0,1 м на опоре, 1 м в пролете.</w:t>
      </w:r>
    </w:p>
    <w:p>
      <w:pPr>
        <w:pStyle w:val="Normal"/>
        <w:ind w:firstLine="284"/>
        <w:jc w:val="both"/>
        <w:rPr/>
      </w:pPr>
      <w:r>
        <w:rPr/>
        <w:t>2.4.66. В местах пересечения ВЛ до 1 кВ между собой могут применяться промежуточные опоры и опоры анкерного типа.</w:t>
      </w:r>
    </w:p>
    <w:p>
      <w:pPr>
        <w:pStyle w:val="Normal"/>
        <w:ind w:firstLine="284"/>
        <w:jc w:val="both"/>
        <w:rPr/>
      </w:pPr>
      <w:r>
        <w:rPr/>
        <w:t>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пересекаемой ВЛ при наибольшем их отклонении должно быть не менее 2 м.</w:t>
      </w:r>
    </w:p>
    <w:p>
      <w:pPr>
        <w:pStyle w:val="Normal"/>
        <w:ind w:firstLine="284"/>
        <w:jc w:val="both"/>
        <w:rPr/>
      </w:pPr>
      <w:r>
        <w:rPr/>
        <w:t>2.4.67. При параллельном прохождении и сближении ВЛ до 1 кВ и ВЛ выше 1 кВ расстояние между ними по горизонтали должно быть не менее указанных в 2.5.230.</w:t>
      </w:r>
    </w:p>
    <w:p>
      <w:pPr>
        <w:pStyle w:val="Normal"/>
        <w:ind w:firstLine="284"/>
        <w:jc w:val="both"/>
        <w:rPr/>
      </w:pPr>
      <w:r>
        <w:rPr/>
        <w:t>2.4.68. Совместная подвеска проводов ВЛ до 1 кВ и неизолированных проводов ВЛ до 20 кВ на общих опорах допускается при соблюдении следующих условий:</w:t>
      </w:r>
    </w:p>
    <w:p>
      <w:pPr>
        <w:pStyle w:val="Normal"/>
        <w:ind w:firstLine="284"/>
        <w:jc w:val="both"/>
        <w:rPr/>
      </w:pPr>
      <w:r>
        <w:rPr/>
        <w:t>1) ВЛ до 1 кВ должны выполняться по расчетным климатическим условиям ВЛ до 20 кВ;</w:t>
      </w:r>
    </w:p>
    <w:p>
      <w:pPr>
        <w:pStyle w:val="Normal"/>
        <w:ind w:firstLine="284"/>
        <w:jc w:val="both"/>
        <w:rPr/>
      </w:pPr>
      <w:r>
        <w:rPr/>
        <w:t>2) провода ВЛ до 20 кВ должны располагаться выше проводов ВЛ до 1 кВ;</w:t>
      </w:r>
    </w:p>
    <w:p>
      <w:pPr>
        <w:pStyle w:val="Normal"/>
        <w:ind w:firstLine="284"/>
        <w:jc w:val="both"/>
        <w:rPr/>
      </w:pPr>
      <w:r>
        <w:rPr/>
        <w:t>3) провода ВЛ до 20 кВ, закрепляемые на штыревых изоляторах, должны иметь двойное крепление.</w:t>
      </w:r>
    </w:p>
    <w:p>
      <w:pPr>
        <w:pStyle w:val="Normal"/>
        <w:ind w:firstLine="284"/>
        <w:jc w:val="both"/>
        <w:rPr/>
      </w:pPr>
      <w:r>
        <w:rPr/>
        <w:t>2.4.69. При подвеске на общих опорах проводов ВЛ до 1 кВ и защищенных проводов ВЛЗ 6 - 20 кВ должны соблюдаться следующие требования:</w:t>
      </w:r>
    </w:p>
    <w:p>
      <w:pPr>
        <w:pStyle w:val="Normal"/>
        <w:ind w:firstLine="284"/>
        <w:jc w:val="both"/>
        <w:rPr/>
      </w:pPr>
      <w:r>
        <w:rPr/>
        <w:t>1) ВЛ до 1 кВ должны выполняться по расчетным климатическим условиям ВЛ до 20 кВ;</w:t>
      </w:r>
    </w:p>
    <w:p>
      <w:pPr>
        <w:pStyle w:val="Normal"/>
        <w:ind w:firstLine="284"/>
        <w:jc w:val="both"/>
        <w:rPr/>
      </w:pPr>
      <w:r>
        <w:rPr/>
        <w:t>2) провода ВЛЗ 6 - 20 кВ должны располагаться, как правило, выше проводов ВЛ до 1 кВ;</w:t>
      </w:r>
    </w:p>
    <w:p>
      <w:pPr>
        <w:pStyle w:val="Normal"/>
        <w:ind w:firstLine="284"/>
        <w:jc w:val="both"/>
        <w:rPr/>
      </w:pPr>
      <w:r>
        <w:rPr/>
        <w:t>3) крепление проводов ВЛЗ 6 - 20 кВ на штыревых изоляторах должно выполняться усиленным.</w:t>
      </w:r>
    </w:p>
    <w:p>
      <w:pPr>
        <w:pStyle w:val="Normal"/>
        <w:ind w:firstLine="284"/>
        <w:jc w:val="both"/>
        <w:rPr/>
      </w:pPr>
      <w:r>
        <w:rPr/>
        <w:t>2.4.70. При пересечении ВЛ (ВЛИ) с ВЛ напряжением выше 1 кВ расстояние от проводов пересекающей ВЛ до пересекаемой ВЛ (ВЛИ) должно соответствовать требованиям, приведенным в 2.5.221 и 2.5.227.</w:t>
      </w:r>
    </w:p>
    <w:p>
      <w:pPr>
        <w:pStyle w:val="Normal"/>
        <w:ind w:firstLine="284"/>
        <w:jc w:val="both"/>
        <w:rPr/>
      </w:pPr>
      <w:r>
        <w:rPr/>
        <w:t>Сечение проводов пересекаемой ВЛ должно приниматься в соответствии с 2.5.223.</w:t>
      </w:r>
    </w:p>
    <w:p>
      <w:pPr>
        <w:pStyle w:val="Heading3"/>
        <w:rPr/>
      </w:pPr>
      <w:r>
        <w:rPr/>
        <w:t>ПЕРЕСЕЧЕНИЯ, СБЛИЖЕНИЯ, СОВМЕСТНАЯ ПОДВЕСКА ВЛ С ЛИНИЯМИ СВЯЗИ, ПРОВОДНОГО ВЕЩАНИЯ И РК</w:t>
      </w:r>
    </w:p>
    <w:p>
      <w:pPr>
        <w:pStyle w:val="Normal"/>
        <w:jc w:val="both"/>
        <w:rPr/>
      </w:pPr>
      <w:r>
        <w:rPr/>
        <w:t>2.4.71. Угол пересечения ВЛ с ЛС</w:t>
      </w:r>
      <w:r>
        <w:rPr>
          <w:vertAlign w:val="superscript"/>
        </w:rPr>
        <w:t>*</w:t>
      </w:r>
      <w:r>
        <w:rPr/>
        <w:t xml:space="preserve"> и ЛПВ должен быть по возможности близок к 90°. Для стесненных условий угол пересечения не нормируется.</w:t>
      </w:r>
    </w:p>
    <w:p>
      <w:pPr>
        <w:pStyle w:val="Normal"/>
        <w:spacing w:before="120" w:after="0"/>
        <w:ind w:firstLine="283"/>
        <w:jc w:val="both"/>
        <w:rPr/>
      </w:pPr>
      <w:r>
        <w:rPr>
          <w:vertAlign w:val="superscript"/>
        </w:rPr>
        <w:t>*</w:t>
      </w:r>
      <w:r>
        <w:rPr/>
        <w:t xml:space="preserve"> Под ЛС следует понимать линии связи Министерства связи РФ и других ведомств, а также линии сигнализации Министерства путей сообщения.</w:t>
      </w:r>
    </w:p>
    <w:p>
      <w:pPr>
        <w:pStyle w:val="Normal"/>
        <w:ind w:firstLine="283"/>
        <w:jc w:val="both"/>
        <w:rPr/>
      </w:pPr>
      <w:r>
        <w:rPr/>
        <w:t>Под ЛПВ следует понимать линии проводного вещания.</w:t>
      </w:r>
    </w:p>
    <w:p>
      <w:pPr>
        <w:pStyle w:val="Normal"/>
        <w:ind w:firstLine="283"/>
        <w:jc w:val="both"/>
        <w:rPr/>
      </w:pPr>
      <w:r>
        <w:rPr/>
        <w:t>Воздушные линии связи по своему назначению разделяются на линии междугородной телефонной связи (МТС), линии сельской телефонной связи (СТС), линии городской телефонной связи (ГТС), линии проводного вещания (ЛПВ).</w:t>
      </w:r>
    </w:p>
    <w:p>
      <w:pPr>
        <w:pStyle w:val="Normal"/>
        <w:ind w:firstLine="283"/>
        <w:jc w:val="both"/>
        <w:rPr/>
      </w:pPr>
      <w:r>
        <w:rPr/>
        <w:t>По значимости воздушные линии связи и проводного вещания подразделяются на классы:</w:t>
      </w:r>
    </w:p>
    <w:p>
      <w:pPr>
        <w:pStyle w:val="Normal"/>
        <w:ind w:firstLine="283"/>
        <w:jc w:val="both"/>
        <w:rPr/>
      </w:pPr>
      <w:r>
        <w:rP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pPr>
        <w:pStyle w:val="Normal"/>
        <w:ind w:firstLine="283"/>
        <w:jc w:val="both"/>
        <w:rPr/>
      </w:pPr>
      <w:r>
        <w:rPr/>
        <w:t>линии ГТС на классы не подразделяются;</w:t>
      </w:r>
    </w:p>
    <w:p>
      <w:pPr>
        <w:pStyle w:val="Normal"/>
        <w:ind w:firstLine="283"/>
        <w:jc w:val="both"/>
        <w:rPr/>
      </w:pPr>
      <w:r>
        <w:rPr/>
        <w:t>линии проводного вещания: фидерные линии с номинальным напряжением выше 360 В (класс I); фидерные линии с номинальным напряжением до 360 В и абонентские линии с напряжением 15 и 30 В (класс II).</w:t>
      </w:r>
    </w:p>
    <w:p>
      <w:pPr>
        <w:pStyle w:val="Normal"/>
        <w:spacing w:before="120" w:after="0"/>
        <w:ind w:firstLine="283"/>
        <w:jc w:val="both"/>
        <w:rPr/>
      </w:pPr>
      <w:r>
        <w:rPr/>
        <w:t>2.4.72. Расстояние по вертикали от проводов ВЛ до проводов или подвесных кабелей ЛС и ЛПВ в пролете пересечения при наибольшей стреле провеса провода ВЛ должно быть:</w:t>
      </w:r>
    </w:p>
    <w:p>
      <w:pPr>
        <w:pStyle w:val="Normal"/>
        <w:ind w:firstLine="283"/>
        <w:jc w:val="both"/>
        <w:rPr/>
      </w:pPr>
      <w:r>
        <w:rPr/>
        <w:t>от СИП и изолированных проводов - не менее 1 м; от неизолированных проводов - не менее 1,25 м.</w:t>
      </w:r>
    </w:p>
    <w:p>
      <w:pPr>
        <w:pStyle w:val="Normal"/>
        <w:ind w:firstLine="283"/>
        <w:jc w:val="both"/>
        <w:rPr/>
      </w:pPr>
      <w:r>
        <w:rPr/>
        <w:t>2.4.73. Расстояние по вертикали от проводов ВЛ до 1 кВ до проводов или подвесных кабелей ЛС или ЛПВ при пересечении на общей опоре должно быть:</w:t>
      </w:r>
    </w:p>
    <w:p>
      <w:pPr>
        <w:pStyle w:val="Normal"/>
        <w:ind w:firstLine="283"/>
        <w:jc w:val="both"/>
        <w:rPr/>
      </w:pPr>
      <w:r>
        <w:rPr/>
        <w:t>между СИП и ЛС или ЛПВ - не менее 0,5 м;</w:t>
      </w:r>
    </w:p>
    <w:p>
      <w:pPr>
        <w:pStyle w:val="Normal"/>
        <w:ind w:firstLine="283"/>
        <w:jc w:val="both"/>
        <w:rPr/>
      </w:pPr>
      <w:r>
        <w:rPr/>
        <w:t>между неизолированным проводом ВЛ и ЛПВ - не менее 1,5 м.</w:t>
      </w:r>
    </w:p>
    <w:p>
      <w:pPr>
        <w:pStyle w:val="Normal"/>
        <w:ind w:firstLine="283"/>
        <w:jc w:val="both"/>
        <w:rPr/>
      </w:pPr>
      <w:r>
        <w:rPr/>
        <w:t>2.4.74. Место пересечения проводов ВЛ с проводами или подвесными кабелями ЛС и ЛПВ в пролете должно находиться по возможности ближе к опоре ВЛ, но не менее 2 м от нее.</w:t>
      </w:r>
    </w:p>
    <w:p>
      <w:pPr>
        <w:pStyle w:val="Normal"/>
        <w:ind w:firstLine="283"/>
        <w:jc w:val="both"/>
        <w:rPr/>
      </w:pPr>
      <w:r>
        <w:rPr/>
        <w:t>2.4.75. Пересечение ВЛ с ЛС и ЛПВ может быть выполнено по одному из следующих вариантов:</w:t>
      </w:r>
    </w:p>
    <w:p>
      <w:pPr>
        <w:pStyle w:val="Normal"/>
        <w:ind w:firstLine="283"/>
        <w:jc w:val="both"/>
        <w:rPr/>
      </w:pPr>
      <w:r>
        <w:rPr/>
        <w:t>1) проводами ВЛ и изолированными проводами ЛС и ЛПВ;</w:t>
      </w:r>
    </w:p>
    <w:p>
      <w:pPr>
        <w:pStyle w:val="Normal"/>
        <w:ind w:firstLine="283"/>
        <w:jc w:val="both"/>
        <w:rPr/>
      </w:pPr>
      <w:r>
        <w:rPr/>
        <w:t>2) проводами ВЛ и подземным или подвесным кабелем ЛС и ЛПВ;</w:t>
      </w:r>
    </w:p>
    <w:p>
      <w:pPr>
        <w:pStyle w:val="Normal"/>
        <w:ind w:firstLine="283"/>
        <w:jc w:val="both"/>
        <w:rPr/>
      </w:pPr>
      <w:r>
        <w:rPr/>
        <w:t>3) проводами ВЛ и неизолированными проводами ЛС и ЛПВ;</w:t>
      </w:r>
    </w:p>
    <w:p>
      <w:pPr>
        <w:pStyle w:val="Normal"/>
        <w:ind w:firstLine="283"/>
        <w:jc w:val="both"/>
        <w:rPr/>
      </w:pPr>
      <w:r>
        <w:rPr/>
        <w:t>4) подземной кабельной вставкой в ВЛ с изолированными и неизолированными проводами ЛС и ЛПВ.</w:t>
      </w:r>
    </w:p>
    <w:p>
      <w:pPr>
        <w:pStyle w:val="Normal"/>
        <w:ind w:firstLine="283"/>
        <w:jc w:val="both"/>
        <w:rPr/>
      </w:pPr>
      <w:r>
        <w:rPr/>
        <w:t>2.4.76. При пересечении проводов ВЛ с изолированными проводами ЛС и ЛПВ должны соблюдаться следующие требования:</w:t>
      </w:r>
    </w:p>
    <w:p>
      <w:pPr>
        <w:pStyle w:val="Normal"/>
        <w:ind w:firstLine="283"/>
        <w:jc w:val="both"/>
        <w:rPr/>
      </w:pPr>
      <w:r>
        <w:rPr/>
        <w:t>1) пересечение ВЛИ с ЛС и ЛПВ может выполняться в пролете и на опоре;</w:t>
      </w:r>
    </w:p>
    <w:p>
      <w:pPr>
        <w:pStyle w:val="Normal"/>
        <w:ind w:firstLine="283"/>
        <w:jc w:val="both"/>
        <w:rPr/>
      </w:pPr>
      <w:r>
        <w:rPr/>
        <w:t>2) пересечение неизолированных проводов ВЛ с проводами ЛС, 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p>
    <w:p>
      <w:pPr>
        <w:pStyle w:val="Normal"/>
        <w:ind w:firstLine="283"/>
        <w:jc w:val="both"/>
        <w:rPr/>
      </w:pPr>
      <w:r>
        <w:rPr/>
        <w:t>3) 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промежуточного типа, усиленные дополнительной приставкой или подкосом;</w:t>
      </w:r>
    </w:p>
    <w:p>
      <w:pPr>
        <w:pStyle w:val="Normal"/>
        <w:ind w:firstLine="283"/>
        <w:jc w:val="both"/>
        <w:rPr/>
      </w:pPr>
      <w:r>
        <w:rPr/>
        <w:t>4) провода ВЛ должны располагаться над проводами ЛС и ЛПВ. На опорах, ограничивающих пролет пересечения, неизолированные и изолированные провода ВЛ должны иметь двойное крепление, СИП закрепляется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pPr>
        <w:pStyle w:val="Normal"/>
        <w:ind w:firstLine="283"/>
        <w:jc w:val="both"/>
        <w:rPr/>
      </w:pPr>
      <w:r>
        <w:rPr/>
        <w:t>2.4.77. При пересечении проводов ВЛ с подземным или подвесным кабелем ЛС и ЛПВ должны выполняться следующие требования:</w:t>
      </w:r>
    </w:p>
    <w:p>
      <w:pPr>
        <w:pStyle w:val="Normal"/>
        <w:ind w:firstLine="283"/>
        <w:jc w:val="both"/>
        <w:rPr/>
      </w:pPr>
      <w:r>
        <w:rPr/>
        <w:t>1) расстояние от подземной части металлической или железобетонной опоры и заземлителя деревянной опоры до подземного кабеля ЛС и ЛПВ в населенной местности должно быть, как правило, не менее 3 м. В стесненных условиях допускается уменьшение этих расстояний до 1 м (при условии допустимости мешающих влияний на ЛС и ЛПВ); при этом кабель должен быть проложен в стальной трубе или покрыт швеллером или угловой сталью по длине в обе стороны от опоры не менее 3 м.</w:t>
      </w:r>
    </w:p>
    <w:p>
      <w:pPr>
        <w:pStyle w:val="Normal"/>
        <w:ind w:firstLine="283"/>
        <w:jc w:val="both"/>
        <w:rPr/>
      </w:pPr>
      <w:r>
        <w:rPr/>
        <w:t>2) 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2.4.5;</w:t>
      </w:r>
    </w:p>
    <w:p>
      <w:pPr>
        <w:pStyle w:val="Normal"/>
        <w:spacing w:before="120" w:after="120"/>
        <w:jc w:val="right"/>
        <w:rPr/>
      </w:pPr>
      <w:r>
        <w:rPr>
          <w:spacing w:val="40"/>
        </w:rPr>
        <w:t>Таблица</w:t>
      </w:r>
      <w:r>
        <w:rPr/>
        <w:t xml:space="preserve"> 2.4.5</w:t>
      </w:r>
    </w:p>
    <w:p>
      <w:pPr>
        <w:pStyle w:val="Normal"/>
        <w:spacing w:before="0" w:after="120"/>
        <w:jc w:val="center"/>
        <w:rPr>
          <w:b/>
          <w:b/>
          <w:bCs/>
        </w:rPr>
      </w:pPr>
      <w:r>
        <w:rPr>
          <w:b/>
          <w:bCs/>
        </w:rPr>
        <w:t>Наименьшее расстояние от подземной части и заземлителя опоры ВЛ до подземного кабеля ЛС и ЛПВ в ненаселенной местности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93"/>
        <w:gridCol w:w="3372"/>
        <w:gridCol w:w="3390"/>
      </w:tblGrid>
      <w:tr>
        <w:trPr>
          <w:tblHeader w:val="true"/>
        </w:trPr>
        <w:tc>
          <w:tcPr>
            <w:tcW w:w="259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Эквивалентное удельное сопротивление земли, Ом·м</w:t>
            </w:r>
          </w:p>
        </w:tc>
        <w:tc>
          <w:tcPr>
            <w:tcW w:w="6762"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от подземного кабеля ЛС и ЛПВ</w:t>
            </w:r>
          </w:p>
        </w:tc>
      </w:tr>
      <w:tr>
        <w:trPr>
          <w:tblHeader w:val="true"/>
        </w:trPr>
        <w:tc>
          <w:tcPr>
            <w:tcW w:w="259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372"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заземлителя или подземной части железобетонной и металлической опоры</w:t>
            </w:r>
          </w:p>
        </w:tc>
        <w:tc>
          <w:tcPr>
            <w:tcW w:w="33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до подземной части деревянной опоры, не имеющей заземляющего устройства</w:t>
            </w:r>
          </w:p>
        </w:tc>
      </w:tr>
      <w:tr>
        <w:trPr/>
        <w:tc>
          <w:tcPr>
            <w:tcW w:w="2593" w:type="dxa"/>
            <w:tcBorders>
              <w:left w:val="single" w:sz="8" w:space="0" w:color="000000"/>
              <w:bottom w:val="single" w:sz="8" w:space="0" w:color="000000"/>
              <w:insideH w:val="single" w:sz="8" w:space="0" w:color="000000"/>
            </w:tcBorders>
            <w:shd w:fill="FFFFFF" w:val="clear"/>
          </w:tcPr>
          <w:p>
            <w:pPr>
              <w:pStyle w:val="Normal"/>
              <w:jc w:val="both"/>
              <w:rPr/>
            </w:pPr>
            <w:r>
              <w:rPr/>
              <w:t>До 100</w:t>
            </w:r>
          </w:p>
        </w:tc>
        <w:tc>
          <w:tcPr>
            <w:tcW w:w="33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33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2593" w:type="dxa"/>
            <w:tcBorders>
              <w:left w:val="single" w:sz="8" w:space="0" w:color="000000"/>
              <w:bottom w:val="single" w:sz="8" w:space="0" w:color="000000"/>
              <w:insideH w:val="single" w:sz="8" w:space="0" w:color="000000"/>
            </w:tcBorders>
            <w:shd w:fill="FFFFFF" w:val="clear"/>
          </w:tcPr>
          <w:p>
            <w:pPr>
              <w:pStyle w:val="Normal"/>
              <w:jc w:val="both"/>
              <w:rPr/>
            </w:pPr>
            <w:r>
              <w:rPr/>
              <w:t>Более 100 до 500</w:t>
            </w:r>
          </w:p>
        </w:tc>
        <w:tc>
          <w:tcPr>
            <w:tcW w:w="33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33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2593" w:type="dxa"/>
            <w:tcBorders>
              <w:left w:val="single" w:sz="8" w:space="0" w:color="000000"/>
              <w:bottom w:val="single" w:sz="8" w:space="0" w:color="000000"/>
              <w:insideH w:val="single" w:sz="8" w:space="0" w:color="000000"/>
            </w:tcBorders>
            <w:shd w:fill="FFFFFF" w:val="clear"/>
          </w:tcPr>
          <w:p>
            <w:pPr>
              <w:pStyle w:val="Normal"/>
              <w:jc w:val="both"/>
              <w:rPr/>
            </w:pPr>
            <w:r>
              <w:rPr/>
              <w:t>Более 500 до 1000</w:t>
            </w:r>
          </w:p>
        </w:tc>
        <w:tc>
          <w:tcPr>
            <w:tcW w:w="33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33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2593" w:type="dxa"/>
            <w:tcBorders>
              <w:left w:val="single" w:sz="8" w:space="0" w:color="000000"/>
              <w:bottom w:val="single" w:sz="8" w:space="0" w:color="000000"/>
              <w:insideH w:val="single" w:sz="8" w:space="0" w:color="000000"/>
            </w:tcBorders>
            <w:shd w:fill="FFFFFF" w:val="clear"/>
          </w:tcPr>
          <w:p>
            <w:pPr>
              <w:pStyle w:val="Normal"/>
              <w:jc w:val="both"/>
              <w:rPr/>
            </w:pPr>
            <w:r>
              <w:rPr/>
              <w:t>Более 1000</w:t>
            </w:r>
          </w:p>
        </w:tc>
        <w:tc>
          <w:tcPr>
            <w:tcW w:w="33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33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bl>
    <w:p>
      <w:pPr>
        <w:pStyle w:val="Normal"/>
        <w:spacing w:before="120" w:after="0"/>
        <w:ind w:firstLine="283"/>
        <w:jc w:val="both"/>
        <w:rPr/>
      </w:pPr>
      <w:r>
        <w:rPr/>
        <w:t>3) провода ВЛ должны располагаться, как правило, над подвесным кабелем ЛС и ЛПВ (см. также 2.4.76, п. 4);</w:t>
      </w:r>
    </w:p>
    <w:p>
      <w:pPr>
        <w:pStyle w:val="Normal"/>
        <w:ind w:firstLine="283"/>
        <w:jc w:val="both"/>
        <w:rPr/>
      </w:pPr>
      <w:r>
        <w:rPr/>
        <w:t>4) соединение проводов ВЛ в пролете пересечения с подвесным кабелем ЛС и ЛПВ не допускается. Сечение несущей жилы СИП должно быть не менее 35 мм</w:t>
      </w:r>
      <w:r>
        <w:rPr>
          <w:vertAlign w:val="superscript"/>
        </w:rPr>
        <w:t>2</w:t>
      </w:r>
      <w:r>
        <w:rPr/>
        <w:t>. Провода ВЛ должны быть многопроволочными сечением не менее: алюминиевые - 35 мм</w:t>
      </w:r>
      <w:r>
        <w:rPr>
          <w:vertAlign w:val="superscript"/>
        </w:rPr>
        <w:t>2</w:t>
      </w:r>
      <w:r>
        <w:rPr/>
        <w:t>, сталеалюминиевые - 25 мм</w:t>
      </w:r>
      <w:r>
        <w:rPr>
          <w:vertAlign w:val="superscript"/>
        </w:rPr>
        <w:t>2</w:t>
      </w:r>
      <w:r>
        <w:rPr/>
        <w:t>; сечение жилы СИП со всеми несущими проводниками жгута - не менее 25 мм</w:t>
      </w:r>
      <w:r>
        <w:rPr>
          <w:vertAlign w:val="superscript"/>
        </w:rPr>
        <w:t>2</w:t>
      </w:r>
      <w:r>
        <w:rPr/>
        <w:t>;</w:t>
      </w:r>
    </w:p>
    <w:p>
      <w:pPr>
        <w:pStyle w:val="Normal"/>
        <w:ind w:firstLine="283"/>
        <w:jc w:val="both"/>
        <w:rPr/>
      </w:pPr>
      <w:r>
        <w:rPr/>
        <w:t>5) металлическая оболочка подвесного кабеля и трос, на котором подвешен кабель, должны быть заземлены на опорах, ограничивающих пролет пересечения;</w:t>
      </w:r>
    </w:p>
    <w:p>
      <w:pPr>
        <w:pStyle w:val="Normal"/>
        <w:ind w:firstLine="283"/>
        <w:jc w:val="both"/>
        <w:rPr/>
      </w:pPr>
      <w:r>
        <w:rPr/>
        <w:t>6) 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пересечения.</w:t>
      </w:r>
    </w:p>
    <w:p>
      <w:pPr>
        <w:pStyle w:val="Normal"/>
        <w:ind w:firstLine="283"/>
        <w:jc w:val="both"/>
        <w:rPr/>
      </w:pPr>
      <w:r>
        <w:rPr/>
        <w:t>2.4.78. При пересечении ВЛИ с неизолированными проводами ЛС и ЛПВ должны соблюдаться следующие требования:</w:t>
      </w:r>
    </w:p>
    <w:p>
      <w:pPr>
        <w:pStyle w:val="Normal"/>
        <w:ind w:firstLine="283"/>
        <w:jc w:val="both"/>
        <w:rPr/>
      </w:pPr>
      <w:r>
        <w:rPr/>
        <w:t>1) пересечение ВЛИ с ЛС и ЛПВ может выполняться в пролете и на опоре;</w:t>
      </w:r>
    </w:p>
    <w:p>
      <w:pPr>
        <w:pStyle w:val="Normal"/>
        <w:ind w:firstLine="283"/>
        <w:jc w:val="both"/>
        <w:rPr/>
      </w:pPr>
      <w:r>
        <w:rPr/>
        <w:t>2) опоры ВЛИ,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ЛПВ на ВЛИ допускается применение промежуточных опор, усиленных дополнительной приставкой или подкосом;</w:t>
      </w:r>
    </w:p>
    <w:p>
      <w:pPr>
        <w:pStyle w:val="Normal"/>
        <w:ind w:firstLine="283"/>
        <w:jc w:val="both"/>
        <w:rPr/>
      </w:pPr>
      <w:r>
        <w:rPr/>
        <w:t>3) несущая жила СИП или жгута со всеми несущими проводниками на участке пересечения должна иметь коэффициент запаса прочности на растяжение при наибольших расчетных нагрузках не менее 2,5;</w:t>
      </w:r>
    </w:p>
    <w:p>
      <w:pPr>
        <w:pStyle w:val="Normal"/>
        <w:ind w:firstLine="283"/>
        <w:jc w:val="both"/>
        <w:rPr/>
      </w:pPr>
      <w:r>
        <w:rPr/>
        <w:t>4) провода ВЛИ должны располагаться над проводами ЛС и ЛПВ. На опорах, ограничивающих пролет пересечения, несущие провода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pPr>
        <w:pStyle w:val="Normal"/>
        <w:ind w:firstLine="283"/>
        <w:jc w:val="both"/>
        <w:rPr/>
      </w:pPr>
      <w:r>
        <w:rPr/>
        <w:t>5) соединение несущей жилы и несущих проводников жгута СИП, а также проводов ЛС и ЛПВ в пролетах пересечения не допускается.</w:t>
      </w:r>
    </w:p>
    <w:p>
      <w:pPr>
        <w:pStyle w:val="Normal"/>
        <w:ind w:firstLine="283"/>
        <w:jc w:val="both"/>
        <w:rPr/>
      </w:pPr>
      <w:r>
        <w:rPr/>
        <w:t>2.4.79. При пересечении изолированных и неизолированных проводов ВЛ с неизолированными проводами ЛС и ЛПВ должны соблюдаться следующие требования:</w:t>
      </w:r>
    </w:p>
    <w:p>
      <w:pPr>
        <w:pStyle w:val="Normal"/>
        <w:ind w:firstLine="283"/>
        <w:jc w:val="both"/>
        <w:rPr/>
      </w:pPr>
      <w:r>
        <w:rPr/>
        <w:t>1) пересечение проводов ВЛ с проводами ЛС, а также проводами ЛПВ напряжением выше 360 В должно выполняться только в пролете.</w:t>
      </w:r>
    </w:p>
    <w:p>
      <w:pPr>
        <w:pStyle w:val="Normal"/>
        <w:ind w:firstLine="283"/>
        <w:jc w:val="both"/>
        <w:rPr/>
      </w:pPr>
      <w:r>
        <w:rPr/>
        <w:t>Пересечение проводов ВЛ с абонентскими и фидерными линиями ЛПВ напряжением до 360 В допускается выполнять на опорах ВЛ;</w:t>
      </w:r>
    </w:p>
    <w:p>
      <w:pPr>
        <w:pStyle w:val="Normal"/>
        <w:ind w:firstLine="283"/>
        <w:jc w:val="both"/>
        <w:rPr/>
      </w:pPr>
      <w:r>
        <w:rPr/>
        <w:t>2) опоры ВЛ, ограничивающие пролет пересечения, должны быть анкерного типа;</w:t>
      </w:r>
    </w:p>
    <w:p>
      <w:pPr>
        <w:pStyle w:val="Normal"/>
        <w:ind w:firstLine="283"/>
        <w:jc w:val="both"/>
        <w:rPr/>
      </w:pPr>
      <w:r>
        <w:rPr/>
        <w:t>3) провода ЛС, как стальные, так и из цветного металла, должны иметь коэффициент запаса прочности на растяжение при наибольших расчетных нагрузках не менее 2,2;</w:t>
      </w:r>
    </w:p>
    <w:p>
      <w:pPr>
        <w:pStyle w:val="Normal"/>
        <w:ind w:firstLine="283"/>
        <w:jc w:val="both"/>
        <w:rPr/>
      </w:pPr>
      <w:r>
        <w:rPr/>
        <w:t>4) провода ВЛ должны располагаться над проводами ЛС и ЛПВ.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двойное крепление;</w:t>
      </w:r>
    </w:p>
    <w:p>
      <w:pPr>
        <w:pStyle w:val="Normal"/>
        <w:ind w:firstLine="283"/>
        <w:jc w:val="both"/>
        <w:rPr/>
      </w:pPr>
      <w:r>
        <w:rPr/>
        <w:t>5) соединение проводов ВЛ, а также проводов ЛС и ЛПВ в пролетах пересечения не допускается. Провода ВЛ должны быть многопроволочными с сечениями не менее: алюминиевые - 35 мм</w:t>
      </w:r>
      <w:r>
        <w:rPr>
          <w:vertAlign w:val="superscript"/>
        </w:rPr>
        <w:t>2</w:t>
      </w:r>
      <w:r>
        <w:rPr/>
        <w:t>, сталеалюминиевые - 25 мм</w:t>
      </w:r>
      <w:r>
        <w:rPr>
          <w:vertAlign w:val="superscript"/>
        </w:rPr>
        <w:t>2</w:t>
      </w:r>
      <w:r>
        <w:rPr/>
        <w:t>.</w:t>
      </w:r>
    </w:p>
    <w:p>
      <w:pPr>
        <w:pStyle w:val="Normal"/>
        <w:ind w:firstLine="283"/>
        <w:jc w:val="both"/>
        <w:rPr/>
      </w:pPr>
      <w:r>
        <w:rPr/>
        <w:t>2.4.80. При пересечении подземной кабельной вставки в ВЛ с неизолированными и изолированными проводами ЛС и ЛПВ должны соблюдаться следующие требования:</w:t>
      </w:r>
    </w:p>
    <w:p>
      <w:pPr>
        <w:pStyle w:val="Normal"/>
        <w:ind w:firstLine="283"/>
        <w:jc w:val="both"/>
        <w:rPr/>
      </w:pPr>
      <w:r>
        <w:rPr/>
        <w:t>1) расстояние от подземной кабельной вставки в ВЛ до опоры ЛС и ЛПВ и ее заземлителя должно быть не менее 1 м, а при прокладке кабеля в изолирующей трубе - не менее 0,5 м;</w:t>
      </w:r>
    </w:p>
    <w:p>
      <w:pPr>
        <w:pStyle w:val="Normal"/>
        <w:ind w:firstLine="283"/>
        <w:jc w:val="both"/>
        <w:rPr/>
      </w:pPr>
      <w:r>
        <w:rPr/>
        <w:t>2) 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pPr>
        <w:pStyle w:val="Normal"/>
        <w:ind w:firstLine="283"/>
        <w:jc w:val="both"/>
        <w:rPr/>
      </w:pPr>
      <w:r>
        <w:rPr/>
        <w:t>2.4.81. Расстояние по горизонтали между проводами ВЛИ и проводами ЛС и ЛПВ при параллельном прохождении или сближении должно быть не менее 1 м.</w:t>
      </w:r>
    </w:p>
    <w:p>
      <w:pPr>
        <w:pStyle w:val="Normal"/>
        <w:ind w:firstLine="283"/>
        <w:jc w:val="both"/>
        <w:rPr/>
      </w:pPr>
      <w:r>
        <w:rPr/>
        <w:t>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2 м. В стесненных условиях это расстояние допускается уменьшить до 1,5 м. Во всех остальных случаях расстояние между линиями должно быть не менее высоты наиболее высокой опоры ВЛ, ЛС и ЛПВ.</w:t>
      </w:r>
    </w:p>
    <w:p>
      <w:pPr>
        <w:pStyle w:val="Normal"/>
        <w:ind w:firstLine="283"/>
        <w:jc w:val="both"/>
        <w:rPr/>
      </w:pPr>
      <w:r>
        <w:rPr/>
        <w:t>При сближении ВЛ с подземными или подвесными кабелями ЛС и ЛПВ расстояния между ними должны приниматься в соответствии с 2.4.77 пп. 1 и 5.</w:t>
      </w:r>
    </w:p>
    <w:p>
      <w:pPr>
        <w:pStyle w:val="Normal"/>
        <w:ind w:firstLine="283"/>
        <w:jc w:val="both"/>
        <w:rPr/>
      </w:pPr>
      <w:r>
        <w:rPr/>
        <w:t>2.4.82. 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pPr>
        <w:pStyle w:val="Normal"/>
        <w:ind w:firstLine="283"/>
        <w:jc w:val="both"/>
        <w:rPr/>
      </w:pPr>
      <w:r>
        <w:rPr/>
        <w:t>2.4.83. Провода от 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радиоантенн на вводах должно быть не менее 0,5 м для СИП и 1,5 м для неизолированных проводов ВЛ.</w:t>
      </w:r>
    </w:p>
    <w:p>
      <w:pPr>
        <w:pStyle w:val="Normal"/>
        <w:ind w:firstLine="283"/>
        <w:jc w:val="both"/>
        <w:rPr/>
      </w:pPr>
      <w:r>
        <w:rPr/>
        <w:t>2.4.84. Совместная подвеска подвесного кабеля сельской телефонной связи и ВЛИ допускается при выполнении следующих требований:</w:t>
      </w:r>
    </w:p>
    <w:p>
      <w:pPr>
        <w:pStyle w:val="Normal"/>
        <w:ind w:firstLine="283"/>
        <w:jc w:val="both"/>
        <w:rPr/>
      </w:pPr>
      <w:r>
        <w:rPr/>
        <w:t>1) нулевая жила СИП должна быть изолированной;</w:t>
      </w:r>
    </w:p>
    <w:p>
      <w:pPr>
        <w:pStyle w:val="Normal"/>
        <w:ind w:firstLine="283"/>
        <w:jc w:val="both"/>
        <w:rPr/>
      </w:pPr>
      <w:r>
        <w:rPr/>
        <w:t>2) расстояние от СИП до подвесного кабеля СТС в пролете и на опоре ВЛИ должно быть не менее 0,5 м;</w:t>
      </w:r>
    </w:p>
    <w:p>
      <w:pPr>
        <w:pStyle w:val="Normal"/>
        <w:ind w:firstLine="283"/>
        <w:jc w:val="both"/>
        <w:rPr/>
      </w:pPr>
      <w:r>
        <w:rPr/>
        <w:t>3) каждая опора ВЛИ должна иметь заземляющее устройство, при этом сопротивление заземления должно быть не более 10 Ом;</w:t>
      </w:r>
    </w:p>
    <w:p>
      <w:pPr>
        <w:pStyle w:val="Normal"/>
        <w:ind w:firstLine="283"/>
        <w:jc w:val="both"/>
        <w:rPr/>
      </w:pPr>
      <w:r>
        <w:rPr/>
        <w:t xml:space="preserve">4) на каждой опоре ВЛИ должно быть выполнено повторное заземление </w:t>
      </w:r>
      <w:r>
        <w:rPr>
          <w:i/>
          <w:iCs/>
        </w:rPr>
        <w:t>PEN</w:t>
      </w:r>
      <w:r>
        <w:rPr/>
        <w:t>-проводника;</w:t>
      </w:r>
    </w:p>
    <w:p>
      <w:pPr>
        <w:pStyle w:val="Normal"/>
        <w:ind w:firstLine="283"/>
        <w:jc w:val="both"/>
        <w:rPr/>
      </w:pPr>
      <w:r>
        <w:rPr/>
        <w:t>5) 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pPr>
        <w:pStyle w:val="Normal"/>
        <w:ind w:firstLine="283"/>
        <w:jc w:val="both"/>
        <w:rPr/>
      </w:pPr>
      <w:r>
        <w:rPr/>
        <w:t>2.4.85. Совместная подвеска на общих опорах неизолированных проводов ВЛ, ЛС и ЛПВ не допускается.</w:t>
      </w:r>
    </w:p>
    <w:p>
      <w:pPr>
        <w:pStyle w:val="Normal"/>
        <w:ind w:firstLine="283"/>
        <w:jc w:val="both"/>
        <w:rPr/>
      </w:pPr>
      <w:r>
        <w:rP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pPr>
        <w:pStyle w:val="Normal"/>
        <w:ind w:firstLine="283"/>
        <w:jc w:val="both"/>
        <w:rPr/>
      </w:pPr>
      <w:r>
        <w:rPr/>
        <w:t>1) номинальное напряжение ВЛ должно быть не более 380 В;</w:t>
      </w:r>
    </w:p>
    <w:p>
      <w:pPr>
        <w:pStyle w:val="Normal"/>
        <w:ind w:firstLine="283"/>
        <w:jc w:val="both"/>
        <w:rPr/>
      </w:pPr>
      <w:r>
        <w:rPr/>
        <w:t>2) номинальное напряжение ЛПВ должно быть не более 360 В;</w:t>
      </w:r>
    </w:p>
    <w:p>
      <w:pPr>
        <w:pStyle w:val="Normal"/>
        <w:ind w:firstLine="283"/>
        <w:jc w:val="both"/>
        <w:rPr/>
      </w:pPr>
      <w:r>
        <w:rPr/>
        <w:t>3) расстояние от нижних проводов ЛПВ до земли, между цепями ЛПВ и их проводами должно соответствовать требованиям действующих правил Минсвязи России;</w:t>
      </w:r>
    </w:p>
    <w:p>
      <w:pPr>
        <w:pStyle w:val="Normal"/>
        <w:ind w:firstLine="283"/>
        <w:jc w:val="both"/>
        <w:rPr/>
      </w:pPr>
      <w:r>
        <w:rPr/>
        <w:t>4) неизолированные провода ВЛ должны располагаться над проводами ЛПВ; при этом расстояние по вертикали от нижнего провода ВЛ до верхнего провода ЛПВ должно быть на опоре не менее 1,5 м, а в пролете - не менее 1,25 м; при расположении проводов ЛПВ на кронштейнах это расстояние принимается от нижнего провода ВЛ, расположенного на той же стороне, что и провода ЛПВ.</w:t>
      </w:r>
    </w:p>
    <w:p>
      <w:pPr>
        <w:pStyle w:val="Normal"/>
        <w:ind w:firstLine="283"/>
        <w:jc w:val="both"/>
        <w:rPr/>
      </w:pPr>
      <w:r>
        <w:rPr/>
        <w:t>2.4.86. 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p>
    <w:p>
      <w:pPr>
        <w:pStyle w:val="Normal"/>
        <w:ind w:firstLine="283"/>
        <w:jc w:val="both"/>
        <w:rPr/>
      </w:pPr>
      <w:r>
        <w:rPr/>
        <w:t>1) номинальное напряжение ВЛИ должно быть не более 380 В;</w:t>
      </w:r>
    </w:p>
    <w:p>
      <w:pPr>
        <w:pStyle w:val="Normal"/>
        <w:ind w:firstLine="283"/>
        <w:jc w:val="both"/>
        <w:rPr/>
      </w:pPr>
      <w:r>
        <w:rPr/>
        <w:t>2) номинальное напряжение ЛПВ должно быть не более 360 В;</w:t>
      </w:r>
    </w:p>
    <w:p>
      <w:pPr>
        <w:pStyle w:val="Normal"/>
        <w:ind w:firstLine="283"/>
        <w:jc w:val="both"/>
        <w:rPr/>
      </w:pPr>
      <w:r>
        <w:rPr/>
        <w:t>3) 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требованиям действующих правил Минсвязи России;</w:t>
      </w:r>
    </w:p>
    <w:p>
      <w:pPr>
        <w:pStyle w:val="Normal"/>
        <w:ind w:firstLine="283"/>
        <w:jc w:val="both"/>
        <w:rPr/>
      </w:pPr>
      <w:r>
        <w:rPr/>
        <w:t>4) 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0,5 м на опоре и в пролете. Провода ВЛИ и ЛС и ЛПВ рекомендуется располагать по разным сторонам опоры.</w:t>
      </w:r>
    </w:p>
    <w:p>
      <w:pPr>
        <w:pStyle w:val="Normal"/>
        <w:ind w:firstLine="283"/>
        <w:jc w:val="both"/>
        <w:rPr/>
      </w:pPr>
      <w:r>
        <w:rPr/>
        <w:t>2.4.87. 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В и кабелей ЛПВ допускается при соблюдении условий, оговоренных в 2.4.85.</w:t>
      </w:r>
    </w:p>
    <w:p>
      <w:pPr>
        <w:pStyle w:val="Normal"/>
        <w:ind w:firstLine="283"/>
        <w:jc w:val="both"/>
        <w:rPr/>
      </w:pPr>
      <w:r>
        <w:rPr/>
        <w:t>Оптические волокна ОКНН должны удовлетворять требованиям 2.5.192 и 2.5.193.</w:t>
      </w:r>
    </w:p>
    <w:p>
      <w:pPr>
        <w:pStyle w:val="Normal"/>
        <w:ind w:firstLine="283"/>
        <w:jc w:val="both"/>
        <w:rPr/>
      </w:pPr>
      <w:r>
        <w:rPr/>
        <w:t>2.4.88. Совместная подвеска на общих опорах проводов ВЛ напряжением не более 380 В и проводов телемеханики допускается при соблюдении требований, приведенных в 2.4.85 и 2.4.86, а также если цепи телемеханики не используются как каналы проводной телефонной связи.</w:t>
      </w:r>
    </w:p>
    <w:p>
      <w:pPr>
        <w:pStyle w:val="Normal"/>
        <w:ind w:firstLine="283"/>
        <w:jc w:val="both"/>
        <w:rPr/>
      </w:pPr>
      <w:r>
        <w:rPr/>
        <w:t>2.4.89. На опорах ВЛ (ВЛИ) допускается подвеска волоконно-оптических кабелей связи (ОК):</w:t>
      </w:r>
    </w:p>
    <w:p>
      <w:pPr>
        <w:pStyle w:val="Normal"/>
        <w:ind w:firstLine="283"/>
        <w:jc w:val="both"/>
        <w:rPr/>
      </w:pPr>
      <w:r>
        <w:rPr/>
        <w:t>неметаллических самонесущих (ОКСН);</w:t>
      </w:r>
    </w:p>
    <w:p>
      <w:pPr>
        <w:pStyle w:val="Normal"/>
        <w:ind w:firstLine="283"/>
        <w:jc w:val="both"/>
        <w:rPr/>
      </w:pPr>
      <w:r>
        <w:rPr/>
        <w:t>неметаллических, навиваемых на фазный провод или жгут СИП (ОКНН).</w:t>
      </w:r>
    </w:p>
    <w:p>
      <w:pPr>
        <w:pStyle w:val="Normal"/>
        <w:ind w:firstLine="283"/>
        <w:jc w:val="both"/>
        <w:rPr/>
      </w:pPr>
      <w:r>
        <w:rPr/>
        <w:t>Механические расчеты опор ВЛ (ВЛИ) с ОКСН и ОКНН должны производиться для исходных условий, указанных в 2.4.11 и 2.4.12.</w:t>
      </w:r>
    </w:p>
    <w:p>
      <w:pPr>
        <w:pStyle w:val="Normal"/>
        <w:ind w:firstLine="283"/>
        <w:jc w:val="both"/>
        <w:rPr/>
      </w:pPr>
      <w:r>
        <w:rPr/>
        <w:t>Опоры ВЛ, на которых подвешивают ОК, и их закрепления в грунте должны быть рассчитаны с учетом дополнительных нагрузок, возникающих при этом.</w:t>
      </w:r>
    </w:p>
    <w:p>
      <w:pPr>
        <w:pStyle w:val="Normal"/>
        <w:ind w:firstLine="283"/>
        <w:jc w:val="both"/>
        <w:rPr/>
      </w:pPr>
      <w:r>
        <w:rPr/>
        <w:t>Расстояние от ОКСН до поверхности земли в населенной и ненаселенной местностях должно быть не менее 5 м.</w:t>
      </w:r>
    </w:p>
    <w:p>
      <w:pPr>
        <w:pStyle w:val="Normal"/>
        <w:ind w:firstLine="283"/>
        <w:jc w:val="both"/>
        <w:rPr/>
      </w:pPr>
      <w:r>
        <w:rPr/>
        <w:t>Расстояния между проводами ВЛ до 1 кВ и ОКСН на опоре и в пролете должны быть не менее 0,4 м.</w:t>
      </w:r>
    </w:p>
    <w:p>
      <w:pPr>
        <w:pStyle w:val="Heading3"/>
        <w:rPr/>
      </w:pPr>
      <w:r>
        <w:rPr/>
        <w:t>ПЕРЕСЕЧЕНИЯ И СБЛИЖЕНИЯ ВЛ С ИНЖЕНЕРНЫМИ СООРУЖЕНИЯМИ</w:t>
      </w:r>
    </w:p>
    <w:p>
      <w:pPr>
        <w:pStyle w:val="Normal"/>
        <w:ind w:firstLine="284"/>
        <w:jc w:val="both"/>
        <w:rPr/>
      </w:pPr>
      <w:r>
        <w:rPr/>
        <w:t>2.4.90. При пересечении и параллельном следовании ВЛ с железными и автомобильными дорогами должны выполняться требования, изложенные в гл. 2.5.</w:t>
      </w:r>
    </w:p>
    <w:p>
      <w:pPr>
        <w:pStyle w:val="Normal"/>
        <w:ind w:firstLine="284"/>
        <w:jc w:val="both"/>
        <w:rPr/>
      </w:pPr>
      <w:r>
        <w:rPr/>
        <w:t>Пересечения могут выполняться также при помощи кабельной вставки в ВЛ.</w:t>
      </w:r>
    </w:p>
    <w:p>
      <w:pPr>
        <w:pStyle w:val="Normal"/>
        <w:ind w:firstLine="284"/>
        <w:jc w:val="both"/>
        <w:rPr/>
      </w:pPr>
      <w:r>
        <w:rPr/>
        <w:t>2.4.91. При сближении ВЛ с автомобильными дорогами расстояние от проводов ВЛ до дорожных знаков и их несущих тросов должно быть не менее 1 м. Несущие тросы должны быть заземлены с сопротивлением заземляющего устройства не более 10 Ом.</w:t>
      </w:r>
    </w:p>
    <w:p>
      <w:pPr>
        <w:pStyle w:val="Normal"/>
        <w:ind w:firstLine="284"/>
        <w:jc w:val="both"/>
        <w:rPr/>
      </w:pPr>
      <w:r>
        <w:rPr/>
        <w:t>2.4.92.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pPr>
        <w:pStyle w:val="Normal"/>
        <w:ind w:firstLine="284"/>
        <w:jc w:val="both"/>
        <w:rPr/>
      </w:pPr>
      <w:r>
        <w:rPr/>
        <w:t>1) ВЛ должны, как правило, располагаться вне зоны, занятой сооружениями контактных сетей, включая опоры.</w:t>
      </w:r>
    </w:p>
    <w:p>
      <w:pPr>
        <w:pStyle w:val="Normal"/>
        <w:ind w:firstLine="284"/>
        <w:jc w:val="both"/>
        <w:rPr/>
      </w:pPr>
      <w:r>
        <w:rPr/>
        <w:t>В этой зоне опоры ВЛ должны быть анкерного типа, а неизолированные провода иметь двойное крепление;</w:t>
      </w:r>
    </w:p>
    <w:p>
      <w:pPr>
        <w:pStyle w:val="Normal"/>
        <w:ind w:firstLine="284"/>
        <w:jc w:val="both"/>
        <w:rPr/>
      </w:pPr>
      <w:r>
        <w:rP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vertAlign w:val="superscript"/>
        </w:rPr>
        <w:t>2</w:t>
      </w:r>
      <w:r>
        <w:rPr/>
        <w:t>, сталеалюминиевые - 25 мм</w:t>
      </w:r>
      <w:r>
        <w:rPr>
          <w:vertAlign w:val="superscript"/>
        </w:rPr>
        <w:t>2</w:t>
      </w:r>
      <w:r>
        <w:rPr/>
        <w:t>, несущая жила СИП - 35 мм</w:t>
      </w:r>
      <w:r>
        <w:rPr>
          <w:vertAlign w:val="superscript"/>
        </w:rPr>
        <w:t>2</w:t>
      </w:r>
      <w:r>
        <w:rPr/>
        <w:t>, сечение жилы СИП со всеми несущими проводниками жгута - не менее 25 мм</w:t>
      </w:r>
      <w:r>
        <w:rPr>
          <w:vertAlign w:val="superscript"/>
        </w:rPr>
        <w:t>2</w:t>
      </w:r>
      <w:r>
        <w:rPr/>
        <w:t>. Соединение проводов ВЛ в пролетах пересечения не допускается;</w:t>
      </w:r>
    </w:p>
    <w:p>
      <w:pPr>
        <w:pStyle w:val="Normal"/>
        <w:ind w:firstLine="284"/>
        <w:jc w:val="both"/>
        <w:rPr/>
      </w:pPr>
      <w:r>
        <w:rPr/>
        <w:t>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троллейбусной линии.</w:t>
      </w:r>
    </w:p>
    <w:p>
      <w:pPr>
        <w:pStyle w:val="Normal"/>
        <w:ind w:firstLine="284"/>
        <w:jc w:val="both"/>
        <w:rPr/>
      </w:pPr>
      <w:r>
        <w:rPr/>
        <w:t>При этом во всех случаях расстояние от проводов ВЛ до несущего троса или контактного провода должно быть не менее 1,5 м;</w:t>
      </w:r>
    </w:p>
    <w:p>
      <w:pPr>
        <w:pStyle w:val="Normal"/>
        <w:ind w:firstLine="284"/>
        <w:jc w:val="both"/>
        <w:rPr/>
      </w:pPr>
      <w:r>
        <w:rPr/>
        <w:t>4) пересечение ВЛ с контактными проводами в местах расположения поперечин запрещается;</w:t>
      </w:r>
    </w:p>
    <w:p>
      <w:pPr>
        <w:pStyle w:val="Normal"/>
        <w:ind w:firstLine="284"/>
        <w:jc w:val="both"/>
        <w:rPr/>
      </w:pPr>
      <w:r>
        <w:rPr/>
        <w:t>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p>
      <w:pPr>
        <w:pStyle w:val="Normal"/>
        <w:ind w:firstLine="284"/>
        <w:jc w:val="both"/>
        <w:rPr/>
      </w:pPr>
      <w:r>
        <w:rPr/>
        <w:t>2.4.93. При пересечении и сближении ВЛ с канатными дорогами и надземными металлическими трубопроводами должны выполняться следующие требования:</w:t>
      </w:r>
    </w:p>
    <w:p>
      <w:pPr>
        <w:pStyle w:val="Normal"/>
        <w:ind w:firstLine="284"/>
        <w:jc w:val="both"/>
        <w:rPr/>
      </w:pPr>
      <w:r>
        <w:rPr/>
        <w:t>1) ВЛ должна проходить под канатной дорогой; прохождение ВЛ над канатной дорогой не допускается;</w:t>
      </w:r>
    </w:p>
    <w:p>
      <w:pPr>
        <w:pStyle w:val="Normal"/>
        <w:ind w:firstLine="284"/>
        <w:jc w:val="both"/>
        <w:rPr/>
      </w:pPr>
      <w:r>
        <w:rPr/>
        <w:t>2) канатные дороги должны иметь снизу мостки или сетки для ограждения проводов ВЛ;</w:t>
      </w:r>
    </w:p>
    <w:p>
      <w:pPr>
        <w:pStyle w:val="Normal"/>
        <w:ind w:firstLine="284"/>
        <w:jc w:val="both"/>
        <w:rPr/>
      </w:pPr>
      <w:r>
        <w:rPr/>
        <w:t>3) при прохождении ВЛ под канатной дорогой или под трубопроводом провода ВЛ должны находиться от них на расстоянии: не менее 1 м - при наименьшей стреле провеса проводов до мостков или ограждающих сеток канатной дороги или до трубопровода; не менее 1 м - при наибольшей стреле провеса и наибольшем отклонении проводов до элементов канатной дороги или до трубопровода;</w:t>
      </w:r>
    </w:p>
    <w:p>
      <w:pPr>
        <w:pStyle w:val="Normal"/>
        <w:ind w:firstLine="284"/>
        <w:jc w:val="both"/>
        <w:rPr/>
      </w:pPr>
      <w:r>
        <w:rPr/>
        <w:t>4) при пересечении ВЛ с трубопроводом расстояние от проводов ВЛ при их наибольшей стреле провеса до элементов трубопровода должно быть не менее 1 м. Опоры ВЛ, ограничивающие пролет пересечения с трубопроводом, должны быть анкерного типа. Трубопровод в пролете пересечения должен быть заземлен, сопротивление заземлителя - не более 10 Ом;</w:t>
      </w:r>
    </w:p>
    <w:p>
      <w:pPr>
        <w:pStyle w:val="Normal"/>
        <w:ind w:firstLine="284"/>
        <w:jc w:val="both"/>
        <w:rPr/>
      </w:pPr>
      <w:r>
        <w:rPr/>
        <w:t>5) 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 не менее 1 м.</w:t>
      </w:r>
    </w:p>
    <w:p>
      <w:pPr>
        <w:pStyle w:val="Normal"/>
        <w:ind w:firstLine="284"/>
        <w:jc w:val="both"/>
        <w:rPr/>
      </w:pPr>
      <w:r>
        <w:rPr/>
        <w:t>2.4.94. При сближении ВЛ с пожаро- и взрывоопасными установками и с аэродромами следует руководствоваться требованиями, приведенными в 2.5.278, 2.5.291 и 2.5.292.</w:t>
      </w:r>
    </w:p>
    <w:p>
      <w:pPr>
        <w:pStyle w:val="Normal"/>
        <w:ind w:firstLine="284"/>
        <w:jc w:val="both"/>
        <w:rPr/>
      </w:pPr>
      <w:r>
        <w:rPr/>
        <w:t>2.4.95. Прохождение ВЛ до 1 кВ с изолированными и 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площадок, а также по территориям детских оздоровительных лагерей.</w:t>
      </w:r>
    </w:p>
    <w:p>
      <w:pPr>
        <w:pStyle w:val="Normal"/>
        <w:ind w:firstLine="284"/>
        <w:jc w:val="both"/>
        <w:rPr/>
      </w:pPr>
      <w:r>
        <w:rPr/>
        <w:t>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ее проводимость Должна быть не менее проводимости фазной жилы СИП.</w:t>
      </w:r>
    </w:p>
    <w:p>
      <w:pPr>
        <w:pStyle w:val="Heading2"/>
        <w:rPr/>
      </w:pPr>
      <w:bookmarkStart w:id="12" w:name="_%D0%93%D0%9B%D0%90%D0%92%D0%90_2.5_%D0%"/>
      <w:bookmarkEnd w:id="12"/>
      <w:r>
        <w:rPr/>
        <w:t>ГЛАВА 2.5 ВОЗДУШНЫЕ ЛИНИИ ЭЛЕКТРОПЕРЕДАЧИ НАПРЯЖЕНИЕМ ВЫШЕ 1 КВ</w:t>
      </w:r>
    </w:p>
    <w:p>
      <w:pPr>
        <w:pStyle w:val="Normal"/>
        <w:jc w:val="right"/>
        <w:rPr/>
      </w:pPr>
      <w:r>
        <w:rPr/>
        <w:t>УТВЕРЖДЕНО</w:t>
      </w:r>
    </w:p>
    <w:p>
      <w:pPr>
        <w:pStyle w:val="Normal"/>
        <w:jc w:val="right"/>
        <w:rPr/>
      </w:pPr>
      <w:r>
        <w:rPr/>
        <w:t>приказом Минэнерго России</w:t>
      </w:r>
    </w:p>
    <w:p>
      <w:pPr>
        <w:pStyle w:val="Normal"/>
        <w:jc w:val="right"/>
        <w:rPr/>
      </w:pPr>
      <w:r>
        <w:rPr/>
        <w:t>От 20 мая 2003 г. № 187</w:t>
      </w:r>
    </w:p>
    <w:p>
      <w:pPr>
        <w:pStyle w:val="Normal"/>
        <w:spacing w:before="120" w:after="120"/>
        <w:jc w:val="center"/>
        <w:rPr>
          <w:b/>
          <w:b/>
          <w:bCs/>
          <w:i/>
          <w:i/>
          <w:iCs/>
        </w:rPr>
      </w:pPr>
      <w:r>
        <w:rPr>
          <w:b/>
          <w:bCs/>
          <w:i/>
          <w:iCs/>
        </w:rPr>
        <w:t>Вводится в действие с 1 октября 2003 г.</w:t>
      </w:r>
    </w:p>
    <w:p>
      <w:pPr>
        <w:pStyle w:val="Heading3"/>
        <w:rPr/>
      </w:pPr>
      <w:r>
        <w:rPr/>
        <w:t>ОБЛАСТЬ ПРИМЕНЕНИЯ. ОПРЕДЕЛЕНИЯ</w:t>
      </w:r>
    </w:p>
    <w:p>
      <w:pPr>
        <w:pStyle w:val="Normal"/>
        <w:ind w:firstLine="284"/>
        <w:jc w:val="both"/>
        <w:rPr/>
      </w:pPr>
      <w:r>
        <w:rPr/>
        <w:t>2.5.1. Настоящая глава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(ВЛЗ).</w:t>
      </w:r>
    </w:p>
    <w:p>
      <w:pPr>
        <w:pStyle w:val="Normal"/>
        <w:ind w:firstLine="284"/>
        <w:jc w:val="both"/>
        <w:rPr/>
      </w:pPr>
      <w:r>
        <w:rP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pPr>
        <w:pStyle w:val="Normal"/>
        <w:ind w:firstLine="284"/>
        <w:jc w:val="both"/>
        <w:rPr/>
      </w:pPr>
      <w:r>
        <w:rPr/>
        <w:t>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ВЛ для электроснабжения сигнализации, централизации и блокировки (СЦБ); ВЛ напряжением 6 - 35 кВ, смонтированные на опорах контактной сети и т.п.).</w:t>
      </w:r>
    </w:p>
    <w:p>
      <w:pPr>
        <w:pStyle w:val="Normal"/>
        <w:ind w:firstLine="284"/>
        <w:jc w:val="both"/>
        <w:rPr/>
      </w:pPr>
      <w:r>
        <w:rPr/>
        <w:t>Кабельные вставки в ВЛ должны выполняться в соответствии с требованиями, приведенными в 2.5.124 и гл. 2.3.</w:t>
      </w:r>
    </w:p>
    <w:p>
      <w:pPr>
        <w:pStyle w:val="Normal"/>
        <w:ind w:firstLine="284"/>
        <w:jc w:val="both"/>
        <w:rPr/>
      </w:pPr>
      <w:r>
        <w:rPr/>
        <w:t>2.5.2. Воздушная линия электропередачи выше 1 кВ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 (мостах, путепроводах и т.п.).</w:t>
      </w:r>
    </w:p>
    <w:p>
      <w:pPr>
        <w:pStyle w:val="Normal"/>
        <w:ind w:firstLine="284"/>
        <w:jc w:val="both"/>
        <w:rPr/>
      </w:pPr>
      <w:r>
        <w:rPr/>
        <w:t>За начало и конец ВЛ (ВЛЗ) принимаются:</w:t>
      </w:r>
    </w:p>
    <w:p>
      <w:pPr>
        <w:pStyle w:val="Normal"/>
        <w:ind w:firstLine="284"/>
        <w:jc w:val="both"/>
        <w:rPr/>
      </w:pPr>
      <w:r>
        <w:rPr/>
        <w:t>у ЗРУ - место выхода провода из аппаратного зажима, присоединяемого к проходному изолятору;</w:t>
      </w:r>
    </w:p>
    <w:p>
      <w:pPr>
        <w:pStyle w:val="Normal"/>
        <w:ind w:firstLine="284"/>
        <w:jc w:val="both"/>
        <w:rPr/>
      </w:pPr>
      <w:r>
        <w:rPr/>
        <w:t>у ОРУ с линейными порталами - место выхода провода из зажима натяжной гирлянды изоляторов на линейном портале в сторону ВЛ;</w:t>
      </w:r>
    </w:p>
    <w:p>
      <w:pPr>
        <w:pStyle w:val="Normal"/>
        <w:ind w:firstLine="284"/>
        <w:jc w:val="both"/>
        <w:rPr/>
      </w:pPr>
      <w:r>
        <w:rPr/>
        <w:t>у КТП - место крепления провода к изолятору КТП или место выхода провода из аппаратного зажима;</w:t>
      </w:r>
    </w:p>
    <w:p>
      <w:pPr>
        <w:pStyle w:val="Normal"/>
        <w:ind w:firstLine="284"/>
        <w:jc w:val="both"/>
        <w:rPr/>
      </w:pPr>
      <w:r>
        <w:rPr/>
        <w:t>у ТП с выносным разъединителем - место выхода провода из аппаратного зажима, присоединяемого к разъединителю.</w:t>
      </w:r>
    </w:p>
    <w:p>
      <w:pPr>
        <w:pStyle w:val="Normal"/>
        <w:ind w:firstLine="284"/>
        <w:jc w:val="both"/>
        <w:rPr/>
      </w:pPr>
      <w:r>
        <w:rPr/>
        <w:t>2.5.3. Пролет ВЛ - участок ВЛ между двумя опорами или конструкциями, заменяющими опоры.</w:t>
      </w:r>
    </w:p>
    <w:p>
      <w:pPr>
        <w:pStyle w:val="Normal"/>
        <w:ind w:firstLine="284"/>
        <w:jc w:val="both"/>
        <w:rPr/>
      </w:pPr>
      <w:r>
        <w:rPr/>
        <w:t>Длина пролета - горизонтальная проекция этого участка ВЛ.</w:t>
      </w:r>
    </w:p>
    <w:p>
      <w:pPr>
        <w:pStyle w:val="Normal"/>
        <w:ind w:firstLine="284"/>
        <w:jc w:val="both"/>
        <w:rPr/>
      </w:pPr>
      <w:r>
        <w:rPr/>
        <w:t xml:space="preserve">Габаритный пролет </w:t>
      </w:r>
      <w:r>
        <w:rPr>
          <w:i/>
          <w:iCs/>
        </w:rPr>
        <w:t>l</w:t>
      </w:r>
      <w:r>
        <w:rPr>
          <w:i/>
          <w:iCs/>
          <w:vertAlign w:val="subscript"/>
        </w:rPr>
        <w:t>габ</w:t>
      </w:r>
      <w:r>
        <w:rPr/>
        <w:t xml:space="preserve">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p>
      <w:pPr>
        <w:pStyle w:val="Normal"/>
        <w:ind w:firstLine="284"/>
        <w:jc w:val="both"/>
        <w:rPr/>
      </w:pPr>
      <w:r>
        <w:rPr/>
        <w:t xml:space="preserve">Ветровой пролет </w:t>
      </w:r>
      <w:r>
        <w:rPr>
          <w:i/>
          <w:iCs/>
        </w:rPr>
        <w:t>l</w:t>
      </w:r>
      <w:r>
        <w:rPr>
          <w:i/>
          <w:iCs/>
          <w:vertAlign w:val="subscript"/>
        </w:rPr>
        <w:t>ветр</w:t>
      </w:r>
      <w:r>
        <w:rPr/>
        <w:t xml:space="preserve"> - длина участка ВЛ, с которого давление ветра на провода и грозозащитные тросы</w:t>
      </w:r>
      <w:r>
        <w:rPr>
          <w:vertAlign w:val="superscript"/>
        </w:rPr>
        <w:t>*</w:t>
      </w:r>
      <w:r>
        <w:rPr/>
        <w:t xml:space="preserve"> воспринимается опорой.</w:t>
      </w:r>
    </w:p>
    <w:p>
      <w:pPr>
        <w:pStyle w:val="Normal"/>
        <w:spacing w:before="120" w:after="0"/>
        <w:ind w:firstLine="283"/>
        <w:jc w:val="both"/>
        <w:rPr/>
      </w:pPr>
      <w:r>
        <w:rPr>
          <w:vertAlign w:val="superscript"/>
        </w:rPr>
        <w:t>*</w:t>
      </w:r>
      <w:r>
        <w:rPr/>
        <w:t xml:space="preserve"> Далее тросы.</w:t>
      </w:r>
    </w:p>
    <w:p>
      <w:pPr>
        <w:pStyle w:val="Normal"/>
        <w:spacing w:before="120" w:after="0"/>
        <w:ind w:firstLine="283"/>
        <w:jc w:val="both"/>
        <w:rPr/>
      </w:pPr>
      <w:r>
        <w:rPr/>
        <w:t xml:space="preserve">Весовой пролет </w:t>
      </w:r>
      <w:r>
        <w:rPr>
          <w:i/>
          <w:iCs/>
        </w:rPr>
        <w:t>l</w:t>
      </w:r>
      <w:r>
        <w:rPr>
          <w:i/>
          <w:iCs/>
          <w:vertAlign w:val="subscript"/>
        </w:rPr>
        <w:t>вес</w:t>
      </w:r>
      <w:r>
        <w:rPr/>
        <w:t xml:space="preserve"> - длина участка ВЛ, вес проводов (тросов) которого воспринимается опорой.</w:t>
      </w:r>
    </w:p>
    <w:p>
      <w:pPr>
        <w:pStyle w:val="Normal"/>
        <w:ind w:firstLine="283"/>
        <w:jc w:val="both"/>
        <w:rPr/>
      </w:pPr>
      <w:r>
        <w:rPr/>
        <w:t xml:space="preserve">Стрела провеса провода </w:t>
      </w:r>
      <w:r>
        <w:rPr>
          <w:i/>
          <w:iCs/>
        </w:rPr>
        <w:t>f</w:t>
      </w:r>
      <w:r>
        <w:rPr/>
        <w:t xml:space="preserve"> - расстояние по вертикали от прямой, соединяющей точки крепления провода, до провода.</w:t>
      </w:r>
    </w:p>
    <w:p>
      <w:pPr>
        <w:pStyle w:val="Normal"/>
        <w:ind w:firstLine="283"/>
        <w:jc w:val="both"/>
        <w:rPr/>
      </w:pPr>
      <w:r>
        <w:rPr/>
        <w:t xml:space="preserve">Габаритная стрела провеса провода </w:t>
      </w:r>
      <w:r>
        <w:rPr>
          <w:i/>
          <w:iCs/>
        </w:rPr>
        <w:t>f</w:t>
      </w:r>
      <w:r>
        <w:rPr>
          <w:i/>
          <w:iCs/>
          <w:vertAlign w:val="subscript"/>
        </w:rPr>
        <w:t>габ</w:t>
      </w:r>
      <w:r>
        <w:rPr/>
        <w:t xml:space="preserve"> - наибольшая стрела провеса провода в габаритном пролете.</w:t>
      </w:r>
    </w:p>
    <w:p>
      <w:pPr>
        <w:pStyle w:val="Normal"/>
        <w:ind w:firstLine="283"/>
        <w:jc w:val="both"/>
        <w:rPr/>
      </w:pPr>
      <w:r>
        <w:rPr/>
        <w:t>Анкерный пролет - участок ВЛ между двумя ближайшими анкерными опорами.</w:t>
      </w:r>
    </w:p>
    <w:p>
      <w:pPr>
        <w:pStyle w:val="Normal"/>
        <w:ind w:firstLine="283"/>
        <w:jc w:val="both"/>
        <w:rPr/>
      </w:pPr>
      <w:r>
        <w:rPr/>
        <w:t>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p>
      <w:pPr>
        <w:pStyle w:val="Normal"/>
        <w:ind w:firstLine="283"/>
        <w:jc w:val="both"/>
        <w:rPr/>
      </w:pPr>
      <w:r>
        <w:rPr/>
        <w:t>Гирлянда изоляторов - устройство, состоящее из нескольких подвесных изоляторов и линейной арматуры, подвижно соединенных между собой.</w:t>
      </w:r>
    </w:p>
    <w:p>
      <w:pPr>
        <w:pStyle w:val="Normal"/>
        <w:ind w:firstLine="283"/>
        <w:jc w:val="both"/>
        <w:rPr/>
      </w:pPr>
      <w:r>
        <w:rP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изолированным.</w:t>
      </w:r>
    </w:p>
    <w:p>
      <w:pPr>
        <w:pStyle w:val="Normal"/>
        <w:ind w:firstLine="283"/>
        <w:jc w:val="both"/>
        <w:rPr/>
      </w:pPr>
      <w:r>
        <w:rPr/>
        <w:t>Штыревой изолятор - изолятор, состоящий из изоляционной детали, закрепляемой на штыре или крюке опоры.</w:t>
      </w:r>
    </w:p>
    <w:p>
      <w:pPr>
        <w:pStyle w:val="Normal"/>
        <w:ind w:firstLine="283"/>
        <w:jc w:val="both"/>
        <w:rPr/>
      </w:pPr>
      <w:r>
        <w:rPr/>
        <w:t>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ВЛЗ.</w:t>
      </w:r>
    </w:p>
    <w:p>
      <w:pPr>
        <w:pStyle w:val="Normal"/>
        <w:ind w:firstLine="283"/>
        <w:jc w:val="both"/>
        <w:rPr/>
      </w:pPr>
      <w:r>
        <w:rPr/>
        <w:t>Пляска проводов (тросов) - устойчивые периодические низкочастотные (0,2 - 2 Гц)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м/с и образующие стоячие волны (иногда в сочетании с бегущими) с числом полуволн от одной до двадцати и амплитудой 0,3 - 5 м.</w:t>
      </w:r>
    </w:p>
    <w:p>
      <w:pPr>
        <w:pStyle w:val="Normal"/>
        <w:ind w:firstLine="283"/>
        <w:jc w:val="both"/>
        <w:rPr/>
      </w:pPr>
      <w:r>
        <w:rPr/>
        <w:t>Вибрация проводов (тросов) - периодические колебания провода (троса) в пролете с частотой от 3 до 150 Гц,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p>
      <w:pPr>
        <w:pStyle w:val="Normal"/>
        <w:ind w:firstLine="283"/>
        <w:jc w:val="both"/>
        <w:rPr/>
      </w:pPr>
      <w:r>
        <w:rPr/>
        <w:t>2.5.4. Состояние ВЛ в расчетах механической части:</w:t>
      </w:r>
    </w:p>
    <w:p>
      <w:pPr>
        <w:pStyle w:val="Normal"/>
        <w:ind w:firstLine="283"/>
        <w:jc w:val="both"/>
        <w:rPr/>
      </w:pPr>
      <w:r>
        <w:rPr/>
        <w:t>нормальный режим - режим при необорванных проводах, тросах, гирляндах изоляторов и тросовых креплениях;</w:t>
      </w:r>
    </w:p>
    <w:p>
      <w:pPr>
        <w:pStyle w:val="Normal"/>
        <w:ind w:firstLine="283"/>
        <w:jc w:val="both"/>
        <w:rPr/>
      </w:pPr>
      <w:r>
        <w:rPr/>
        <w:t>аварийный режим - режим при оборванных одном или нескольких проводах или тросах, гирляндах изоляторов и тросовых креплений;</w:t>
      </w:r>
    </w:p>
    <w:p>
      <w:pPr>
        <w:pStyle w:val="Normal"/>
        <w:ind w:firstLine="283"/>
        <w:jc w:val="both"/>
        <w:rPr/>
      </w:pPr>
      <w:r>
        <w:rPr/>
        <w:t>монтажный режим - режим в условиях монтажа опор, проводов и тросов.</w:t>
      </w:r>
    </w:p>
    <w:p>
      <w:pPr>
        <w:pStyle w:val="Normal"/>
        <w:ind w:firstLine="283"/>
        <w:jc w:val="both"/>
        <w:rPr/>
      </w:pPr>
      <w:r>
        <w:rPr/>
        <w:t>2.5.5.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p>
      <w:pPr>
        <w:pStyle w:val="Normal"/>
        <w:ind w:firstLine="283"/>
        <w:jc w:val="both"/>
        <w:rPr/>
      </w:pPr>
      <w:r>
        <w:rPr/>
        <w:t>Труднодоступная местность - местность, недоступная для транспорта и сельскохозяйственных машин.</w:t>
      </w:r>
    </w:p>
    <w:p>
      <w:pPr>
        <w:pStyle w:val="Normal"/>
        <w:ind w:firstLine="283"/>
        <w:jc w:val="both"/>
        <w:rPr/>
      </w:pPr>
      <w:r>
        <w:rPr/>
        <w:t>Ненаселенная местность - земли, не отнесенные к населенной и труднодоступной местности.</w:t>
      </w:r>
    </w:p>
    <w:p>
      <w:pPr>
        <w:pStyle w:val="Normal"/>
        <w:ind w:firstLine="283"/>
        <w:jc w:val="both"/>
        <w:rPr/>
      </w:pPr>
      <w:r>
        <w:rPr/>
        <w:t>Застроенная местность - территории городов, поселков, сельских населенных пунктов в границах фактической застройки.</w:t>
      </w:r>
    </w:p>
    <w:p>
      <w:pPr>
        <w:pStyle w:val="Normal"/>
        <w:ind w:firstLine="283"/>
        <w:jc w:val="both"/>
        <w:rPr/>
      </w:pPr>
      <w:r>
        <w:rP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pPr>
        <w:pStyle w:val="Normal"/>
        <w:ind w:firstLine="283"/>
        <w:jc w:val="both"/>
        <w:rPr/>
      </w:pPr>
      <w:r>
        <w:rPr/>
        <w:t>2.5.6. По условиям воздействия ветра на ВЛ различают три типа местности:</w:t>
      </w:r>
    </w:p>
    <w:p>
      <w:pPr>
        <w:pStyle w:val="Normal"/>
        <w:ind w:firstLine="283"/>
        <w:jc w:val="both"/>
        <w:rPr/>
      </w:pPr>
      <w:r>
        <w:rPr>
          <w:i/>
          <w:iCs/>
        </w:rPr>
        <w:t>А</w:t>
      </w:r>
      <w:r>
        <w:rPr/>
        <w:t xml:space="preserve"> - открытые побережья морей, озер, водохранилищ, пустыни, степи, лесостепи, тундра;</w:t>
      </w:r>
    </w:p>
    <w:p>
      <w:pPr>
        <w:pStyle w:val="Normal"/>
        <w:ind w:firstLine="283"/>
        <w:jc w:val="both"/>
        <w:rPr/>
      </w:pPr>
      <w:r>
        <w:rPr>
          <w:i/>
          <w:iCs/>
        </w:rPr>
        <w:t>В</w:t>
      </w:r>
      <w:r>
        <w:rPr/>
        <w:t xml:space="preserve"> - городские территории, лесные массивы и другие местности, равномерно покрытые препятствиями высотой не менее 2/3 высоты опор;</w:t>
      </w:r>
    </w:p>
    <w:p>
      <w:pPr>
        <w:pStyle w:val="Normal"/>
        <w:ind w:firstLine="283"/>
        <w:jc w:val="both"/>
        <w:rPr/>
      </w:pPr>
      <w:r>
        <w:rPr>
          <w:i/>
          <w:iCs/>
        </w:rPr>
        <w:t>С</w:t>
      </w:r>
      <w:r>
        <w:rPr/>
        <w:t xml:space="preserve"> - городские районы с застройкой зданиями высотой более 25 м, просеки в лесных массивах с высотой деревьев более высоты опор, орографически защищенные извилистые и узкие склоновые долины и ущелья.</w:t>
      </w:r>
    </w:p>
    <w:p>
      <w:pPr>
        <w:pStyle w:val="Normal"/>
        <w:ind w:firstLine="283"/>
        <w:jc w:val="both"/>
        <w:rPr/>
      </w:pPr>
      <w:r>
        <w:rPr/>
        <w:t>Воздушная линия считается расположенной в местности данного типа, если эта местность сохраняется с наветренной стороны ВЛ на расстоянии, равном тридцатикратной высоте опоры при высоте опор до 60 м и 2 км при большей высоте.</w:t>
      </w:r>
    </w:p>
    <w:p>
      <w:pPr>
        <w:pStyle w:val="Normal"/>
        <w:ind w:firstLine="283"/>
        <w:jc w:val="both"/>
        <w:rPr/>
      </w:pPr>
      <w:r>
        <w:rPr/>
        <w:t>2.5.7. Большими переходами называются пересечения судоходных участков рек, каналов, озер и водохранилищ, на которых устанавливаются опоры высотой 50 м и более, а также пересечения ущелий, оврагов, водных пространств и других препятствий с пролетом пересечения более 700 м независимо от высоты опор ВЛ.</w:t>
      </w:r>
    </w:p>
    <w:p>
      <w:pPr>
        <w:pStyle w:val="Heading3"/>
        <w:rPr/>
      </w:pPr>
      <w:r>
        <w:rPr/>
        <w:t>ОБЩИЕ ТРЕБОВАНИЯ</w:t>
      </w:r>
    </w:p>
    <w:p>
      <w:pPr>
        <w:pStyle w:val="Normal"/>
        <w:ind w:firstLine="284"/>
        <w:jc w:val="both"/>
        <w:rPr/>
      </w:pPr>
      <w:r>
        <w:rPr/>
        <w:t>2.5.8.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pPr>
        <w:pStyle w:val="Normal"/>
        <w:ind w:firstLine="284"/>
        <w:jc w:val="both"/>
        <w:rPr/>
      </w:pPr>
      <w:r>
        <w:rPr/>
        <w:t>При проектировании, строительстве, реконструкции и эксплуатации ВЛ должны соблюдаться требования «Правил охраны электрических сетей напряжением свыше 1000 В» и действующих санитарно-эпидемиологических правил и нормативов.</w:t>
      </w:r>
    </w:p>
    <w:p>
      <w:pPr>
        <w:pStyle w:val="Normal"/>
        <w:ind w:firstLine="284"/>
        <w:jc w:val="both"/>
        <w:rPr/>
      </w:pPr>
      <w:r>
        <w:rPr/>
        <w:t>2.5.9.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расчетные нагрузки.</w:t>
      </w:r>
    </w:p>
    <w:p>
      <w:pPr>
        <w:pStyle w:val="Normal"/>
        <w:ind w:firstLine="284"/>
        <w:jc w:val="both"/>
        <w:rPr/>
      </w:pPr>
      <w:r>
        <w:rP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(2.5.137) в соответствии с государственными стандартами и строительными нормами и правилами.</w:t>
      </w:r>
    </w:p>
    <w:p>
      <w:pPr>
        <w:pStyle w:val="Normal"/>
        <w:ind w:firstLine="284"/>
        <w:jc w:val="both"/>
        <w:rPr/>
      </w:pPr>
      <w:r>
        <w:rPr/>
        <w:t>Применение других методов расчета в каждом отдельном случае должно быть обосновано в проекте.</w:t>
      </w:r>
    </w:p>
    <w:p>
      <w:pPr>
        <w:pStyle w:val="Normal"/>
        <w:ind w:firstLine="284"/>
        <w:jc w:val="both"/>
        <w:rPr/>
      </w:pPr>
      <w:r>
        <w:rPr/>
        <w:t>2.5.10. Элементы ВЛ рассчитываются на сочетания нагрузок, действующих в нормальных, аварийных и монтажных режимах.</w:t>
      </w:r>
    </w:p>
    <w:p>
      <w:pPr>
        <w:pStyle w:val="Normal"/>
        <w:ind w:firstLine="284"/>
        <w:jc w:val="both"/>
        <w:rPr/>
      </w:pPr>
      <w:r>
        <w:rPr/>
        <w:t>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2.5.71 - 2.5.74, 2.5.141, 2.5.144 - 2.5.147.</w:t>
      </w:r>
    </w:p>
    <w:p>
      <w:pPr>
        <w:pStyle w:val="Normal"/>
        <w:ind w:firstLine="284"/>
        <w:jc w:val="both"/>
        <w:rPr/>
      </w:pPr>
      <w:r>
        <w:rPr/>
        <w:t>2.5.11.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pPr>
        <w:pStyle w:val="Normal"/>
        <w:ind w:firstLine="284"/>
        <w:jc w:val="both"/>
        <w:rPr/>
      </w:pPr>
      <w:r>
        <w:rPr/>
        <w:t xml:space="preserve">Расчетные значения нагрузок определяются как произведение их нормативных значений на коэффициенты надежности по нагрузке </w:t>
      </w:r>
      <w:r>
        <w:rPr>
          <w:i/>
          <w:iCs/>
        </w:rPr>
        <w:t>γ</w:t>
      </w:r>
      <w:r>
        <w:rPr>
          <w:i/>
          <w:iCs/>
          <w:vertAlign w:val="subscript"/>
        </w:rPr>
        <w:t>f</w:t>
      </w:r>
      <w:r>
        <w:rPr/>
        <w:t xml:space="preserve">, надежности по ответственности </w:t>
      </w:r>
      <w:r>
        <w:rPr>
          <w:i/>
          <w:iCs/>
        </w:rPr>
        <w:t>γ</w:t>
      </w:r>
      <w:r>
        <w:rPr>
          <w:i/>
          <w:iCs/>
          <w:vertAlign w:val="subscript"/>
        </w:rPr>
        <w:t>n</w:t>
      </w:r>
      <w:r>
        <w:rPr/>
        <w:t xml:space="preserve">, условий работы </w:t>
      </w:r>
      <w:r>
        <w:rPr>
          <w:i/>
          <w:iCs/>
        </w:rPr>
        <w:t>γ</w:t>
      </w:r>
      <w:r>
        <w:rPr>
          <w:i/>
          <w:iCs/>
          <w:vertAlign w:val="subscript"/>
        </w:rPr>
        <w:t>d</w:t>
      </w:r>
      <w:r>
        <w:rPr/>
        <w:t xml:space="preserve">, региональные </w:t>
      </w:r>
      <w:r>
        <w:rPr>
          <w:i/>
          <w:iCs/>
        </w:rPr>
        <w:t>γ</w:t>
      </w:r>
      <w:r>
        <w:rPr>
          <w:i/>
          <w:iCs/>
          <w:vertAlign w:val="subscript"/>
        </w:rPr>
        <w:t>p</w:t>
      </w:r>
      <w:r>
        <w:rPr/>
        <w:t>.</w:t>
      </w:r>
    </w:p>
    <w:p>
      <w:pPr>
        <w:pStyle w:val="Normal"/>
        <w:ind w:firstLine="284"/>
        <w:jc w:val="both"/>
        <w:rPr/>
      </w:pPr>
      <w:r>
        <w:rPr/>
        <w:t>При расчете элементов ВЛ расчетные нагрузки могут дополнительно умножаться на коэффициент сочетаний.</w:t>
      </w:r>
    </w:p>
    <w:p>
      <w:pPr>
        <w:pStyle w:val="Normal"/>
        <w:ind w:firstLine="284"/>
        <w:jc w:val="both"/>
        <w:rPr/>
      </w:pPr>
      <w:r>
        <w:rPr/>
        <w:t>Необходимость применения коэффициентов и их значения устанавливаются настоящими Правилами.</w:t>
      </w:r>
    </w:p>
    <w:p>
      <w:pPr>
        <w:pStyle w:val="Normal"/>
        <w:ind w:firstLine="284"/>
        <w:jc w:val="both"/>
        <w:rPr/>
      </w:pPr>
      <w:r>
        <w:rPr/>
        <w:t>При отсутствии указаний о значениях коэффициентов они принимаются равными единице.</w:t>
      </w:r>
    </w:p>
    <w:p>
      <w:pPr>
        <w:pStyle w:val="Normal"/>
        <w:ind w:firstLine="284"/>
        <w:jc w:val="both"/>
        <w:rPr/>
      </w:pPr>
      <w:r>
        <w:rPr/>
        <w:t>2.5.12. Нормативные значения нагрузок от веса оборудования, материалов,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pPr>
        <w:pStyle w:val="Normal"/>
        <w:ind w:firstLine="284"/>
        <w:jc w:val="both"/>
        <w:rPr/>
      </w:pPr>
      <w:r>
        <w:rPr/>
        <w:t>2.5.13. Основной характеристикой сопротивления материала элементов ВЛ являются:</w:t>
      </w:r>
    </w:p>
    <w:p>
      <w:pPr>
        <w:pStyle w:val="Normal"/>
        <w:ind w:firstLine="284"/>
        <w:jc w:val="both"/>
        <w:rPr/>
      </w:pPr>
      <w:r>
        <w:rPr/>
        <w:t>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pPr>
        <w:pStyle w:val="Normal"/>
        <w:ind w:firstLine="284"/>
        <w:jc w:val="both"/>
        <w:rPr/>
      </w:pPr>
      <w:r>
        <w:rPr/>
        <w:t>нормативные и расчетные сопротивления материала опор и фундаментов, устанавливаемые нормами проектирования строительных конструкций.</w:t>
      </w:r>
    </w:p>
    <w:p>
      <w:pPr>
        <w:pStyle w:val="Normal"/>
        <w:ind w:firstLine="284"/>
        <w:jc w:val="both"/>
        <w:rPr/>
      </w:pPr>
      <w:r>
        <w:rPr/>
        <w:t>2.5.14. На ВЛ 110 кВ и выше длиной более 100 км для ограничения несимметрии токов и напряжений должен выполняться один полный цикл транспозиции.</w:t>
      </w:r>
    </w:p>
    <w:p>
      <w:pPr>
        <w:pStyle w:val="Normal"/>
        <w:ind w:firstLine="284"/>
        <w:jc w:val="both"/>
        <w:rPr/>
      </w:pPr>
      <w:r>
        <w:rPr/>
        <w:t>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pPr>
        <w:pStyle w:val="Normal"/>
        <w:ind w:firstLine="284"/>
        <w:jc w:val="both"/>
        <w:rPr/>
      </w:pPr>
      <w:r>
        <w:rPr/>
        <w:t>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p>
      <w:pPr>
        <w:pStyle w:val="Normal"/>
        <w:ind w:firstLine="284"/>
        <w:jc w:val="both"/>
        <w:rPr/>
      </w:pPr>
      <w:r>
        <w:rPr/>
        <w:t>Шаг транспозиции по условию влияния на линии связи не нормируется.</w:t>
      </w:r>
    </w:p>
    <w:p>
      <w:pPr>
        <w:pStyle w:val="Normal"/>
        <w:ind w:firstLine="284"/>
        <w:jc w:val="both"/>
        <w:rPr/>
      </w:pPr>
      <w:r>
        <w:rP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pPr>
        <w:pStyle w:val="Normal"/>
        <w:ind w:firstLine="284"/>
        <w:jc w:val="both"/>
        <w:rPr/>
      </w:pPr>
      <w:r>
        <w:rPr/>
        <w:t>2.5.15.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p>
      <w:pPr>
        <w:pStyle w:val="Normal"/>
        <w:ind w:firstLine="284"/>
        <w:jc w:val="both"/>
        <w:rPr/>
      </w:pPr>
      <w:r>
        <w:rPr/>
        <w:t>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p>
      <w:pPr>
        <w:pStyle w:val="Normal"/>
        <w:ind w:firstLine="284"/>
        <w:jc w:val="both"/>
        <w:rPr/>
      </w:pPr>
      <w:r>
        <w:rPr/>
        <w:t>2.5.16. 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p>
      <w:pPr>
        <w:pStyle w:val="Normal"/>
        <w:ind w:firstLine="284"/>
        <w:jc w:val="both"/>
        <w:rPr/>
      </w:pPr>
      <w:r>
        <w:rPr/>
        <w:t>Для сетевых предприятий, у которых свыше 50 % ВЛ проходят в указанных районах, рекомендуется разрабатывать общую схему плавки гололеда.</w:t>
      </w:r>
    </w:p>
    <w:p>
      <w:pPr>
        <w:pStyle w:val="Normal"/>
        <w:ind w:firstLine="284"/>
        <w:jc w:val="both"/>
        <w:rPr/>
      </w:pPr>
      <w:r>
        <w:rPr/>
        <w:t>При обеспечении плавки гололеда без перерыва электроснабжения потребителей толщина стенки гололеда может быть снижена на 15 мм, при этом нормативная толщина стенки гололеда должна быть не менее 20 мм.</w:t>
      </w:r>
    </w:p>
    <w:p>
      <w:pPr>
        <w:pStyle w:val="Normal"/>
        <w:ind w:firstLine="284"/>
        <w:jc w:val="both"/>
        <w:rPr/>
      </w:pPr>
      <w:r>
        <w:rPr/>
        <w:t>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p>
      <w:pPr>
        <w:pStyle w:val="Normal"/>
        <w:ind w:firstLine="284"/>
        <w:jc w:val="both"/>
        <w:rPr/>
      </w:pPr>
      <w:r>
        <w:rPr/>
        <w:t>Требования настоящего параграфа не распространяются на ВЛЗ.</w:t>
      </w:r>
    </w:p>
    <w:p>
      <w:pPr>
        <w:pStyle w:val="Normal"/>
        <w:ind w:firstLine="284"/>
        <w:jc w:val="both"/>
        <w:rPr/>
      </w:pPr>
      <w:r>
        <w:rPr/>
        <w:t>2.5.17.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санитарно-эпидемиологических правилах и нормативах.</w:t>
      </w:r>
    </w:p>
    <w:p>
      <w:pPr>
        <w:pStyle w:val="Normal"/>
        <w:ind w:firstLine="284"/>
        <w:jc w:val="both"/>
        <w:rPr/>
      </w:pPr>
      <w:r>
        <w:rP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pPr>
        <w:pStyle w:val="Normal"/>
        <w:ind w:firstLine="284"/>
        <w:jc w:val="both"/>
        <w:rPr/>
      </w:pPr>
      <w:r>
        <w:rPr/>
        <w:t>2.5.18. По окончании сооружения или реконструкции ВЛ необходимо выполнять:</w:t>
      </w:r>
    </w:p>
    <w:p>
      <w:pPr>
        <w:pStyle w:val="Normal"/>
        <w:ind w:firstLine="284"/>
        <w:jc w:val="both"/>
        <w:rPr/>
      </w:pPr>
      <w:r>
        <w:rPr/>
        <w:t>землевание земель, отводимых в постоянное пользование;</w:t>
      </w:r>
    </w:p>
    <w:p>
      <w:pPr>
        <w:pStyle w:val="Normal"/>
        <w:ind w:firstLine="284"/>
        <w:jc w:val="both"/>
        <w:rPr/>
      </w:pPr>
      <w:r>
        <w:rPr/>
        <w:t>рекультивацию земель, отводимых во временное пользование;</w:t>
      </w:r>
    </w:p>
    <w:p>
      <w:pPr>
        <w:pStyle w:val="Normal"/>
        <w:ind w:firstLine="284"/>
        <w:jc w:val="both"/>
        <w:rPr/>
      </w:pPr>
      <w:r>
        <w:rPr/>
        <w:t>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p>
      <w:pPr>
        <w:pStyle w:val="Normal"/>
        <w:ind w:firstLine="284"/>
        <w:jc w:val="both"/>
        <w:rPr/>
      </w:pPr>
      <w:r>
        <w:rPr/>
        <w:t>противоэрозионные мероприятия.</w:t>
      </w:r>
    </w:p>
    <w:p>
      <w:pPr>
        <w:pStyle w:val="Heading3"/>
        <w:rPr/>
      </w:pPr>
      <w:r>
        <w:rPr/>
        <w:t>ТРЕБОВАНИЯ К ПРОЕКТИРОВАНИЮ ВЛ, УЧИТЫВАЮЩИЕ ОСОБЕННОСТИ ИХ РЕМОНТА И ТЕХНИЧЕСКОГО ОБСЛУЖИВАНИЯ</w:t>
      </w:r>
    </w:p>
    <w:p>
      <w:pPr>
        <w:pStyle w:val="Normal"/>
        <w:ind w:firstLine="284"/>
        <w:jc w:val="both"/>
        <w:rPr/>
      </w:pPr>
      <w:r>
        <w:rPr/>
        <w:t>2.5.19.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p>
      <w:pPr>
        <w:pStyle w:val="Normal"/>
        <w:ind w:firstLine="284"/>
        <w:jc w:val="both"/>
        <w:rPr/>
      </w:pPr>
      <w:r>
        <w:rPr/>
        <w:t>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pPr>
        <w:pStyle w:val="Normal"/>
        <w:ind w:firstLine="284"/>
        <w:jc w:val="both"/>
        <w:rPr/>
      </w:pPr>
      <w:r>
        <w:rPr/>
        <w:t>Обеспечение ВЛ аварийным запасом материалов и оборудования предусматривается в объеме действующих нормативов.</w:t>
      </w:r>
    </w:p>
    <w:p>
      <w:pPr>
        <w:pStyle w:val="Normal"/>
        <w:ind w:firstLine="284"/>
        <w:jc w:val="both"/>
        <w:rPr/>
      </w:pPr>
      <w:r>
        <w:rP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p>
      <w:pPr>
        <w:pStyle w:val="Normal"/>
        <w:ind w:firstLine="284"/>
        <w:jc w:val="both"/>
        <w:rPr/>
      </w:pPr>
      <w:r>
        <w:rPr/>
        <w:t>2.5.20.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p>
      <w:pPr>
        <w:pStyle w:val="Normal"/>
        <w:ind w:firstLine="284"/>
        <w:jc w:val="both"/>
        <w:rPr/>
      </w:pPr>
      <w:r>
        <w:rPr/>
        <w:t>2.5.21.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pPr>
        <w:pStyle w:val="Normal"/>
        <w:ind w:firstLine="284"/>
        <w:jc w:val="both"/>
        <w:rPr/>
      </w:pPr>
      <w:r>
        <w:rPr/>
        <w:t>2.5.22. К ВЛ должен быть обеспечен в любое время года подъезд на возможно близкое расстояние, но не далее чем на 0,5 км от трассы ВЛ. Для проезда вдоль трассы ВЛ и для подъезда к ним должна быть расчищена от насаждений, пней, камней и т.п. полоса земли шириной не менее 2,5 м.</w:t>
      </w:r>
    </w:p>
    <w:p>
      <w:pPr>
        <w:pStyle w:val="Normal"/>
        <w:ind w:firstLine="284"/>
        <w:jc w:val="both"/>
        <w:rPr/>
      </w:pPr>
      <w:r>
        <w:rPr/>
        <w:t>Исключения допускаются на участках ВЛ, проходящих:</w:t>
      </w:r>
    </w:p>
    <w:p>
      <w:pPr>
        <w:pStyle w:val="Normal"/>
        <w:ind w:firstLine="284"/>
        <w:jc w:val="both"/>
        <w:rPr/>
      </w:pPr>
      <w:r>
        <w:rPr/>
        <w:t>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0,8 - 1,0 м, оборудованные перилами, или насыпные земляные дорожки шириной не менее 0,8 м;</w:t>
      </w:r>
    </w:p>
    <w:p>
      <w:pPr>
        <w:pStyle w:val="Normal"/>
        <w:ind w:firstLine="284"/>
        <w:jc w:val="both"/>
        <w:rPr/>
      </w:pPr>
      <w:r>
        <w:rPr/>
        <w:t>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pPr>
        <w:pStyle w:val="Normal"/>
        <w:ind w:firstLine="284"/>
        <w:jc w:val="both"/>
        <w:rPr/>
      </w:pPr>
      <w:r>
        <w:rPr/>
        <w:t>На трассах ВЛ, проходящих по местности, пересеченной мелиоративными каналами, должны предусматриваться пешеходные мостики шириной 0,8 - 1,0 м, оборудованные перилами.</w:t>
      </w:r>
    </w:p>
    <w:p>
      <w:pPr>
        <w:pStyle w:val="Normal"/>
        <w:ind w:firstLine="284"/>
        <w:jc w:val="both"/>
        <w:rPr/>
      </w:pPr>
      <w:r>
        <w:rPr/>
        <w:t>2.5.23. На опорах ВЛ на высоте 2 - 3 м должны быть нанесены следующие постоянные знаки:</w:t>
      </w:r>
    </w:p>
    <w:p>
      <w:pPr>
        <w:pStyle w:val="Normal"/>
        <w:ind w:firstLine="284"/>
        <w:jc w:val="both"/>
        <w:rPr/>
      </w:pPr>
      <w:r>
        <w:rPr>
          <w:i/>
          <w:iCs/>
        </w:rPr>
        <w:t>порядковый номер опоры, номер ВЛ или ее условное обозначение</w:t>
      </w:r>
      <w:r>
        <w:rPr/>
        <w:t xml:space="preserve"> - на всех опорах; на двухцепных и многоценных опорах ВЛ, кроме того, должна быть обозначена соответствующая цепь;</w:t>
      </w:r>
    </w:p>
    <w:p>
      <w:pPr>
        <w:pStyle w:val="Normal"/>
        <w:ind w:firstLine="284"/>
        <w:jc w:val="both"/>
        <w:rPr/>
      </w:pPr>
      <w:r>
        <w:rPr>
          <w:i/>
          <w:iCs/>
        </w:rPr>
        <w:t>информационные знаки с указанием ширины охранной зоны ВЛ</w:t>
      </w:r>
      <w:r>
        <w:rPr/>
        <w:t>; расстояние между информационными знаками в населенной местности должно быть не более 250 м, при большей длине пролета знаки устанавливаются на каждой опоре; в ненаселенной и труднодоступной местности - 500 м, допускается более редкая установка знаков;</w:t>
      </w:r>
    </w:p>
    <w:p>
      <w:pPr>
        <w:pStyle w:val="Normal"/>
        <w:ind w:firstLine="284"/>
        <w:jc w:val="both"/>
        <w:rPr/>
      </w:pPr>
      <w:r>
        <w:rPr>
          <w:i/>
          <w:iCs/>
        </w:rPr>
        <w:t>расцветка фаз</w:t>
      </w:r>
      <w:r>
        <w:rPr/>
        <w:t xml:space="preserve"> - на ВЛ 35 кВ и выше на концевых опорах, опорах, смежных с транспозиционными, и на первых опорах ответвлений от ВЛ;</w:t>
      </w:r>
    </w:p>
    <w:p>
      <w:pPr>
        <w:pStyle w:val="Normal"/>
        <w:ind w:firstLine="284"/>
        <w:jc w:val="both"/>
        <w:rPr/>
      </w:pPr>
      <w:r>
        <w:rPr>
          <w:i/>
          <w:iCs/>
        </w:rPr>
        <w:t>предупреждающие плакаты</w:t>
      </w:r>
      <w:r>
        <w:rPr/>
        <w:t xml:space="preserve"> - на всех опорах ВЛ в населенной местности;</w:t>
      </w:r>
    </w:p>
    <w:p>
      <w:pPr>
        <w:pStyle w:val="Normal"/>
        <w:ind w:firstLine="284"/>
        <w:jc w:val="both"/>
        <w:rPr/>
      </w:pPr>
      <w:r>
        <w:rPr>
          <w:i/>
          <w:iCs/>
        </w:rPr>
        <w:t>плакаты с указанием расстояния от опоры ВЛ до кабельной линии связи</w:t>
      </w:r>
      <w:r>
        <w:rPr/>
        <w:t xml:space="preserve"> - на опорах, установленных на расстоянии менее половины высоты опоры до кабелей связи.</w:t>
      </w:r>
    </w:p>
    <w:p>
      <w:pPr>
        <w:pStyle w:val="Normal"/>
        <w:ind w:firstLine="284"/>
        <w:jc w:val="both"/>
        <w:rPr/>
      </w:pPr>
      <w:r>
        <w:rPr/>
        <w:t>Допускается совмещать на одном знаке всю информацию, устанавливаемую требованиями настоящего параграфа.</w:t>
      </w:r>
    </w:p>
    <w:p>
      <w:pPr>
        <w:pStyle w:val="Normal"/>
        <w:ind w:firstLine="284"/>
        <w:jc w:val="both"/>
        <w:rPr/>
      </w:pPr>
      <w:r>
        <w:rPr/>
        <w:t>Плакаты и знаки должны устанавливаться с боку опоры поочередно с правой и с левой стороны, а на переходах через дороги плакаты должны быть обращены в сторону дороги.</w:t>
      </w:r>
    </w:p>
    <w:p>
      <w:pPr>
        <w:pStyle w:val="Normal"/>
        <w:ind w:firstLine="284"/>
        <w:jc w:val="both"/>
        <w:rPr/>
      </w:pPr>
      <w:r>
        <w:rPr/>
        <w:t>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500 - 750 кВ знаки должны быть эмалированными размером 400×500 мм.</w:t>
      </w:r>
    </w:p>
    <w:p>
      <w:pPr>
        <w:pStyle w:val="Normal"/>
        <w:ind w:firstLine="284"/>
        <w:jc w:val="both"/>
        <w:rPr/>
      </w:pPr>
      <w:r>
        <w:rPr/>
        <w:t>2.5.24.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pPr>
        <w:pStyle w:val="Heading3"/>
        <w:rPr/>
      </w:pPr>
      <w:r>
        <w:rPr/>
        <w:t>ЗАЩИТА ВЛ ОТ ВОЗДЕЙСТВИЯ ОКРУЖАЮЩЕЙ СРЕДЫ</w:t>
      </w:r>
    </w:p>
    <w:p>
      <w:pPr>
        <w:pStyle w:val="Normal"/>
        <w:ind w:firstLine="284"/>
        <w:jc w:val="both"/>
        <w:rPr/>
      </w:pPr>
      <w:r>
        <w:rPr/>
        <w:t>2.5.25.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строительных норм и правил по защите строительных конструкций от коррозии. В необходимых случаях следует предусматривать защиту от электрокоррозии.</w:t>
      </w:r>
    </w:p>
    <w:p>
      <w:pPr>
        <w:pStyle w:val="Normal"/>
        <w:ind w:firstLine="284"/>
        <w:jc w:val="both"/>
        <w:rPr/>
      </w:pPr>
      <w:r>
        <w:rPr/>
        <w:t>Стальные опоры, а также стальные элементы и детали железобетонных и деревянных опор, как правило, должны защищаться от коррозии горячей оцинковкой.</w:t>
      </w:r>
    </w:p>
    <w:p>
      <w:pPr>
        <w:pStyle w:val="Normal"/>
        <w:ind w:firstLine="284"/>
        <w:jc w:val="both"/>
        <w:rPr/>
      </w:pPr>
      <w:r>
        <w:rPr/>
        <w:t>Защита от коррозии должна производиться в заводских условиях. Допускается выполнение ее на специально оборудованных полигонах.</w:t>
      </w:r>
    </w:p>
    <w:p>
      <w:pPr>
        <w:pStyle w:val="Normal"/>
        <w:ind w:firstLine="284"/>
        <w:jc w:val="both"/>
        <w:rPr/>
      </w:pPr>
      <w:r>
        <w:rPr/>
        <w:t>2.5.26.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p>
      <w:pPr>
        <w:pStyle w:val="Normal"/>
        <w:ind w:firstLine="284"/>
        <w:jc w:val="both"/>
        <w:rPr/>
      </w:pPr>
      <w:r>
        <w:rPr/>
        <w:t>На грозозащитный трос и оттяжки в процессе сооружения ВЛ должна быть нанесена защитная смазка.</w:t>
      </w:r>
    </w:p>
    <w:p>
      <w:pPr>
        <w:pStyle w:val="Normal"/>
        <w:ind w:firstLine="284"/>
        <w:jc w:val="both"/>
        <w:rPr/>
      </w:pPr>
      <w:r>
        <w:rPr/>
        <w:t>2.5.27. На участках ВЛ в горных условиях в необходимых случаях должны быть предусмотрены:</w:t>
      </w:r>
    </w:p>
    <w:p>
      <w:pPr>
        <w:pStyle w:val="Normal"/>
        <w:ind w:firstLine="284"/>
        <w:jc w:val="both"/>
        <w:rPr/>
      </w:pPr>
      <w:r>
        <w:rPr/>
        <w:t>очистка склонов от опасных для ВЛ нависающих камней;</w:t>
      </w:r>
    </w:p>
    <w:p>
      <w:pPr>
        <w:pStyle w:val="Normal"/>
        <w:ind w:firstLine="284"/>
        <w:jc w:val="both"/>
        <w:rPr/>
      </w:pPr>
      <w:r>
        <w:rPr/>
        <w:t>расположение ВЛ вне зоны схода снежных лавин и камнепадов, а если это невозможно, то провода и тросы должны размещаться вне зоны действия воздушной волны лавины, а также расчетной траектории полета падающих камней.</w:t>
      </w:r>
    </w:p>
    <w:p>
      <w:pPr>
        <w:pStyle w:val="Normal"/>
        <w:ind w:firstLine="284"/>
        <w:jc w:val="both"/>
        <w:rPr/>
      </w:pPr>
      <w:r>
        <w:rPr/>
        <w:t>2.5.28.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pPr>
        <w:pStyle w:val="Normal"/>
        <w:ind w:firstLine="284"/>
        <w:jc w:val="both"/>
        <w:rPr/>
      </w:pPr>
      <w:r>
        <w:rPr/>
        <w:t>2.5.29.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pPr>
        <w:pStyle w:val="Normal"/>
        <w:ind w:firstLine="284"/>
        <w:jc w:val="both"/>
        <w:rPr/>
      </w:pPr>
      <w:r>
        <w:rPr/>
        <w:t>2.5.30. При прохождении ВЛ по просадочным грунтам опоры, как правило,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pPr>
        <w:pStyle w:val="Normal"/>
        <w:ind w:firstLine="284"/>
        <w:jc w:val="both"/>
        <w:rPr/>
      </w:pPr>
      <w:r>
        <w:rPr/>
        <w:t>2.5.31.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p>
      <w:pPr>
        <w:pStyle w:val="Normal"/>
        <w:ind w:firstLine="284"/>
        <w:jc w:val="both"/>
        <w:rPr/>
      </w:pPr>
      <w:r>
        <w:rPr/>
        <w:t>2.5.32.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p>
      <w:pPr>
        <w:pStyle w:val="Normal"/>
        <w:ind w:firstLine="284"/>
        <w:jc w:val="both"/>
        <w:rPr/>
      </w:pPr>
      <w:r>
        <w:rPr/>
        <w:t>Установка опор в зоне прохождения прогнозируемых грязекаменных селевых потоков не допускается.</w:t>
      </w:r>
    </w:p>
    <w:p>
      <w:pPr>
        <w:pStyle w:val="Normal"/>
        <w:ind w:firstLine="284"/>
        <w:jc w:val="both"/>
        <w:rPr/>
      </w:pPr>
      <w:r>
        <w:rPr/>
        <w:t>2.5.33. Применение опор с оттяжками на участках ВЛ до 330 кВ, проходящих по обрабатываемым землям, не допускается.</w:t>
      </w:r>
    </w:p>
    <w:p>
      <w:pPr>
        <w:pStyle w:val="Normal"/>
        <w:ind w:firstLine="284"/>
        <w:jc w:val="both"/>
        <w:rPr/>
      </w:pPr>
      <w:r>
        <w:rPr/>
        <w:t>2.5.34.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pPr>
        <w:pStyle w:val="Normal"/>
        <w:ind w:firstLine="284"/>
        <w:jc w:val="both"/>
        <w:rPr/>
      </w:pPr>
      <w:r>
        <w:rPr/>
        <w:t>2.5.35.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pPr>
        <w:pStyle w:val="Normal"/>
        <w:ind w:firstLine="284"/>
        <w:jc w:val="both"/>
        <w:rPr/>
      </w:pPr>
      <w:r>
        <w:rPr/>
        <w:t>устройство канавы глубиной 0,4 м и шириной 0,6 м на расстоянии 2 м вокруг каждой стойки опоры;</w:t>
      </w:r>
    </w:p>
    <w:p>
      <w:pPr>
        <w:pStyle w:val="Normal"/>
        <w:ind w:firstLine="284"/>
        <w:jc w:val="both"/>
        <w:rPr/>
      </w:pPr>
      <w:r>
        <w:rPr/>
        <w:t>уничтожение травы и кустарника и очистка от них площадки радиусом 2 м вокруг каждой опоры;</w:t>
      </w:r>
    </w:p>
    <w:p>
      <w:pPr>
        <w:pStyle w:val="Normal"/>
        <w:ind w:firstLine="284"/>
        <w:jc w:val="both"/>
        <w:rPr/>
      </w:pPr>
      <w:r>
        <w:rPr/>
        <w:t>применение железобетонных приставок, при этом расстояние от земли до нижнего торца стойки должно быть не менее 1 м.</w:t>
      </w:r>
    </w:p>
    <w:p>
      <w:pPr>
        <w:pStyle w:val="Normal"/>
        <w:ind w:firstLine="284"/>
        <w:jc w:val="both"/>
        <w:rPr/>
      </w:pPr>
      <w:r>
        <w:rPr/>
        <w:t>Установка деревянных опор ВЛ 110 кВ и выше в местностях, где возможны низовые или торфяные пожары, не рекомендуется.</w:t>
      </w:r>
    </w:p>
    <w:p>
      <w:pPr>
        <w:pStyle w:val="Normal"/>
        <w:ind w:firstLine="284"/>
        <w:jc w:val="both"/>
        <w:rPr/>
      </w:pPr>
      <w:r>
        <w:rPr/>
        <w:t>2.5.36. 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pPr>
        <w:pStyle w:val="Normal"/>
        <w:ind w:firstLine="284"/>
        <w:jc w:val="both"/>
        <w:rPr/>
      </w:pPr>
      <w:r>
        <w:rPr/>
        <w:t>не использовать опоры ВЛ со штыревыми изоляторами;</w:t>
      </w:r>
    </w:p>
    <w:p>
      <w:pPr>
        <w:pStyle w:val="Normal"/>
        <w:ind w:firstLine="284"/>
        <w:jc w:val="both"/>
        <w:rPr/>
      </w:pPr>
      <w:r>
        <w:rPr/>
        <w:t>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p>
      <w:pPr>
        <w:pStyle w:val="Normal"/>
        <w:ind w:firstLine="284"/>
        <w:jc w:val="both"/>
        <w:rPr/>
      </w:pPr>
      <w:r>
        <w:rPr/>
        <w:t>закрывать верхние отверстия полых стоек железобетонных опор наголовниками.</w:t>
      </w:r>
    </w:p>
    <w:p>
      <w:pPr>
        <w:pStyle w:val="Normal"/>
        <w:ind w:firstLine="284"/>
        <w:jc w:val="both"/>
        <w:rPr/>
      </w:pPr>
      <w:r>
        <w:rPr/>
        <w:t>2.5.37.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10000 м</w:t>
      </w:r>
      <w:r>
        <w:rPr>
          <w:vertAlign w:val="superscript"/>
        </w:rPr>
        <w:t>2</w:t>
      </w:r>
      <w:r>
        <w:rPr/>
        <w:t>,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p>
      <w:pPr>
        <w:pStyle w:val="Normal"/>
        <w:ind w:firstLine="284"/>
        <w:jc w:val="both"/>
        <w:rPr/>
      </w:pPr>
      <w:r>
        <w:rPr/>
        <w:t>изоляторы и линейную арматуру в тропическом исполнении, при необходимости с дополнительными защитными мероприятиями;</w:t>
      </w:r>
    </w:p>
    <w:p>
      <w:pPr>
        <w:pStyle w:val="Normal"/>
        <w:ind w:firstLine="284"/>
        <w:jc w:val="both"/>
        <w:rPr/>
      </w:pPr>
      <w:r>
        <w:rPr/>
        <w:t>коррозионно-стойкие провода (см. также 2.5.80), тросы и тросовые элементы опор (см. также 2.5.26);</w:t>
      </w:r>
    </w:p>
    <w:p>
      <w:pPr>
        <w:pStyle w:val="Normal"/>
        <w:ind w:firstLine="284"/>
        <w:jc w:val="both"/>
        <w:rPr/>
      </w:pPr>
      <w:r>
        <w:rPr/>
        <w:t>увеличение сечения элементов заземляющих устройств, применение оцинкованных заземлителей.</w:t>
      </w:r>
    </w:p>
    <w:p>
      <w:pPr>
        <w:pStyle w:val="Heading3"/>
        <w:rPr/>
      </w:pPr>
      <w:r>
        <w:rPr/>
        <w:t>КЛИМАТИЧЕСКИЕ УСЛОВИЯ И НАГРУЗКИ</w:t>
      </w:r>
    </w:p>
    <w:p>
      <w:pPr>
        <w:pStyle w:val="Normal"/>
        <w:ind w:firstLine="284"/>
        <w:jc w:val="both"/>
        <w:rPr/>
      </w:pPr>
      <w:r>
        <w:rPr/>
        <w:t>2.5.38. 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 пляска проводов и тросов, вибрация.</w:t>
      </w:r>
    </w:p>
    <w:p>
      <w:pPr>
        <w:pStyle w:val="Normal"/>
        <w:ind w:firstLine="284"/>
        <w:jc w:val="both"/>
        <w:rPr/>
      </w:pPr>
      <w:r>
        <w:rPr/>
        <w:t>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2.5.1, 2.5.2) с уточнением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 массой, размерами и видом гололедно-изморозевых отложений. В малоизученных районах</w:t>
      </w:r>
      <w:r>
        <w:rPr>
          <w:vertAlign w:val="superscript"/>
        </w:rPr>
        <w:t>*</w:t>
      </w:r>
      <w:r>
        <w:rPr/>
        <w:t xml:space="preserve"> для этой цели могут организовываться специальные обследования и наблюдения.</w:t>
      </w:r>
    </w:p>
    <w:p>
      <w:pPr>
        <w:pStyle w:val="Normal"/>
        <w:spacing w:before="120" w:after="0"/>
        <w:ind w:firstLine="283"/>
        <w:jc w:val="both"/>
        <w:rPr/>
      </w:pPr>
      <w:r>
        <w:rPr>
          <w:vertAlign w:val="superscript"/>
        </w:rPr>
        <w:t>*</w:t>
      </w:r>
      <w:r>
        <w:rPr/>
        <w:t xml:space="preserve"> К малоизученным районам относятся горная местность и районы, где на 100 км трассы ВЛ для характеристики климатических условий имеется только одна репрезентативная метеорологическая станция.</w:t>
      </w:r>
    </w:p>
    <w:p>
      <w:pPr>
        <w:pStyle w:val="Normal"/>
        <w:spacing w:before="120" w:after="0"/>
        <w:ind w:firstLine="283"/>
        <w:jc w:val="both"/>
        <w:rPr/>
      </w:pPr>
      <w:r>
        <w:rPr/>
        <w:t>При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повторяемостью 1 раз в 25 лет.</w:t>
      </w:r>
    </w:p>
    <w:p>
      <w:pPr>
        <w:pStyle w:val="Normal"/>
        <w:ind w:firstLine="283"/>
        <w:jc w:val="both"/>
        <w:rPr/>
      </w:pPr>
      <w:r>
        <w:rPr/>
        <w:t>Основой для районирования по ветровому давлению служат значения максимальных скоростей ветра с 10-минутным интервалом осреднения скоростей на высоте 10 м с повторяемостью 1 раз в 25 лет. Районирование по гололеду производится по максимальной толщине стенки отложения гололеда цилиндрической формы при плотности 0,9 г/см</w:t>
      </w:r>
      <w:r>
        <w:rPr>
          <w:vertAlign w:val="superscript"/>
        </w:rPr>
        <w:t>3</w:t>
      </w:r>
      <w:r>
        <w:rPr/>
        <w:t xml:space="preserve"> на проводе диаметром 10 мм, расположенном на высоте 10 м над поверхностью земли, повторяемостью 1 раз в 25 лет.</w:t>
      </w:r>
    </w:p>
    <w:p>
      <w:pPr>
        <w:pStyle w:val="Normal"/>
        <w:ind w:firstLine="283"/>
        <w:jc w:val="both"/>
        <w:rPr/>
      </w:pPr>
      <w:r>
        <w:rPr/>
        <w:t>Температура воздуха определяется на основании данных метеорологических станций с учетом положений строительных норм и правил и указаний настоящих Правил.</w:t>
      </w:r>
    </w:p>
    <w:p>
      <w:pPr>
        <w:pStyle w:val="Normal"/>
        <w:ind w:firstLine="283"/>
        <w:jc w:val="both"/>
        <w:rPr/>
      </w:pPr>
      <w:r>
        <w:rPr/>
        <w:t>Интенсивность грозовой деятельности должна определяться по картам районирования территории РФ по числу грозовых часов в году (рис. 2.5.3), региональным картам с уточнением при необходимости по данным метеостанций о среднегодовой продолжительности гроз.</w:t>
      </w:r>
    </w:p>
    <w:p>
      <w:pPr>
        <w:pStyle w:val="Normal"/>
        <w:ind w:firstLine="283"/>
        <w:jc w:val="both"/>
        <w:rPr/>
      </w:pPr>
      <w:r>
        <w:rPr/>
        <w:t>Степень агрессивного воздействия окружающей среды определяется с учетом положений СНиПов и государственных стандартов, содержащих требования к применению элементов ВЛ, гл. 1.9 и указаний настоящей главы.</w:t>
      </w:r>
    </w:p>
    <w:p>
      <w:pPr>
        <w:pStyle w:val="Normal"/>
        <w:ind w:firstLine="283"/>
        <w:jc w:val="both"/>
        <w:rPr/>
      </w:pPr>
      <w:r>
        <w:rPr/>
        <w:t>Определение районов по частоте повторяемости и интенсивности пляски проводов и тросов должно производиться по карте районирования территории РФ (рис. 2.5.4) с уточнением по данным эксплуатации.</w:t>
      </w:r>
    </w:p>
    <w:p>
      <w:pPr>
        <w:pStyle w:val="Normal"/>
        <w:ind w:firstLine="283"/>
        <w:jc w:val="both"/>
        <w:rPr/>
      </w:pPr>
      <w:r>
        <w:rPr/>
        <w:t>По частоте повторяемости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pPr>
        <w:pStyle w:val="Normal"/>
        <w:ind w:firstLine="283"/>
        <w:jc w:val="both"/>
        <w:rPr/>
      </w:pPr>
      <w:r>
        <w:rPr/>
        <w:t>2.5.39. При 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 микро- и мезорельефа местности (гребни, склоны, платообразные участки, днища долин, межгорные долины и т.п.).</w:t>
      </w:r>
    </w:p>
    <w:p>
      <w:pPr>
        <w:pStyle w:val="Normal"/>
        <w:ind w:firstLine="283"/>
        <w:jc w:val="both"/>
        <w:rPr/>
      </w:pPr>
      <w:r>
        <w:rPr/>
        <w:t>2.5.40. Значения максимальных ветровых давлений и толщин стенок гололеда для ВЛ определяются на высоте 10 м над поверхностью земли с повторяемостью 1 раз в 25 лет (нормативные значения).</w:t>
      </w:r>
    </w:p>
    <w:p>
      <w:pPr>
        <w:pStyle w:val="Normal"/>
        <w:ind w:firstLine="283"/>
        <w:jc w:val="both"/>
        <w:rPr/>
      </w:pPr>
      <w:r>
        <w:rPr/>
        <w:t xml:space="preserve">2.5.41. Нормативное ветровое давление </w:t>
      </w:r>
      <w:r>
        <w:rPr>
          <w:i/>
          <w:iCs/>
        </w:rPr>
        <w:t>W</w:t>
      </w:r>
      <w:r>
        <w:rPr>
          <w:vertAlign w:val="subscript"/>
        </w:rPr>
        <w:t>0</w:t>
      </w:r>
      <w:r>
        <w:rPr/>
        <w:t>, соответствующее 10-минутному интервалу осреднения скорости ветра (</w:t>
      </w:r>
      <w:r>
        <w:rPr>
          <w:i/>
          <w:iCs/>
        </w:rPr>
        <w:t>v</w:t>
      </w:r>
      <w:r>
        <w:rPr>
          <w:vertAlign w:val="subscript"/>
        </w:rPr>
        <w:t>0</w:t>
      </w:r>
      <w:r>
        <w:rPr/>
        <w:t>), на высоте 10 м над поверхностью земли принимается по табл. 2.5.1 в соответствии с картой районирования территории России по ветровому давлению (рис. 2.5.1) или по региональным картам районирования.</w:t>
      </w:r>
    </w:p>
    <w:p>
      <w:pPr>
        <w:pStyle w:val="Normal"/>
        <w:spacing w:before="120" w:after="120"/>
        <w:jc w:val="right"/>
        <w:rPr/>
      </w:pPr>
      <w:r>
        <w:rPr>
          <w:spacing w:val="40"/>
        </w:rPr>
        <w:t>Таблица</w:t>
      </w:r>
      <w:r>
        <w:rPr/>
        <w:t xml:space="preserve"> 2.5.1</w:t>
      </w:r>
    </w:p>
    <w:p>
      <w:pPr>
        <w:pStyle w:val="Normal"/>
        <w:spacing w:before="0" w:after="120"/>
        <w:jc w:val="center"/>
        <w:rPr/>
      </w:pPr>
      <w:r>
        <w:rPr>
          <w:b/>
          <w:bCs/>
        </w:rPr>
        <w:t xml:space="preserve">Нормативное ветровое давление </w:t>
      </w:r>
      <w:r>
        <w:rPr>
          <w:b/>
          <w:bCs/>
          <w:i/>
          <w:iCs/>
        </w:rPr>
        <w:t>W</w:t>
      </w:r>
      <w:r>
        <w:rPr>
          <w:b/>
          <w:bCs/>
          <w:vertAlign w:val="subscript"/>
        </w:rPr>
        <w:t>0</w:t>
      </w:r>
      <w:r>
        <w:rPr>
          <w:b/>
          <w:bCs/>
        </w:rPr>
        <w:t xml:space="preserve"> на высоте 10 м над поверхностью земли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077"/>
        <w:gridCol w:w="6278"/>
      </w:tblGrid>
      <w:tr>
        <w:trPr>
          <w:tblHeader w:val="true"/>
        </w:trPr>
        <w:tc>
          <w:tcPr>
            <w:tcW w:w="3077"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Район по ветру</w:t>
            </w:r>
          </w:p>
        </w:tc>
        <w:tc>
          <w:tcPr>
            <w:tcW w:w="627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Нормативное ветровое давление </w:t>
            </w:r>
            <w:r>
              <w:rPr>
                <w:i/>
                <w:iCs/>
              </w:rPr>
              <w:t>W</w:t>
            </w:r>
            <w:r>
              <w:rPr>
                <w:vertAlign w:val="subscript"/>
              </w:rPr>
              <w:t>0</w:t>
            </w:r>
            <w:r>
              <w:rPr/>
              <w:t xml:space="preserve">, Па (скорость ветра </w:t>
            </w:r>
            <w:r>
              <w:rPr>
                <w:i/>
                <w:iCs/>
              </w:rPr>
              <w:t>v</w:t>
            </w:r>
            <w:r>
              <w:rPr>
                <w:vertAlign w:val="subscript"/>
              </w:rPr>
              <w:t>0</w:t>
            </w:r>
            <w:r>
              <w:rPr/>
              <w:t>, м/с)</w:t>
            </w:r>
          </w:p>
        </w:tc>
      </w:tr>
      <w:tr>
        <w:trPr/>
        <w:tc>
          <w:tcPr>
            <w:tcW w:w="3077" w:type="dxa"/>
            <w:tcBorders>
              <w:left w:val="single" w:sz="8" w:space="0" w:color="000000"/>
            </w:tcBorders>
            <w:shd w:fill="FFFFFF" w:val="clear"/>
          </w:tcPr>
          <w:p>
            <w:pPr>
              <w:pStyle w:val="Normal"/>
              <w:jc w:val="center"/>
              <w:rPr/>
            </w:pPr>
            <w:r>
              <w:rPr/>
              <w:t>I</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 (25)</w:t>
            </w:r>
          </w:p>
        </w:tc>
      </w:tr>
      <w:tr>
        <w:trPr/>
        <w:tc>
          <w:tcPr>
            <w:tcW w:w="3077" w:type="dxa"/>
            <w:tcBorders>
              <w:left w:val="single" w:sz="8" w:space="0" w:color="000000"/>
            </w:tcBorders>
            <w:shd w:fill="FFFFFF" w:val="clear"/>
          </w:tcPr>
          <w:p>
            <w:pPr>
              <w:pStyle w:val="Normal"/>
              <w:jc w:val="center"/>
              <w:rPr/>
            </w:pPr>
            <w:r>
              <w:rPr/>
              <w:t>II</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500 (29)</w:t>
            </w:r>
          </w:p>
        </w:tc>
      </w:tr>
      <w:tr>
        <w:trPr/>
        <w:tc>
          <w:tcPr>
            <w:tcW w:w="3077" w:type="dxa"/>
            <w:tcBorders>
              <w:left w:val="single" w:sz="8" w:space="0" w:color="000000"/>
            </w:tcBorders>
            <w:shd w:fill="FFFFFF" w:val="clear"/>
          </w:tcPr>
          <w:p>
            <w:pPr>
              <w:pStyle w:val="Normal"/>
              <w:jc w:val="center"/>
              <w:rPr/>
            </w:pPr>
            <w:r>
              <w:rPr/>
              <w:t>III</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650 (32)</w:t>
            </w:r>
          </w:p>
        </w:tc>
      </w:tr>
      <w:tr>
        <w:trPr/>
        <w:tc>
          <w:tcPr>
            <w:tcW w:w="3077" w:type="dxa"/>
            <w:tcBorders>
              <w:left w:val="single" w:sz="8" w:space="0" w:color="000000"/>
            </w:tcBorders>
            <w:shd w:fill="FFFFFF" w:val="clear"/>
          </w:tcPr>
          <w:p>
            <w:pPr>
              <w:pStyle w:val="Normal"/>
              <w:jc w:val="center"/>
              <w:rPr/>
            </w:pPr>
            <w:r>
              <w:rPr/>
              <w:t>IV</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800 (36)</w:t>
            </w:r>
          </w:p>
        </w:tc>
      </w:tr>
      <w:tr>
        <w:trPr/>
        <w:tc>
          <w:tcPr>
            <w:tcW w:w="3077" w:type="dxa"/>
            <w:tcBorders>
              <w:left w:val="single" w:sz="8" w:space="0" w:color="000000"/>
            </w:tcBorders>
            <w:shd w:fill="FFFFFF" w:val="clear"/>
          </w:tcPr>
          <w:p>
            <w:pPr>
              <w:pStyle w:val="Normal"/>
              <w:jc w:val="center"/>
              <w:rPr/>
            </w:pPr>
            <w:r>
              <w:rPr/>
              <w:t>V</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1000 (40)</w:t>
            </w:r>
          </w:p>
        </w:tc>
      </w:tr>
      <w:tr>
        <w:trPr/>
        <w:tc>
          <w:tcPr>
            <w:tcW w:w="3077" w:type="dxa"/>
            <w:tcBorders>
              <w:left w:val="single" w:sz="8" w:space="0" w:color="000000"/>
            </w:tcBorders>
            <w:shd w:fill="FFFFFF" w:val="clear"/>
          </w:tcPr>
          <w:p>
            <w:pPr>
              <w:pStyle w:val="Normal"/>
              <w:jc w:val="center"/>
              <w:rPr/>
            </w:pPr>
            <w:r>
              <w:rPr/>
              <w:t>VI</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1250 (45)</w:t>
            </w:r>
          </w:p>
        </w:tc>
      </w:tr>
      <w:tr>
        <w:trPr/>
        <w:tc>
          <w:tcPr>
            <w:tcW w:w="3077" w:type="dxa"/>
            <w:tcBorders>
              <w:left w:val="single" w:sz="8" w:space="0" w:color="000000"/>
            </w:tcBorders>
            <w:shd w:fill="FFFFFF" w:val="clear"/>
          </w:tcPr>
          <w:p>
            <w:pPr>
              <w:pStyle w:val="Normal"/>
              <w:jc w:val="center"/>
              <w:rPr/>
            </w:pPr>
            <w:r>
              <w:rPr/>
              <w:t>VII</w:t>
            </w:r>
          </w:p>
        </w:tc>
        <w:tc>
          <w:tcPr>
            <w:tcW w:w="627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1500 (49)</w:t>
            </w:r>
          </w:p>
        </w:tc>
      </w:tr>
      <w:tr>
        <w:trPr/>
        <w:tc>
          <w:tcPr>
            <w:tcW w:w="3077" w:type="dxa"/>
            <w:tcBorders>
              <w:left w:val="single" w:sz="8" w:space="0" w:color="000000"/>
              <w:bottom w:val="single" w:sz="8" w:space="0" w:color="000000"/>
              <w:insideH w:val="single" w:sz="8" w:space="0" w:color="000000"/>
            </w:tcBorders>
            <w:shd w:fill="FFFFFF" w:val="clear"/>
          </w:tcPr>
          <w:p>
            <w:pPr>
              <w:pStyle w:val="Normal"/>
              <w:jc w:val="center"/>
              <w:rPr/>
            </w:pPr>
            <w:r>
              <w:rPr/>
              <w:t>Особый</w:t>
            </w:r>
          </w:p>
        </w:tc>
        <w:tc>
          <w:tcPr>
            <w:tcW w:w="627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Выше 1500 (выше 49)</w:t>
            </w:r>
          </w:p>
        </w:tc>
      </w:tr>
    </w:tbl>
    <w:p>
      <w:pPr>
        <w:pStyle w:val="Normal"/>
        <w:spacing w:before="120" w:after="0"/>
        <w:ind w:firstLine="283"/>
        <w:jc w:val="both"/>
        <w:rPr/>
      </w:pPr>
      <w:r>
        <w:rPr/>
        <w:t>Полученное при обработке метеоданных нормативное ветровое давление следует округлять до ближайшего большего значения, приведенного в табл. 2.5.1.</w:t>
      </w:r>
    </w:p>
    <w:p>
      <w:pPr>
        <w:pStyle w:val="Normal"/>
        <w:ind w:firstLine="284"/>
        <w:jc w:val="both"/>
        <w:rPr/>
      </w:pPr>
      <w:r>
        <w:rPr/>
        <w:t xml:space="preserve">Ветровое давление </w:t>
      </w:r>
      <w:r>
        <w:rPr>
          <w:i/>
          <w:iCs/>
        </w:rPr>
        <w:t>W</w:t>
      </w:r>
      <w:r>
        <w:rPr/>
        <w:t xml:space="preserve"> определяется по формуле, Па</w:t>
      </w:r>
    </w:p>
    <w:p>
      <w:pPr>
        <w:pStyle w:val="Normal"/>
        <w:spacing w:before="120" w:after="120"/>
        <w:jc w:val="center"/>
        <w:rPr>
          <w:vertAlign w:val="subscript"/>
        </w:rPr>
      </w:pPr>
      <w:r>
        <w:rPr>
          <w:vertAlign w:val="subscript"/>
        </w:rPr>
        <w:drawing>
          <wp:inline distT="0" distB="0" distL="0" distR="0">
            <wp:extent cx="588645" cy="437515"/>
            <wp:effectExtent l="0" t="0" r="0" b="0"/>
            <wp:docPr id="2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 descr=""/>
                    <pic:cNvPicPr>
                      <a:picLocks noChangeAspect="1" noChangeArrowheads="1"/>
                    </pic:cNvPicPr>
                  </pic:nvPicPr>
                  <pic:blipFill>
                    <a:blip r:embed="rId34"/>
                    <a:srcRect l="-60" t="-82" r="-60" b="-82"/>
                    <a:stretch>
                      <a:fillRect/>
                    </a:stretch>
                  </pic:blipFill>
                  <pic:spPr bwMode="auto">
                    <a:xfrm>
                      <a:off x="0" y="0"/>
                      <a:ext cx="588645" cy="437515"/>
                    </a:xfrm>
                    <a:prstGeom prst="rect">
                      <a:avLst/>
                    </a:prstGeom>
                  </pic:spPr>
                </pic:pic>
              </a:graphicData>
            </a:graphic>
          </wp:inline>
        </w:drawing>
      </w:r>
    </w:p>
    <w:p>
      <w:pPr>
        <w:pStyle w:val="Normal"/>
        <w:ind w:firstLine="284"/>
        <w:jc w:val="both"/>
        <w:rPr/>
      </w:pPr>
      <w:r>
        <w:rPr/>
        <w:t>Ветровое давление более 1500 Па должно округляться до ближайшего большего значения, кратного 250 Па.</w:t>
      </w:r>
    </w:p>
    <w:p>
      <w:pPr>
        <w:pStyle w:val="Normal"/>
        <w:ind w:firstLine="284"/>
        <w:jc w:val="both"/>
        <w:rPr/>
      </w:pPr>
      <w:r>
        <w:rPr/>
        <w:t>Для ВЛ 110 - 750 кВ нормативное ветровое давление должно приниматься не менее 500 Па.</w:t>
      </w:r>
    </w:p>
    <w:p>
      <w:pPr>
        <w:pStyle w:val="Normal"/>
        <w:ind w:firstLine="284"/>
        <w:jc w:val="both"/>
        <w:rPr/>
      </w:pPr>
      <w:r>
        <w:rPr/>
        <w:t>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pPr>
        <w:pStyle w:val="Normal"/>
        <w:ind w:firstLine="284"/>
        <w:jc w:val="both"/>
        <w:rPr/>
      </w:pPr>
      <w:r>
        <w:rPr/>
        <w:t>2.5.42. 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прибрежная полоса морей и океанов, больших озер и водохранилищ в пределах 3 - 5 км),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ближайшего значения, указанного в табл. 2.5.1.</w:t>
      </w:r>
    </w:p>
    <w:p>
      <w:pPr>
        <w:pStyle w:val="Normal"/>
        <w:ind w:firstLine="284"/>
        <w:jc w:val="both"/>
        <w:rPr/>
      </w:pPr>
      <w:r>
        <w:rPr/>
        <w:t> </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6115050" cy="3952875"/>
            <wp:effectExtent l="0" t="0" r="0" b="0"/>
            <wp:docPr id="27" name="image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027" descr=""/>
                    <pic:cNvPicPr>
                      <a:picLocks noChangeAspect="1" noChangeArrowheads="1"/>
                    </pic:cNvPicPr>
                  </pic:nvPicPr>
                  <pic:blipFill>
                    <a:blip r:embed="rId35"/>
                    <a:srcRect l="-5" t="-9" r="-5" b="-9"/>
                    <a:stretch>
                      <a:fillRect/>
                    </a:stretch>
                  </pic:blipFill>
                  <pic:spPr bwMode="auto">
                    <a:xfrm>
                      <a:off x="0" y="0"/>
                      <a:ext cx="6115050" cy="3952875"/>
                    </a:xfrm>
                    <a:prstGeom prst="rect">
                      <a:avLst/>
                    </a:prstGeom>
                  </pic:spPr>
                </pic:pic>
              </a:graphicData>
            </a:graphic>
          </wp:inline>
        </w:drawing>
      </w:r>
    </w:p>
    <w:p>
      <w:pPr>
        <w:pStyle w:val="Normal"/>
        <w:spacing w:before="0" w:after="120"/>
        <w:jc w:val="center"/>
        <w:rPr/>
      </w:pPr>
      <w:r>
        <w:rPr/>
        <w:t> </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939790" cy="3642360"/>
            <wp:effectExtent l="0" t="0" r="0" b="0"/>
            <wp:docPr id="28" name="image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028" descr=""/>
                    <pic:cNvPicPr>
                      <a:picLocks noChangeAspect="1" noChangeArrowheads="1"/>
                    </pic:cNvPicPr>
                  </pic:nvPicPr>
                  <pic:blipFill>
                    <a:blip r:embed="rId36"/>
                    <a:srcRect l="-5" t="-9" r="-5" b="-9"/>
                    <a:stretch>
                      <a:fillRect/>
                    </a:stretch>
                  </pic:blipFill>
                  <pic:spPr bwMode="auto">
                    <a:xfrm>
                      <a:off x="0" y="0"/>
                      <a:ext cx="5939790" cy="3642360"/>
                    </a:xfrm>
                    <a:prstGeom prst="rect">
                      <a:avLst/>
                    </a:prstGeom>
                  </pic:spPr>
                </pic:pic>
              </a:graphicData>
            </a:graphic>
          </wp:inline>
        </w:drawing>
      </w:r>
    </w:p>
    <w:p>
      <w:pPr>
        <w:pStyle w:val="Normal"/>
        <w:spacing w:before="120" w:after="120"/>
        <w:jc w:val="center"/>
        <w:rPr/>
      </w:pPr>
      <w:r>
        <w:rPr/>
        <w:t>Рис. 2.5.2. Карта районирования территории РФ по толщине стенки гололеда</w:t>
      </w:r>
    </w:p>
    <w:p>
      <w:pPr>
        <w:pStyle w:val="Normal"/>
        <w:spacing w:before="0" w:after="120"/>
        <w:jc w:val="center"/>
        <w:rPr/>
      </w:pPr>
      <w:r>
        <w:rPr/>
        <w:t> </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934710" cy="3720465"/>
            <wp:effectExtent l="0" t="0" r="0" b="0"/>
            <wp:docPr id="29" name="image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29" descr=""/>
                    <pic:cNvPicPr>
                      <a:picLocks noChangeAspect="1" noChangeArrowheads="1"/>
                    </pic:cNvPicPr>
                  </pic:nvPicPr>
                  <pic:blipFill>
                    <a:blip r:embed="rId37"/>
                    <a:srcRect l="-5" t="-9" r="-5" b="-9"/>
                    <a:stretch>
                      <a:fillRect/>
                    </a:stretch>
                  </pic:blipFill>
                  <pic:spPr bwMode="auto">
                    <a:xfrm>
                      <a:off x="0" y="0"/>
                      <a:ext cx="5934710" cy="3720465"/>
                    </a:xfrm>
                    <a:prstGeom prst="rect">
                      <a:avLst/>
                    </a:prstGeom>
                  </pic:spPr>
                </pic:pic>
              </a:graphicData>
            </a:graphic>
          </wp:inline>
        </w:drawing>
      </w:r>
    </w:p>
    <w:p>
      <w:pPr>
        <w:pStyle w:val="Normal"/>
        <w:spacing w:before="120" w:after="120"/>
        <w:jc w:val="center"/>
        <w:rPr/>
      </w:pPr>
      <w:r>
        <w:rPr/>
        <w:t>Рис. 2.5.3. Карта районирования территории РФ по среднегодовой продолжительности гроз в часах</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5937250" cy="3606800"/>
            <wp:effectExtent l="0" t="0" r="0" b="0"/>
            <wp:docPr id="30" name="image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30" descr=""/>
                    <pic:cNvPicPr>
                      <a:picLocks noChangeAspect="1" noChangeArrowheads="1"/>
                    </pic:cNvPicPr>
                  </pic:nvPicPr>
                  <pic:blipFill>
                    <a:blip r:embed="rId38"/>
                    <a:srcRect l="-5" t="-9" r="-5" b="-9"/>
                    <a:stretch>
                      <a:fillRect/>
                    </a:stretch>
                  </pic:blipFill>
                  <pic:spPr bwMode="auto">
                    <a:xfrm>
                      <a:off x="0" y="0"/>
                      <a:ext cx="5937250" cy="3606800"/>
                    </a:xfrm>
                    <a:prstGeom prst="rect">
                      <a:avLst/>
                    </a:prstGeom>
                  </pic:spPr>
                </pic:pic>
              </a:graphicData>
            </a:graphic>
          </wp:inline>
        </w:drawing>
      </w:r>
    </w:p>
    <w:p>
      <w:pPr>
        <w:pStyle w:val="Normal"/>
        <w:spacing w:before="120" w:after="120"/>
        <w:jc w:val="center"/>
        <w:rPr/>
      </w:pPr>
      <w:r>
        <w:rPr/>
        <w:t>Рис. 2.5.4. Карта районирования территории РФ по пляске проводов</w:t>
      </w:r>
    </w:p>
    <w:p>
      <w:pPr>
        <w:pStyle w:val="Normal"/>
        <w:ind w:firstLine="284"/>
        <w:jc w:val="both"/>
        <w:rPr/>
      </w:pPr>
      <w:r>
        <w:rPr/>
        <w:t xml:space="preserve">2.5.43. Нормативное ветровое давление при гололеде </w:t>
      </w:r>
      <w:r>
        <w:rPr>
          <w:i/>
          <w:iCs/>
        </w:rPr>
        <w:t>W</w:t>
      </w:r>
      <w:r>
        <w:rPr>
          <w:i/>
          <w:iCs/>
          <w:vertAlign w:val="subscript"/>
        </w:rPr>
        <w:t>г</w:t>
      </w:r>
      <w:r>
        <w:rPr/>
        <w:t xml:space="preserve"> с повторяемостью 1 раз в 25 лет определяется по формуле 2.5.41, по скорости ветра при гололеде </w:t>
      </w:r>
      <w:r>
        <w:rPr>
          <w:i/>
          <w:iCs/>
        </w:rPr>
        <w:t>v</w:t>
      </w:r>
      <w:r>
        <w:rPr>
          <w:i/>
          <w:iCs/>
          <w:vertAlign w:val="subscript"/>
        </w:rPr>
        <w:t>г</w:t>
      </w:r>
      <w:r>
        <w:rPr/>
        <w:t>.</w:t>
      </w:r>
    </w:p>
    <w:p>
      <w:pPr>
        <w:pStyle w:val="Normal"/>
        <w:ind w:firstLine="284"/>
        <w:jc w:val="both"/>
        <w:rPr/>
      </w:pPr>
      <w:r>
        <w:rPr/>
        <w:t xml:space="preserve">Скорость ветра </w:t>
      </w:r>
      <w:r>
        <w:rPr>
          <w:i/>
          <w:iCs/>
        </w:rPr>
        <w:t>v</w:t>
      </w:r>
      <w:r>
        <w:rPr>
          <w:i/>
          <w:iCs/>
          <w:vertAlign w:val="subscript"/>
        </w:rPr>
        <w:t>г</w:t>
      </w:r>
      <w:r>
        <w:rPr/>
        <w:t xml:space="preserve">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t>
      </w:r>
      <w:r>
        <w:rPr>
          <w:i/>
          <w:iCs/>
        </w:rPr>
        <w:t>W</w:t>
      </w:r>
      <w:r>
        <w:rPr>
          <w:i/>
          <w:iCs/>
          <w:vertAlign w:val="subscript"/>
        </w:rPr>
        <w:t>г</w:t>
      </w:r>
      <w:r>
        <w:rPr/>
        <w:t xml:space="preserve"> = 0,25 </w:t>
      </w:r>
      <w:r>
        <w:rPr>
          <w:i/>
          <w:iCs/>
        </w:rPr>
        <w:t>W</w:t>
      </w:r>
      <w:r>
        <w:rPr>
          <w:vertAlign w:val="subscript"/>
        </w:rPr>
        <w:t>0</w:t>
      </w:r>
      <w:r>
        <w:rPr/>
        <w:t>. Для ВЛ до 20 кВ нормативное ветровое давление при гололеде должно приниматься не менее 200 Па, для ВЛ 330 - 750 кВ - не менее 160 Па.</w:t>
      </w:r>
    </w:p>
    <w:p>
      <w:pPr>
        <w:pStyle w:val="Normal"/>
        <w:ind w:firstLine="284"/>
        <w:jc w:val="both"/>
        <w:rPr/>
      </w:pPr>
      <w:r>
        <w:rPr/>
        <w:t>Нормативные ветровые давления (скорости ветра) при гололеде округляются до ближайших следующих значений, Па (м/с): 80 (11), 120 (14), 160 (16), 200 (18), 240 (20), 280 (21), 320 (23), 360 (24).</w:t>
      </w:r>
    </w:p>
    <w:p>
      <w:pPr>
        <w:pStyle w:val="Normal"/>
        <w:ind w:firstLine="284"/>
        <w:jc w:val="both"/>
        <w:rPr/>
      </w:pPr>
      <w:r>
        <w:rPr/>
        <w:t>Значения более 360 Па должны округляться до ближайшего значения, кратного 40 Па.</w:t>
      </w:r>
    </w:p>
    <w:p>
      <w:pPr>
        <w:pStyle w:val="Normal"/>
        <w:ind w:firstLine="284"/>
        <w:jc w:val="both"/>
        <w:rPr/>
      </w:pPr>
      <w:r>
        <w:rPr/>
        <w:t>2.5.44.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10 м.</w:t>
      </w:r>
    </w:p>
    <w:p>
      <w:pPr>
        <w:pStyle w:val="Normal"/>
        <w:ind w:firstLine="284"/>
        <w:jc w:val="both"/>
        <w:rPr/>
      </w:pPr>
      <w:r>
        <w:rPr/>
        <w:t xml:space="preserve">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w:t>
      </w:r>
      <w:r>
        <w:rPr>
          <w:i/>
          <w:iCs/>
        </w:rPr>
        <w:t>K</w:t>
      </w:r>
      <w:r>
        <w:rPr>
          <w:i/>
          <w:iCs/>
          <w:vertAlign w:val="subscript"/>
        </w:rPr>
        <w:t>w</w:t>
      </w:r>
      <w:r>
        <w:rPr/>
        <w:t>, принимаемый по табл. 2.5.2.</w:t>
      </w:r>
    </w:p>
    <w:p>
      <w:pPr>
        <w:pStyle w:val="Normal"/>
        <w:spacing w:before="120" w:after="120"/>
        <w:jc w:val="right"/>
        <w:rPr/>
      </w:pPr>
      <w:r>
        <w:rPr>
          <w:spacing w:val="40"/>
        </w:rPr>
        <w:t>Таблица</w:t>
      </w:r>
      <w:r>
        <w:rPr/>
        <w:t xml:space="preserve"> 2.5.2</w:t>
      </w:r>
    </w:p>
    <w:p>
      <w:pPr>
        <w:pStyle w:val="Normal"/>
        <w:spacing w:before="0" w:after="120"/>
        <w:jc w:val="center"/>
        <w:rPr/>
      </w:pPr>
      <w:r>
        <w:rPr>
          <w:b/>
          <w:bCs/>
        </w:rPr>
        <w:t xml:space="preserve">Изменение коэффициента </w:t>
      </w:r>
      <w:r>
        <w:rPr>
          <w:b/>
          <w:bCs/>
          <w:i/>
          <w:iCs/>
        </w:rPr>
        <w:t>K</w:t>
      </w:r>
      <w:r>
        <w:rPr>
          <w:b/>
          <w:bCs/>
          <w:i/>
          <w:iCs/>
          <w:vertAlign w:val="subscript"/>
        </w:rPr>
        <w:t>w</w:t>
      </w:r>
      <w:r>
        <w:rPr>
          <w:b/>
          <w:bCs/>
        </w:rPr>
        <w:t xml:space="preserve"> по высоте в зависимости от типа местности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30"/>
        <w:gridCol w:w="1568"/>
        <w:gridCol w:w="1568"/>
        <w:gridCol w:w="1589"/>
      </w:tblGrid>
      <w:tr>
        <w:trPr>
          <w:tblHeader w:val="true"/>
        </w:trPr>
        <w:tc>
          <w:tcPr>
            <w:tcW w:w="463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Высота расположения приведенного центра тяжести проводов, тросов и средних точек зон конструкций опор ВЛ над поверхностью земли, м</w:t>
            </w:r>
          </w:p>
        </w:tc>
        <w:tc>
          <w:tcPr>
            <w:tcW w:w="4725"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Коэффициент </w:t>
            </w:r>
            <w:r>
              <w:rPr>
                <w:i/>
                <w:iCs/>
              </w:rPr>
              <w:t>K</w:t>
            </w:r>
            <w:r>
              <w:rPr>
                <w:i/>
                <w:iCs/>
                <w:vertAlign w:val="subscript"/>
              </w:rPr>
              <w:t>w</w:t>
            </w:r>
            <w:r>
              <w:rPr/>
              <w:t xml:space="preserve"> для типов местности</w:t>
            </w:r>
          </w:p>
        </w:tc>
      </w:tr>
      <w:tr>
        <w:trPr>
          <w:tblHeader w:val="true"/>
        </w:trPr>
        <w:tc>
          <w:tcPr>
            <w:tcW w:w="463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568" w:type="dxa"/>
            <w:tcBorders>
              <w:left w:val="single" w:sz="8" w:space="0" w:color="000000"/>
              <w:bottom w:val="single" w:sz="8" w:space="0" w:color="000000"/>
              <w:insideH w:val="single" w:sz="8" w:space="0" w:color="000000"/>
            </w:tcBorders>
            <w:shd w:fill="FFFFFF" w:val="clear"/>
            <w:vAlign w:val="center"/>
          </w:tcPr>
          <w:p>
            <w:pPr>
              <w:pStyle w:val="Normal"/>
              <w:jc w:val="center"/>
              <w:rPr>
                <w:i/>
                <w:i/>
                <w:iCs/>
              </w:rPr>
            </w:pPr>
            <w:r>
              <w:rPr>
                <w:i/>
                <w:iCs/>
              </w:rPr>
              <w:t>А</w:t>
            </w:r>
          </w:p>
        </w:tc>
        <w:tc>
          <w:tcPr>
            <w:tcW w:w="15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i/>
                <w:i/>
                <w:iCs/>
              </w:rPr>
            </w:pPr>
            <w:r>
              <w:rPr>
                <w:i/>
                <w:iCs/>
              </w:rPr>
              <w:t>В</w:t>
            </w:r>
          </w:p>
        </w:tc>
        <w:tc>
          <w:tcPr>
            <w:tcW w:w="158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i/>
                <w:i/>
                <w:iCs/>
              </w:rPr>
            </w:pPr>
            <w:r>
              <w:rPr>
                <w:i/>
                <w:iCs/>
              </w:rPr>
              <w:t>С</w:t>
            </w:r>
          </w:p>
        </w:tc>
      </w:tr>
      <w:tr>
        <w:trPr/>
        <w:tc>
          <w:tcPr>
            <w:tcW w:w="4630" w:type="dxa"/>
            <w:tcBorders>
              <w:left w:val="single" w:sz="8" w:space="0" w:color="000000"/>
            </w:tcBorders>
            <w:shd w:fill="FFFFFF" w:val="clear"/>
          </w:tcPr>
          <w:p>
            <w:pPr>
              <w:pStyle w:val="Normal"/>
              <w:jc w:val="center"/>
              <w:rPr/>
            </w:pPr>
            <w:r>
              <w:rPr/>
              <w:t>До 15</w:t>
            </w:r>
          </w:p>
        </w:tc>
        <w:tc>
          <w:tcPr>
            <w:tcW w:w="1568" w:type="dxa"/>
            <w:tcBorders>
              <w:left w:val="single" w:sz="8" w:space="0" w:color="000000"/>
            </w:tcBorders>
            <w:shd w:fill="FFFFFF" w:val="clear"/>
            <w:tcMar>
              <w:left w:w="0" w:type="dxa"/>
              <w:right w:w="0" w:type="dxa"/>
            </w:tcMar>
          </w:tcPr>
          <w:p>
            <w:pPr>
              <w:pStyle w:val="Normal"/>
              <w:jc w:val="center"/>
              <w:rPr/>
            </w:pPr>
            <w:r>
              <w:rPr/>
              <w:t>1,00</w:t>
            </w:r>
          </w:p>
        </w:tc>
        <w:tc>
          <w:tcPr>
            <w:tcW w:w="1568" w:type="dxa"/>
            <w:tcBorders>
              <w:left w:val="single" w:sz="8" w:space="0" w:color="000000"/>
            </w:tcBorders>
            <w:shd w:fill="FFFFFF" w:val="clear"/>
            <w:tcMar>
              <w:left w:w="0" w:type="dxa"/>
              <w:right w:w="0" w:type="dxa"/>
            </w:tcMar>
          </w:tcPr>
          <w:p>
            <w:pPr>
              <w:pStyle w:val="Normal"/>
              <w:jc w:val="center"/>
              <w:rPr/>
            </w:pPr>
            <w:r>
              <w:rPr/>
              <w:t>0,65</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0,40</w:t>
            </w:r>
          </w:p>
        </w:tc>
      </w:tr>
      <w:tr>
        <w:trPr/>
        <w:tc>
          <w:tcPr>
            <w:tcW w:w="4630" w:type="dxa"/>
            <w:tcBorders>
              <w:left w:val="single" w:sz="8" w:space="0" w:color="000000"/>
            </w:tcBorders>
            <w:shd w:fill="FFFFFF" w:val="clear"/>
          </w:tcPr>
          <w:p>
            <w:pPr>
              <w:pStyle w:val="Normal"/>
              <w:jc w:val="center"/>
              <w:rPr/>
            </w:pPr>
            <w:r>
              <w:rPr/>
              <w:t>20</w:t>
            </w:r>
          </w:p>
        </w:tc>
        <w:tc>
          <w:tcPr>
            <w:tcW w:w="1568" w:type="dxa"/>
            <w:tcBorders>
              <w:left w:val="single" w:sz="8" w:space="0" w:color="000000"/>
            </w:tcBorders>
            <w:shd w:fill="FFFFFF" w:val="clear"/>
            <w:tcMar>
              <w:left w:w="0" w:type="dxa"/>
              <w:right w:w="0" w:type="dxa"/>
            </w:tcMar>
          </w:tcPr>
          <w:p>
            <w:pPr>
              <w:pStyle w:val="Normal"/>
              <w:jc w:val="center"/>
              <w:rPr/>
            </w:pPr>
            <w:r>
              <w:rPr/>
              <w:t>1,25</w:t>
            </w:r>
          </w:p>
        </w:tc>
        <w:tc>
          <w:tcPr>
            <w:tcW w:w="1568" w:type="dxa"/>
            <w:tcBorders>
              <w:left w:val="single" w:sz="8" w:space="0" w:color="000000"/>
            </w:tcBorders>
            <w:shd w:fill="FFFFFF" w:val="clear"/>
            <w:tcMar>
              <w:left w:w="0" w:type="dxa"/>
              <w:right w:w="0" w:type="dxa"/>
            </w:tcMar>
          </w:tcPr>
          <w:p>
            <w:pPr>
              <w:pStyle w:val="Normal"/>
              <w:jc w:val="center"/>
              <w:rPr/>
            </w:pPr>
            <w:r>
              <w:rPr/>
              <w:t>0,85</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0,55</w:t>
            </w:r>
          </w:p>
        </w:tc>
      </w:tr>
      <w:tr>
        <w:trPr/>
        <w:tc>
          <w:tcPr>
            <w:tcW w:w="4630" w:type="dxa"/>
            <w:tcBorders>
              <w:left w:val="single" w:sz="8" w:space="0" w:color="000000"/>
            </w:tcBorders>
            <w:shd w:fill="FFFFFF" w:val="clear"/>
          </w:tcPr>
          <w:p>
            <w:pPr>
              <w:pStyle w:val="Normal"/>
              <w:jc w:val="center"/>
              <w:rPr/>
            </w:pPr>
            <w:r>
              <w:rPr/>
              <w:t>40</w:t>
            </w:r>
          </w:p>
        </w:tc>
        <w:tc>
          <w:tcPr>
            <w:tcW w:w="1568" w:type="dxa"/>
            <w:tcBorders>
              <w:left w:val="single" w:sz="8" w:space="0" w:color="000000"/>
            </w:tcBorders>
            <w:shd w:fill="FFFFFF" w:val="clear"/>
            <w:tcMar>
              <w:left w:w="0" w:type="dxa"/>
              <w:right w:w="0" w:type="dxa"/>
            </w:tcMar>
          </w:tcPr>
          <w:p>
            <w:pPr>
              <w:pStyle w:val="Normal"/>
              <w:jc w:val="center"/>
              <w:rPr/>
            </w:pPr>
            <w:r>
              <w:rPr/>
              <w:t>1,50</w:t>
            </w:r>
          </w:p>
        </w:tc>
        <w:tc>
          <w:tcPr>
            <w:tcW w:w="1568" w:type="dxa"/>
            <w:tcBorders>
              <w:left w:val="single" w:sz="8" w:space="0" w:color="000000"/>
            </w:tcBorders>
            <w:shd w:fill="FFFFFF" w:val="clear"/>
            <w:tcMar>
              <w:left w:w="0" w:type="dxa"/>
              <w:right w:w="0" w:type="dxa"/>
            </w:tcMar>
          </w:tcPr>
          <w:p>
            <w:pPr>
              <w:pStyle w:val="Normal"/>
              <w:jc w:val="center"/>
              <w:rPr/>
            </w:pPr>
            <w:r>
              <w:rPr/>
              <w:t>1,10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0,80</w:t>
            </w:r>
          </w:p>
        </w:tc>
      </w:tr>
      <w:tr>
        <w:trPr/>
        <w:tc>
          <w:tcPr>
            <w:tcW w:w="4630" w:type="dxa"/>
            <w:tcBorders>
              <w:left w:val="single" w:sz="8" w:space="0" w:color="000000"/>
            </w:tcBorders>
            <w:shd w:fill="FFFFFF" w:val="clear"/>
          </w:tcPr>
          <w:p>
            <w:pPr>
              <w:pStyle w:val="Normal"/>
              <w:jc w:val="center"/>
              <w:rPr/>
            </w:pPr>
            <w:r>
              <w:rPr/>
              <w:t>60</w:t>
            </w:r>
          </w:p>
        </w:tc>
        <w:tc>
          <w:tcPr>
            <w:tcW w:w="1568" w:type="dxa"/>
            <w:tcBorders>
              <w:left w:val="single" w:sz="8" w:space="0" w:color="000000"/>
            </w:tcBorders>
            <w:shd w:fill="FFFFFF" w:val="clear"/>
            <w:tcMar>
              <w:left w:w="0" w:type="dxa"/>
              <w:right w:w="0" w:type="dxa"/>
            </w:tcMar>
          </w:tcPr>
          <w:p>
            <w:pPr>
              <w:pStyle w:val="Normal"/>
              <w:jc w:val="center"/>
              <w:rPr/>
            </w:pPr>
            <w:r>
              <w:rPr/>
              <w:t>1,70</w:t>
            </w:r>
          </w:p>
        </w:tc>
        <w:tc>
          <w:tcPr>
            <w:tcW w:w="1568" w:type="dxa"/>
            <w:tcBorders>
              <w:left w:val="single" w:sz="8" w:space="0" w:color="000000"/>
            </w:tcBorders>
            <w:shd w:fill="FFFFFF" w:val="clear"/>
            <w:tcMar>
              <w:left w:w="0" w:type="dxa"/>
              <w:right w:w="0" w:type="dxa"/>
            </w:tcMar>
          </w:tcPr>
          <w:p>
            <w:pPr>
              <w:pStyle w:val="Normal"/>
              <w:jc w:val="center"/>
              <w:rPr/>
            </w:pPr>
            <w:r>
              <w:rPr/>
              <w:t>1,30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1,00</w:t>
            </w:r>
          </w:p>
        </w:tc>
      </w:tr>
      <w:tr>
        <w:trPr/>
        <w:tc>
          <w:tcPr>
            <w:tcW w:w="4630" w:type="dxa"/>
            <w:tcBorders>
              <w:left w:val="single" w:sz="8" w:space="0" w:color="000000"/>
            </w:tcBorders>
            <w:shd w:fill="FFFFFF" w:val="clear"/>
          </w:tcPr>
          <w:p>
            <w:pPr>
              <w:pStyle w:val="Normal"/>
              <w:jc w:val="center"/>
              <w:rPr/>
            </w:pPr>
            <w:r>
              <w:rPr/>
              <w:t>80</w:t>
            </w:r>
          </w:p>
        </w:tc>
        <w:tc>
          <w:tcPr>
            <w:tcW w:w="1568" w:type="dxa"/>
            <w:tcBorders>
              <w:left w:val="single" w:sz="8" w:space="0" w:color="000000"/>
            </w:tcBorders>
            <w:shd w:fill="FFFFFF" w:val="clear"/>
            <w:tcMar>
              <w:left w:w="0" w:type="dxa"/>
              <w:right w:w="0" w:type="dxa"/>
            </w:tcMar>
          </w:tcPr>
          <w:p>
            <w:pPr>
              <w:pStyle w:val="Normal"/>
              <w:jc w:val="center"/>
              <w:rPr/>
            </w:pPr>
            <w:r>
              <w:rPr/>
              <w:t>1,85</w:t>
            </w:r>
          </w:p>
        </w:tc>
        <w:tc>
          <w:tcPr>
            <w:tcW w:w="1568" w:type="dxa"/>
            <w:tcBorders>
              <w:left w:val="single" w:sz="8" w:space="0" w:color="000000"/>
            </w:tcBorders>
            <w:shd w:fill="FFFFFF" w:val="clear"/>
            <w:tcMar>
              <w:left w:w="0" w:type="dxa"/>
              <w:right w:w="0" w:type="dxa"/>
            </w:tcMar>
          </w:tcPr>
          <w:p>
            <w:pPr>
              <w:pStyle w:val="Normal"/>
              <w:jc w:val="center"/>
              <w:rPr/>
            </w:pPr>
            <w:r>
              <w:rPr/>
              <w:t>1,45</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4630" w:type="dxa"/>
            <w:tcBorders>
              <w:left w:val="single" w:sz="8" w:space="0" w:color="000000"/>
            </w:tcBorders>
            <w:shd w:fill="FFFFFF" w:val="clear"/>
          </w:tcPr>
          <w:p>
            <w:pPr>
              <w:pStyle w:val="Normal"/>
              <w:jc w:val="center"/>
              <w:rPr/>
            </w:pPr>
            <w:r>
              <w:rPr/>
              <w:t>100</w:t>
            </w:r>
          </w:p>
        </w:tc>
        <w:tc>
          <w:tcPr>
            <w:tcW w:w="1568" w:type="dxa"/>
            <w:tcBorders>
              <w:left w:val="single" w:sz="8" w:space="0" w:color="000000"/>
            </w:tcBorders>
            <w:shd w:fill="FFFFFF" w:val="clear"/>
            <w:tcMar>
              <w:left w:w="0" w:type="dxa"/>
              <w:right w:w="0" w:type="dxa"/>
            </w:tcMar>
          </w:tcPr>
          <w:p>
            <w:pPr>
              <w:pStyle w:val="Normal"/>
              <w:jc w:val="center"/>
              <w:rPr/>
            </w:pPr>
            <w:r>
              <w:rPr/>
              <w:t>2,00</w:t>
            </w:r>
          </w:p>
        </w:tc>
        <w:tc>
          <w:tcPr>
            <w:tcW w:w="1568" w:type="dxa"/>
            <w:tcBorders>
              <w:left w:val="single" w:sz="8" w:space="0" w:color="000000"/>
            </w:tcBorders>
            <w:shd w:fill="FFFFFF" w:val="clear"/>
            <w:tcMar>
              <w:left w:w="0" w:type="dxa"/>
              <w:right w:w="0" w:type="dxa"/>
            </w:tcMar>
          </w:tcPr>
          <w:p>
            <w:pPr>
              <w:pStyle w:val="Normal"/>
              <w:jc w:val="center"/>
              <w:rPr/>
            </w:pPr>
            <w:r>
              <w:rPr/>
              <w:t>1,60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1,25</w:t>
            </w:r>
          </w:p>
        </w:tc>
      </w:tr>
      <w:tr>
        <w:trPr/>
        <w:tc>
          <w:tcPr>
            <w:tcW w:w="4630" w:type="dxa"/>
            <w:tcBorders>
              <w:left w:val="single" w:sz="8" w:space="0" w:color="000000"/>
            </w:tcBorders>
            <w:shd w:fill="FFFFFF" w:val="clear"/>
          </w:tcPr>
          <w:p>
            <w:pPr>
              <w:pStyle w:val="Normal"/>
              <w:jc w:val="center"/>
              <w:rPr/>
            </w:pPr>
            <w:r>
              <w:rPr/>
              <w:t>150</w:t>
            </w:r>
          </w:p>
        </w:tc>
        <w:tc>
          <w:tcPr>
            <w:tcW w:w="1568" w:type="dxa"/>
            <w:tcBorders>
              <w:left w:val="single" w:sz="8" w:space="0" w:color="000000"/>
            </w:tcBorders>
            <w:shd w:fill="FFFFFF" w:val="clear"/>
            <w:tcMar>
              <w:left w:w="0" w:type="dxa"/>
              <w:right w:w="0" w:type="dxa"/>
            </w:tcMar>
          </w:tcPr>
          <w:p>
            <w:pPr>
              <w:pStyle w:val="Normal"/>
              <w:jc w:val="center"/>
              <w:rPr/>
            </w:pPr>
            <w:r>
              <w:rPr/>
              <w:t>2,25</w:t>
            </w:r>
          </w:p>
        </w:tc>
        <w:tc>
          <w:tcPr>
            <w:tcW w:w="1568" w:type="dxa"/>
            <w:tcBorders>
              <w:left w:val="single" w:sz="8" w:space="0" w:color="000000"/>
            </w:tcBorders>
            <w:shd w:fill="FFFFFF" w:val="clear"/>
            <w:tcMar>
              <w:left w:w="0" w:type="dxa"/>
              <w:right w:w="0" w:type="dxa"/>
            </w:tcMar>
          </w:tcPr>
          <w:p>
            <w:pPr>
              <w:pStyle w:val="Normal"/>
              <w:jc w:val="center"/>
              <w:rPr/>
            </w:pPr>
            <w:r>
              <w:rPr/>
              <w:t>1,90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1,55</w:t>
            </w:r>
          </w:p>
        </w:tc>
      </w:tr>
      <w:tr>
        <w:trPr/>
        <w:tc>
          <w:tcPr>
            <w:tcW w:w="4630" w:type="dxa"/>
            <w:tcBorders>
              <w:left w:val="single" w:sz="8" w:space="0" w:color="000000"/>
            </w:tcBorders>
            <w:shd w:fill="FFFFFF" w:val="clear"/>
          </w:tcPr>
          <w:p>
            <w:pPr>
              <w:pStyle w:val="Normal"/>
              <w:jc w:val="center"/>
              <w:rPr/>
            </w:pPr>
            <w:r>
              <w:rPr/>
              <w:t>200</w:t>
            </w:r>
          </w:p>
        </w:tc>
        <w:tc>
          <w:tcPr>
            <w:tcW w:w="1568" w:type="dxa"/>
            <w:tcBorders>
              <w:left w:val="single" w:sz="8" w:space="0" w:color="000000"/>
            </w:tcBorders>
            <w:shd w:fill="FFFFFF" w:val="clear"/>
            <w:tcMar>
              <w:left w:w="0" w:type="dxa"/>
              <w:right w:w="0" w:type="dxa"/>
            </w:tcMar>
          </w:tcPr>
          <w:p>
            <w:pPr>
              <w:pStyle w:val="Normal"/>
              <w:jc w:val="center"/>
              <w:rPr/>
            </w:pPr>
            <w:r>
              <w:rPr/>
              <w:t>2,45</w:t>
            </w:r>
          </w:p>
        </w:tc>
        <w:tc>
          <w:tcPr>
            <w:tcW w:w="1568" w:type="dxa"/>
            <w:tcBorders>
              <w:left w:val="single" w:sz="8" w:space="0" w:color="000000"/>
            </w:tcBorders>
            <w:shd w:fill="FFFFFF" w:val="clear"/>
            <w:tcMar>
              <w:left w:w="0" w:type="dxa"/>
              <w:right w:w="0" w:type="dxa"/>
            </w:tcMar>
          </w:tcPr>
          <w:p>
            <w:pPr>
              <w:pStyle w:val="Normal"/>
              <w:jc w:val="center"/>
              <w:rPr/>
            </w:pPr>
            <w:r>
              <w:rPr/>
              <w:t>2,10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1,80</w:t>
            </w:r>
          </w:p>
        </w:tc>
      </w:tr>
      <w:tr>
        <w:trPr/>
        <w:tc>
          <w:tcPr>
            <w:tcW w:w="4630" w:type="dxa"/>
            <w:tcBorders>
              <w:left w:val="single" w:sz="8" w:space="0" w:color="000000"/>
            </w:tcBorders>
            <w:shd w:fill="FFFFFF" w:val="clear"/>
          </w:tcPr>
          <w:p>
            <w:pPr>
              <w:pStyle w:val="Normal"/>
              <w:jc w:val="center"/>
              <w:rPr/>
            </w:pPr>
            <w:r>
              <w:rPr/>
              <w:t>250</w:t>
            </w:r>
          </w:p>
        </w:tc>
        <w:tc>
          <w:tcPr>
            <w:tcW w:w="1568" w:type="dxa"/>
            <w:tcBorders>
              <w:left w:val="single" w:sz="8" w:space="0" w:color="000000"/>
            </w:tcBorders>
            <w:shd w:fill="FFFFFF" w:val="clear"/>
            <w:tcMar>
              <w:left w:w="0" w:type="dxa"/>
              <w:right w:w="0" w:type="dxa"/>
            </w:tcMar>
          </w:tcPr>
          <w:p>
            <w:pPr>
              <w:pStyle w:val="Normal"/>
              <w:jc w:val="center"/>
              <w:rPr/>
            </w:pPr>
            <w:r>
              <w:rPr/>
              <w:t>2,65</w:t>
            </w:r>
          </w:p>
        </w:tc>
        <w:tc>
          <w:tcPr>
            <w:tcW w:w="1568" w:type="dxa"/>
            <w:tcBorders>
              <w:left w:val="single" w:sz="8" w:space="0" w:color="000000"/>
            </w:tcBorders>
            <w:shd w:fill="FFFFFF" w:val="clear"/>
            <w:tcMar>
              <w:left w:w="0" w:type="dxa"/>
              <w:right w:w="0" w:type="dxa"/>
            </w:tcMar>
          </w:tcPr>
          <w:p>
            <w:pPr>
              <w:pStyle w:val="Normal"/>
              <w:jc w:val="center"/>
              <w:rPr/>
            </w:pPr>
            <w:r>
              <w:rPr/>
              <w:t>2,30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2,00</w:t>
            </w:r>
          </w:p>
        </w:tc>
      </w:tr>
      <w:tr>
        <w:trPr/>
        <w:tc>
          <w:tcPr>
            <w:tcW w:w="4630" w:type="dxa"/>
            <w:tcBorders>
              <w:left w:val="single" w:sz="8" w:space="0" w:color="000000"/>
            </w:tcBorders>
            <w:shd w:fill="FFFFFF" w:val="clear"/>
          </w:tcPr>
          <w:p>
            <w:pPr>
              <w:pStyle w:val="Normal"/>
              <w:jc w:val="center"/>
              <w:rPr/>
            </w:pPr>
            <w:r>
              <w:rPr/>
              <w:t>300</w:t>
            </w:r>
          </w:p>
        </w:tc>
        <w:tc>
          <w:tcPr>
            <w:tcW w:w="1568" w:type="dxa"/>
            <w:tcBorders>
              <w:left w:val="single" w:sz="8" w:space="0" w:color="000000"/>
            </w:tcBorders>
            <w:shd w:fill="FFFFFF" w:val="clear"/>
            <w:tcMar>
              <w:left w:w="0" w:type="dxa"/>
              <w:right w:w="0" w:type="dxa"/>
            </w:tcMar>
          </w:tcPr>
          <w:p>
            <w:pPr>
              <w:pStyle w:val="Normal"/>
              <w:jc w:val="center"/>
              <w:rPr/>
            </w:pPr>
            <w:r>
              <w:rPr/>
              <w:t>2,75</w:t>
            </w:r>
          </w:p>
        </w:tc>
        <w:tc>
          <w:tcPr>
            <w:tcW w:w="1568" w:type="dxa"/>
            <w:tcBorders>
              <w:left w:val="single" w:sz="8" w:space="0" w:color="000000"/>
            </w:tcBorders>
            <w:shd w:fill="FFFFFF" w:val="clear"/>
            <w:tcMar>
              <w:left w:w="0" w:type="dxa"/>
              <w:right w:w="0" w:type="dxa"/>
            </w:tcMar>
          </w:tcPr>
          <w:p>
            <w:pPr>
              <w:pStyle w:val="Normal"/>
              <w:jc w:val="center"/>
              <w:rPr/>
            </w:pPr>
            <w:r>
              <w:rPr/>
              <w:t>2,50</w:t>
            </w:r>
          </w:p>
        </w:tc>
        <w:tc>
          <w:tcPr>
            <w:tcW w:w="158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2,20</w:t>
            </w:r>
          </w:p>
        </w:tc>
      </w:tr>
      <w:tr>
        <w:trPr/>
        <w:tc>
          <w:tcPr>
            <w:tcW w:w="4630" w:type="dxa"/>
            <w:tcBorders>
              <w:left w:val="single" w:sz="8" w:space="0" w:color="000000"/>
              <w:bottom w:val="single" w:sz="8" w:space="0" w:color="000000"/>
              <w:insideH w:val="single" w:sz="8" w:space="0" w:color="000000"/>
            </w:tcBorders>
            <w:shd w:fill="FFFFFF" w:val="clear"/>
          </w:tcPr>
          <w:p>
            <w:pPr>
              <w:pStyle w:val="Normal"/>
              <w:jc w:val="center"/>
              <w:rPr/>
            </w:pPr>
            <w:r>
              <w:rPr/>
              <w:t>350 и выше</w:t>
            </w:r>
          </w:p>
        </w:tc>
        <w:tc>
          <w:tcPr>
            <w:tcW w:w="15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2,75</w:t>
            </w:r>
          </w:p>
        </w:tc>
        <w:tc>
          <w:tcPr>
            <w:tcW w:w="15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2,75</w:t>
            </w:r>
          </w:p>
        </w:tc>
        <w:tc>
          <w:tcPr>
            <w:tcW w:w="158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2,35</w:t>
            </w:r>
          </w:p>
        </w:tc>
      </w:tr>
    </w:tbl>
    <w:p>
      <w:pPr>
        <w:pStyle w:val="Normal"/>
        <w:spacing w:before="120" w:after="0"/>
        <w:ind w:firstLine="283"/>
        <w:jc w:val="both"/>
        <w:rPr/>
      </w:pPr>
      <w:r>
        <w:rPr>
          <w:spacing w:val="40"/>
        </w:rPr>
        <w:t>Примечание</w:t>
      </w:r>
      <w:r>
        <w:rPr/>
        <w:t>. Типы местности соответствуют определениям, приведенным в 2.5.6.</w:t>
      </w:r>
    </w:p>
    <w:p>
      <w:pPr>
        <w:pStyle w:val="Normal"/>
        <w:spacing w:before="120" w:after="0"/>
        <w:ind w:firstLine="284"/>
        <w:jc w:val="both"/>
        <w:rPr/>
      </w:pPr>
      <w:r>
        <w:rPr/>
        <w:t>Полученные значения ветрового давления должны быть округлены до целого числа.</w:t>
      </w:r>
    </w:p>
    <w:p>
      <w:pPr>
        <w:pStyle w:val="Normal"/>
        <w:ind w:firstLine="284"/>
        <w:jc w:val="both"/>
        <w:rPr/>
      </w:pPr>
      <w:r>
        <w:rPr/>
        <w:t xml:space="preserve">Для промежуточных высот значения коэффициентов </w:t>
      </w:r>
      <w:r>
        <w:rPr>
          <w:i/>
          <w:iCs/>
        </w:rPr>
        <w:t>K</w:t>
      </w:r>
      <w:r>
        <w:rPr>
          <w:i/>
          <w:iCs/>
          <w:vertAlign w:val="subscript"/>
        </w:rPr>
        <w:t>w</w:t>
      </w:r>
      <w:r>
        <w:rPr/>
        <w:t xml:space="preserve"> определяются линейной интерполяцией.</w:t>
      </w:r>
    </w:p>
    <w:p>
      <w:pPr>
        <w:pStyle w:val="Normal"/>
        <w:ind w:firstLine="284"/>
        <w:jc w:val="both"/>
        <w:rPr/>
      </w:pPr>
      <w:r>
        <w:rPr/>
        <w:t xml:space="preserve">Высота расположения приведенного центра тяжести проводов или тросов </w:t>
      </w:r>
      <w:r>
        <w:rPr>
          <w:i/>
          <w:iCs/>
        </w:rPr>
        <w:t>h</w:t>
      </w:r>
      <w:r>
        <w:rPr>
          <w:i/>
          <w:iCs/>
          <w:vertAlign w:val="subscript"/>
        </w:rPr>
        <w:t>пр</w:t>
      </w:r>
      <w:r>
        <w:rPr/>
        <w:t xml:space="preserve"> для габаритного пролета определяется по формуле, м</w:t>
      </w:r>
    </w:p>
    <w:p>
      <w:pPr>
        <w:pStyle w:val="Normal"/>
        <w:spacing w:before="120" w:after="120"/>
        <w:jc w:val="center"/>
        <w:rPr>
          <w:vertAlign w:val="subscript"/>
        </w:rPr>
      </w:pPr>
      <w:r>
        <w:rPr>
          <w:vertAlign w:val="subscript"/>
        </w:rPr>
        <w:drawing>
          <wp:inline distT="0" distB="0" distL="0" distR="0">
            <wp:extent cx="1009650" cy="397510"/>
            <wp:effectExtent l="0" t="0" r="0" b="0"/>
            <wp:docPr id="3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 descr=""/>
                    <pic:cNvPicPr>
                      <a:picLocks noChangeAspect="1" noChangeArrowheads="1"/>
                    </pic:cNvPicPr>
                  </pic:nvPicPr>
                  <pic:blipFill>
                    <a:blip r:embed="rId39"/>
                    <a:srcRect l="-35" t="-90" r="-35" b="-90"/>
                    <a:stretch>
                      <a:fillRect/>
                    </a:stretch>
                  </pic:blipFill>
                  <pic:spPr bwMode="auto">
                    <a:xfrm>
                      <a:off x="0" y="0"/>
                      <a:ext cx="1009650" cy="397510"/>
                    </a:xfrm>
                    <a:prstGeom prst="rect">
                      <a:avLst/>
                    </a:prstGeom>
                  </pic:spPr>
                </pic:pic>
              </a:graphicData>
            </a:graphic>
          </wp:inline>
        </w:drawing>
      </w:r>
    </w:p>
    <w:p>
      <w:pPr>
        <w:pStyle w:val="Normal"/>
        <w:jc w:val="both"/>
        <w:rPr/>
      </w:pPr>
      <w:r>
        <w:rPr/>
        <w:t xml:space="preserve">где </w:t>
      </w:r>
      <w:r>
        <w:rPr>
          <w:i/>
          <w:iCs/>
        </w:rPr>
        <w:t>h</w:t>
      </w:r>
      <w:r>
        <w:rPr>
          <w:i/>
          <w:iCs/>
          <w:vertAlign w:val="subscript"/>
        </w:rPr>
        <w:t>cp</w:t>
      </w:r>
      <w:r>
        <w:rPr/>
        <w:t xml:space="preserve"> -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p>
      <w:pPr>
        <w:pStyle w:val="Normal"/>
        <w:ind w:firstLine="284"/>
        <w:jc w:val="both"/>
        <w:rPr/>
      </w:pPr>
      <w:r>
        <w:rPr>
          <w:i/>
          <w:iCs/>
        </w:rPr>
        <w:t>f</w:t>
      </w:r>
      <w:r>
        <w:rPr/>
        <w:t xml:space="preserve"> - стрела провеса провода или троса в середине пролета при высшей температуре, м.</w:t>
      </w:r>
    </w:p>
    <w:p>
      <w:pPr>
        <w:pStyle w:val="Normal"/>
        <w:ind w:firstLine="284"/>
        <w:jc w:val="both"/>
        <w:rPr/>
      </w:pPr>
      <w:r>
        <w:rPr/>
        <w:t>2.5.45. При расчете проводов и тросов ветер следует принимать направленным под углом 90° к оси ВЛ.</w:t>
      </w:r>
    </w:p>
    <w:p>
      <w:pPr>
        <w:pStyle w:val="Normal"/>
        <w:ind w:firstLine="284"/>
        <w:jc w:val="both"/>
        <w:rPr/>
      </w:pPr>
      <w:r>
        <w:rPr/>
        <w:t>При расчете опор ветер следует принимать направленным под углом 0°, 45° и 90° к оси ВЛ, при этом для угловых опор за ось ВЛ принимается направление биссектрисы внешнего угла поворота, образованного смежными участками линии.</w:t>
      </w:r>
    </w:p>
    <w:p>
      <w:pPr>
        <w:pStyle w:val="Normal"/>
        <w:ind w:firstLine="284"/>
        <w:jc w:val="both"/>
        <w:rPr/>
      </w:pPr>
      <w:r>
        <w:rPr/>
        <w:t xml:space="preserve">2.5.46. Нормативную толщину стенки гололеда </w:t>
      </w:r>
      <w:r>
        <w:rPr>
          <w:i/>
          <w:iCs/>
        </w:rPr>
        <w:t>b</w:t>
      </w:r>
      <w:r>
        <w:rPr>
          <w:i/>
          <w:iCs/>
          <w:vertAlign w:val="subscript"/>
        </w:rPr>
        <w:t>э</w:t>
      </w:r>
      <w:r>
        <w:rPr/>
        <w:t xml:space="preserve"> плотностью 0,9 г/см</w:t>
      </w:r>
      <w:r>
        <w:rPr>
          <w:vertAlign w:val="superscript"/>
        </w:rPr>
        <w:t>3</w:t>
      </w:r>
      <w:r>
        <w:rPr/>
        <w:t xml:space="preserve"> следует принимать по табл. 2.5.3 в соответствии с картой районирования территории России по толщине стенки гололеда (см. рис. 2.5.2) или по региональным картам районирования.</w:t>
      </w:r>
    </w:p>
    <w:p>
      <w:pPr>
        <w:pStyle w:val="Normal"/>
        <w:spacing w:before="120" w:after="120"/>
        <w:jc w:val="right"/>
        <w:rPr/>
      </w:pPr>
      <w:r>
        <w:rPr>
          <w:spacing w:val="40"/>
        </w:rPr>
        <w:t>Таблица</w:t>
      </w:r>
      <w:r>
        <w:rPr/>
        <w:t xml:space="preserve"> 2.5.3</w:t>
      </w:r>
    </w:p>
    <w:p>
      <w:pPr>
        <w:pStyle w:val="Normal"/>
        <w:spacing w:before="0" w:after="120"/>
        <w:jc w:val="center"/>
        <w:rPr/>
      </w:pPr>
      <w:r>
        <w:rPr>
          <w:b/>
          <w:bCs/>
        </w:rPr>
        <w:t xml:space="preserve">Нормативная толщина стенки гололеда </w:t>
      </w:r>
      <w:r>
        <w:rPr>
          <w:b/>
          <w:bCs/>
          <w:i/>
          <w:iCs/>
        </w:rPr>
        <w:t>b</w:t>
      </w:r>
      <w:r>
        <w:rPr>
          <w:b/>
          <w:bCs/>
          <w:i/>
          <w:iCs/>
          <w:vertAlign w:val="subscript"/>
        </w:rPr>
        <w:t>э</w:t>
      </w:r>
      <w:r>
        <w:rPr>
          <w:b/>
          <w:bCs/>
        </w:rPr>
        <w:t xml:space="preserve"> для высоты 10 м над поверхностью земли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922"/>
        <w:gridCol w:w="6433"/>
      </w:tblGrid>
      <w:tr>
        <w:trPr>
          <w:tblHeader w:val="true"/>
        </w:trPr>
        <w:tc>
          <w:tcPr>
            <w:tcW w:w="2922"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Район по гололеду</w:t>
            </w:r>
          </w:p>
        </w:tc>
        <w:tc>
          <w:tcPr>
            <w:tcW w:w="643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Нормативная толщина стенки гололеда </w:t>
            </w:r>
            <w:r>
              <w:rPr>
                <w:i/>
                <w:iCs/>
              </w:rPr>
              <w:t>b</w:t>
            </w:r>
            <w:r>
              <w:rPr>
                <w:i/>
                <w:iCs/>
                <w:vertAlign w:val="subscript"/>
              </w:rPr>
              <w:t>э</w:t>
            </w:r>
            <w:r>
              <w:rPr/>
              <w:t>, мм</w:t>
            </w:r>
          </w:p>
        </w:tc>
      </w:tr>
      <w:tr>
        <w:trPr/>
        <w:tc>
          <w:tcPr>
            <w:tcW w:w="2922" w:type="dxa"/>
            <w:tcBorders>
              <w:left w:val="single" w:sz="8" w:space="0" w:color="000000"/>
            </w:tcBorders>
            <w:shd w:fill="FFFFFF" w:val="clear"/>
          </w:tcPr>
          <w:p>
            <w:pPr>
              <w:pStyle w:val="Normal"/>
              <w:jc w:val="center"/>
              <w:rPr/>
            </w:pPr>
            <w:r>
              <w:rPr/>
              <w:t>I</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2922" w:type="dxa"/>
            <w:tcBorders>
              <w:left w:val="single" w:sz="8" w:space="0" w:color="000000"/>
            </w:tcBorders>
            <w:shd w:fill="FFFFFF" w:val="clear"/>
          </w:tcPr>
          <w:p>
            <w:pPr>
              <w:pStyle w:val="Normal"/>
              <w:jc w:val="center"/>
              <w:rPr/>
            </w:pPr>
            <w:r>
              <w:rPr/>
              <w:t>II</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2922" w:type="dxa"/>
            <w:tcBorders>
              <w:left w:val="single" w:sz="8" w:space="0" w:color="000000"/>
            </w:tcBorders>
            <w:shd w:fill="FFFFFF" w:val="clear"/>
          </w:tcPr>
          <w:p>
            <w:pPr>
              <w:pStyle w:val="Normal"/>
              <w:jc w:val="center"/>
              <w:rPr/>
            </w:pPr>
            <w:r>
              <w:rPr/>
              <w:t>III</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2922" w:type="dxa"/>
            <w:tcBorders>
              <w:left w:val="single" w:sz="8" w:space="0" w:color="000000"/>
            </w:tcBorders>
            <w:shd w:fill="FFFFFF" w:val="clear"/>
          </w:tcPr>
          <w:p>
            <w:pPr>
              <w:pStyle w:val="Normal"/>
              <w:jc w:val="center"/>
              <w:rPr/>
            </w:pPr>
            <w:r>
              <w:rPr/>
              <w:t>IV</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2922" w:type="dxa"/>
            <w:tcBorders>
              <w:left w:val="single" w:sz="8" w:space="0" w:color="000000"/>
            </w:tcBorders>
            <w:shd w:fill="FFFFFF" w:val="clear"/>
          </w:tcPr>
          <w:p>
            <w:pPr>
              <w:pStyle w:val="Normal"/>
              <w:jc w:val="center"/>
              <w:rPr/>
            </w:pPr>
            <w:r>
              <w:rPr/>
              <w:t>V</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2922" w:type="dxa"/>
            <w:tcBorders>
              <w:left w:val="single" w:sz="8" w:space="0" w:color="000000"/>
            </w:tcBorders>
            <w:shd w:fill="FFFFFF" w:val="clear"/>
          </w:tcPr>
          <w:p>
            <w:pPr>
              <w:pStyle w:val="Normal"/>
              <w:jc w:val="center"/>
              <w:rPr/>
            </w:pPr>
            <w:r>
              <w:rPr/>
              <w:t>VI</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2922" w:type="dxa"/>
            <w:tcBorders>
              <w:left w:val="single" w:sz="8" w:space="0" w:color="000000"/>
            </w:tcBorders>
            <w:shd w:fill="FFFFFF" w:val="clear"/>
          </w:tcPr>
          <w:p>
            <w:pPr>
              <w:pStyle w:val="Normal"/>
              <w:jc w:val="center"/>
              <w:rPr/>
            </w:pPr>
            <w:r>
              <w:rPr/>
              <w:t>VII</w:t>
            </w:r>
          </w:p>
        </w:tc>
        <w:tc>
          <w:tcPr>
            <w:tcW w:w="64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2922" w:type="dxa"/>
            <w:tcBorders>
              <w:left w:val="single" w:sz="8" w:space="0" w:color="000000"/>
              <w:bottom w:val="single" w:sz="8" w:space="0" w:color="000000"/>
              <w:insideH w:val="single" w:sz="8" w:space="0" w:color="000000"/>
            </w:tcBorders>
            <w:shd w:fill="FFFFFF" w:val="clear"/>
          </w:tcPr>
          <w:p>
            <w:pPr>
              <w:pStyle w:val="Normal"/>
              <w:jc w:val="center"/>
              <w:rPr/>
            </w:pPr>
            <w:r>
              <w:rPr/>
              <w:t>Особый</w:t>
            </w:r>
          </w:p>
        </w:tc>
        <w:tc>
          <w:tcPr>
            <w:tcW w:w="64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Выше 40</w:t>
            </w:r>
          </w:p>
        </w:tc>
      </w:tr>
    </w:tbl>
    <w:p>
      <w:pPr>
        <w:pStyle w:val="Normal"/>
        <w:spacing w:before="120" w:after="0"/>
        <w:ind w:firstLine="283"/>
        <w:jc w:val="both"/>
        <w:rPr/>
      </w:pPr>
      <w:r>
        <w:rPr/>
        <w:t>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2.5.3.</w:t>
      </w:r>
    </w:p>
    <w:p>
      <w:pPr>
        <w:pStyle w:val="Normal"/>
        <w:ind w:firstLine="283"/>
        <w:jc w:val="both"/>
        <w:rPr/>
      </w:pPr>
      <w:r>
        <w:rPr/>
        <w:t>В особых районах по гололеду следует принимать толщину стенки гололеда, полученную при обработке метеоданных, округленную до 1 мм.</w:t>
      </w:r>
    </w:p>
    <w:p>
      <w:pPr>
        <w:pStyle w:val="Normal"/>
        <w:ind w:firstLine="283"/>
        <w:jc w:val="both"/>
        <w:rPr/>
      </w:pPr>
      <w:r>
        <w:rPr/>
        <w:t>Для ВЛ 330 - 750 кВ нормативная толщина стенки гололеда должна приниматься не менее 15 мм.</w:t>
      </w:r>
    </w:p>
    <w:p>
      <w:pPr>
        <w:pStyle w:val="Normal"/>
        <w:ind w:firstLine="283"/>
        <w:jc w:val="both"/>
        <w:rPr/>
      </w:pPr>
      <w:r>
        <w:rPr/>
        <w:t>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pPr>
        <w:pStyle w:val="Normal"/>
        <w:ind w:firstLine="283"/>
        <w:jc w:val="both"/>
        <w:rPr/>
      </w:pPr>
      <w:r>
        <w:rPr/>
        <w:t xml:space="preserve">2.5.47. При отсутствии данных наблюдений для участков 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°С, I нормативную толщину стенки гололеда </w:t>
      </w:r>
      <w:r>
        <w:rPr>
          <w:i/>
          <w:iCs/>
        </w:rPr>
        <w:t>b</w:t>
      </w:r>
      <w:r>
        <w:rPr>
          <w:i/>
          <w:iCs/>
          <w:vertAlign w:val="subscript"/>
        </w:rPr>
        <w:t>э</w:t>
      </w:r>
      <w:r>
        <w:rPr/>
        <w:t xml:space="preserve"> следует принимать на 5 мм больше, чем для прилегающих участков ВЛ, а для районов с низшей температурой минус 45° и ниже - на 10 мм.</w:t>
      </w:r>
    </w:p>
    <w:p>
      <w:pPr>
        <w:pStyle w:val="Normal"/>
        <w:ind w:firstLine="283"/>
        <w:jc w:val="both"/>
        <w:rPr/>
      </w:pPr>
      <w:r>
        <w:rPr/>
        <w:t xml:space="preserve">2.5.48. Нормативная ветровая нагрузка при гололеде на провод (трос) определяется по 2.5.52 с учетом условной толщины стенки гололеда </w:t>
      </w:r>
      <w:r>
        <w:rPr>
          <w:i/>
          <w:iCs/>
        </w:rPr>
        <w:t>b</w:t>
      </w:r>
      <w:r>
        <w:rPr>
          <w:i/>
          <w:iCs/>
          <w:vertAlign w:val="subscript"/>
        </w:rPr>
        <w:t>y</w:t>
      </w:r>
      <w:r>
        <w:rPr/>
        <w:t xml:space="preserve">,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Pr>
          <w:i/>
          <w:iCs/>
        </w:rPr>
        <w:t>b</w:t>
      </w:r>
      <w:r>
        <w:rPr>
          <w:i/>
          <w:iCs/>
          <w:vertAlign w:val="subscript"/>
        </w:rPr>
        <w:t>y</w:t>
      </w:r>
      <w:r>
        <w:rPr/>
        <w:t xml:space="preserve"> = </w:t>
      </w:r>
      <w:r>
        <w:rPr>
          <w:i/>
          <w:iCs/>
        </w:rPr>
        <w:t>b</w:t>
      </w:r>
      <w:r>
        <w:rPr>
          <w:i/>
          <w:iCs/>
          <w:vertAlign w:val="subscript"/>
        </w:rPr>
        <w:t>э</w:t>
      </w:r>
      <w:r>
        <w:rPr/>
        <w:t>.</w:t>
      </w:r>
    </w:p>
    <w:p>
      <w:pPr>
        <w:pStyle w:val="Normal"/>
        <w:ind w:firstLine="283"/>
        <w:jc w:val="both"/>
        <w:rPr/>
      </w:pPr>
      <w:r>
        <w:rPr/>
        <w:t>2.5.49. Толщина стенки гололеда (</w:t>
      </w:r>
      <w:r>
        <w:rPr>
          <w:i/>
          <w:iCs/>
        </w:rPr>
        <w:t>b</w:t>
      </w:r>
      <w:r>
        <w:rPr>
          <w:i/>
          <w:iCs/>
          <w:vertAlign w:val="subscript"/>
        </w:rPr>
        <w:t>э</w:t>
      </w:r>
      <w:r>
        <w:rPr/>
        <w:t xml:space="preserve">, </w:t>
      </w:r>
      <w:r>
        <w:rPr>
          <w:i/>
          <w:iCs/>
        </w:rPr>
        <w:t>b</w:t>
      </w:r>
      <w:r>
        <w:rPr>
          <w:i/>
          <w:iCs/>
          <w:vertAlign w:val="subscript"/>
        </w:rPr>
        <w:t>y</w:t>
      </w:r>
      <w:r>
        <w:rPr/>
        <w:t>) на проводах ВЛ определяйся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2.5.44.</w:t>
      </w:r>
    </w:p>
    <w:p>
      <w:pPr>
        <w:pStyle w:val="Normal"/>
        <w:ind w:firstLine="283"/>
        <w:jc w:val="both"/>
        <w:rPr/>
      </w:pPr>
      <w:r>
        <w:rPr/>
        <w:t xml:space="preserve">Толщина стенки гололеда на проводах (тросах) при высоте расположения приведенного их центра тяжести более 25 м определяется умножением ее значения на коэффициенты </w:t>
      </w:r>
      <w:r>
        <w:rPr>
          <w:i/>
          <w:iCs/>
        </w:rPr>
        <w:t>K</w:t>
      </w:r>
      <w:r>
        <w:rPr>
          <w:i/>
          <w:iCs/>
          <w:vertAlign w:val="subscript"/>
        </w:rPr>
        <w:t>i</w:t>
      </w:r>
      <w:r>
        <w:rPr/>
        <w:t xml:space="preserve"> и </w:t>
      </w:r>
      <w:r>
        <w:rPr>
          <w:i/>
          <w:iCs/>
        </w:rPr>
        <w:t>K</w:t>
      </w:r>
      <w:r>
        <w:rPr>
          <w:i/>
          <w:iCs/>
          <w:vertAlign w:val="subscript"/>
        </w:rPr>
        <w:t>d</w:t>
      </w:r>
      <w:r>
        <w:rPr/>
        <w:t>, принимаемые по табл. 2.5.4. При этом исходную толщину стенки гололеда (для высоты 10 м и диаметра 10 мм) следует принимать без увеличения, предусмотренного 2.5.47. Полученные значения толщины стенки гололеда округляются до 1 мм.</w:t>
      </w:r>
    </w:p>
    <w:p>
      <w:pPr>
        <w:pStyle w:val="TextBodyIndent"/>
        <w:rPr/>
      </w:pPr>
      <w:r>
        <w:rPr/>
        <w:t>При высоте расположения приведенного центра тяжести проводов или тросов до 25 м поправки на толщину стенки гололеда на проводах и тросах в зависимости от высоты и диаметра проводов и тросов не вводятся.</w:t>
      </w:r>
    </w:p>
    <w:p>
      <w:pPr>
        <w:pStyle w:val="Normal"/>
        <w:spacing w:before="120" w:after="120"/>
        <w:jc w:val="right"/>
        <w:rPr/>
      </w:pPr>
      <w:r>
        <w:rPr>
          <w:spacing w:val="40"/>
        </w:rPr>
        <w:t>Таблица</w:t>
      </w:r>
      <w:r>
        <w:rPr/>
        <w:t xml:space="preserve"> 2.5.4</w:t>
      </w:r>
    </w:p>
    <w:p>
      <w:pPr>
        <w:pStyle w:val="Normal"/>
        <w:spacing w:before="0" w:after="120"/>
        <w:jc w:val="center"/>
        <w:rPr/>
      </w:pPr>
      <w:r>
        <w:rPr>
          <w:b/>
          <w:bCs/>
        </w:rPr>
        <w:t xml:space="preserve">Коэффициенты </w:t>
      </w:r>
      <w:r>
        <w:rPr>
          <w:b/>
          <w:bCs/>
          <w:i/>
          <w:iCs/>
        </w:rPr>
        <w:t>K</w:t>
      </w:r>
      <w:r>
        <w:rPr>
          <w:b/>
          <w:bCs/>
          <w:i/>
          <w:iCs/>
          <w:vertAlign w:val="subscript"/>
        </w:rPr>
        <w:t>i</w:t>
      </w:r>
      <w:r>
        <w:rPr>
          <w:b/>
          <w:bCs/>
        </w:rPr>
        <w:t xml:space="preserve"> и </w:t>
      </w:r>
      <w:r>
        <w:rPr>
          <w:b/>
          <w:bCs/>
          <w:i/>
          <w:iCs/>
        </w:rPr>
        <w:t>K</w:t>
      </w:r>
      <w:r>
        <w:rPr>
          <w:b/>
          <w:bCs/>
          <w:i/>
          <w:iCs/>
          <w:vertAlign w:val="subscript"/>
        </w:rPr>
        <w:t>d</w:t>
      </w:r>
      <w:r>
        <w:rPr>
          <w:b/>
          <w:bCs/>
        </w:rPr>
        <w:t>, учитывающие изменение толщины стенки гололеда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891"/>
        <w:gridCol w:w="2476"/>
        <w:gridCol w:w="1479"/>
        <w:gridCol w:w="2509"/>
      </w:tblGrid>
      <w:tr>
        <w:trPr>
          <w:tblHeader w:val="true"/>
        </w:trPr>
        <w:tc>
          <w:tcPr>
            <w:tcW w:w="2891"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Высота расположения приведенного центра тяжести проводов, тросов и средних точек зон конструкций опор над поверхностью земли, м</w:t>
            </w:r>
          </w:p>
        </w:tc>
        <w:tc>
          <w:tcPr>
            <w:tcW w:w="2476"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Коэффициент </w:t>
            </w:r>
            <w:r>
              <w:rPr>
                <w:i/>
                <w:iCs/>
              </w:rPr>
              <w:t>K</w:t>
            </w:r>
            <w:r>
              <w:rPr>
                <w:i/>
                <w:iCs/>
                <w:vertAlign w:val="subscript"/>
              </w:rPr>
              <w:t>i</w:t>
            </w:r>
            <w:r>
              <w:rPr/>
              <w:t>, учитывающий изменение толщины стенки гололеда по высоте над поверхностью земли</w:t>
            </w:r>
          </w:p>
        </w:tc>
        <w:tc>
          <w:tcPr>
            <w:tcW w:w="1479"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Диаметр провода (троса), мм</w:t>
            </w:r>
          </w:p>
        </w:tc>
        <w:tc>
          <w:tcPr>
            <w:tcW w:w="250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Коэффициент </w:t>
            </w:r>
            <w:r>
              <w:rPr>
                <w:i/>
                <w:iCs/>
              </w:rPr>
              <w:t>K</w:t>
            </w:r>
            <w:r>
              <w:rPr>
                <w:i/>
                <w:iCs/>
                <w:vertAlign w:val="subscript"/>
              </w:rPr>
              <w:t>d</w:t>
            </w:r>
            <w:r>
              <w:rPr/>
              <w:t>, учитывающий изменение толщины стенки гололеда в зависимости от диаметра провода (троса)</w:t>
            </w:r>
          </w:p>
        </w:tc>
      </w:tr>
      <w:tr>
        <w:trPr/>
        <w:tc>
          <w:tcPr>
            <w:tcW w:w="2891" w:type="dxa"/>
            <w:tcBorders>
              <w:left w:val="single" w:sz="8" w:space="0" w:color="000000"/>
              <w:bottom w:val="single" w:sz="8" w:space="0" w:color="000000"/>
              <w:insideH w:val="single" w:sz="8" w:space="0" w:color="000000"/>
            </w:tcBorders>
            <w:shd w:fill="FFFFFF" w:val="clear"/>
          </w:tcPr>
          <w:p>
            <w:pPr>
              <w:pStyle w:val="Normal"/>
              <w:jc w:val="center"/>
              <w:rPr/>
            </w:pPr>
            <w:r>
              <w:rPr/>
              <w:t>25</w:t>
            </w:r>
          </w:p>
        </w:tc>
        <w:tc>
          <w:tcPr>
            <w:tcW w:w="24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4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250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2891" w:type="dxa"/>
            <w:tcBorders>
              <w:left w:val="single" w:sz="8" w:space="0" w:color="000000"/>
              <w:bottom w:val="single" w:sz="8" w:space="0" w:color="000000"/>
              <w:insideH w:val="single" w:sz="8" w:space="0" w:color="000000"/>
            </w:tcBorders>
            <w:shd w:fill="FFFFFF" w:val="clear"/>
          </w:tcPr>
          <w:p>
            <w:pPr>
              <w:pStyle w:val="Normal"/>
              <w:jc w:val="center"/>
              <w:rPr/>
            </w:pPr>
            <w:r>
              <w:rPr/>
              <w:t>30</w:t>
            </w:r>
          </w:p>
        </w:tc>
        <w:tc>
          <w:tcPr>
            <w:tcW w:w="24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w:t>
            </w:r>
          </w:p>
        </w:tc>
        <w:tc>
          <w:tcPr>
            <w:tcW w:w="14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250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0,9</w:t>
            </w:r>
          </w:p>
        </w:tc>
      </w:tr>
      <w:tr>
        <w:trPr/>
        <w:tc>
          <w:tcPr>
            <w:tcW w:w="2891" w:type="dxa"/>
            <w:tcBorders>
              <w:left w:val="single" w:sz="8" w:space="0" w:color="000000"/>
              <w:bottom w:val="single" w:sz="8" w:space="0" w:color="000000"/>
              <w:insideH w:val="single" w:sz="8" w:space="0" w:color="000000"/>
            </w:tcBorders>
            <w:shd w:fill="FFFFFF" w:val="clear"/>
          </w:tcPr>
          <w:p>
            <w:pPr>
              <w:pStyle w:val="Normal"/>
              <w:jc w:val="center"/>
              <w:rPr/>
            </w:pPr>
            <w:r>
              <w:rPr/>
              <w:t>50</w:t>
            </w:r>
          </w:p>
        </w:tc>
        <w:tc>
          <w:tcPr>
            <w:tcW w:w="24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w:t>
            </w:r>
          </w:p>
        </w:tc>
        <w:tc>
          <w:tcPr>
            <w:tcW w:w="14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250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0,8</w:t>
            </w:r>
          </w:p>
        </w:tc>
      </w:tr>
      <w:tr>
        <w:trPr/>
        <w:tc>
          <w:tcPr>
            <w:tcW w:w="2891" w:type="dxa"/>
            <w:tcBorders>
              <w:left w:val="single" w:sz="8" w:space="0" w:color="000000"/>
              <w:bottom w:val="single" w:sz="8" w:space="0" w:color="000000"/>
              <w:insideH w:val="single" w:sz="8" w:space="0" w:color="000000"/>
            </w:tcBorders>
            <w:shd w:fill="FFFFFF" w:val="clear"/>
          </w:tcPr>
          <w:p>
            <w:pPr>
              <w:pStyle w:val="Normal"/>
              <w:jc w:val="center"/>
              <w:rPr/>
            </w:pPr>
            <w:r>
              <w:rPr/>
              <w:t>70</w:t>
            </w:r>
          </w:p>
        </w:tc>
        <w:tc>
          <w:tcPr>
            <w:tcW w:w="24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w:t>
            </w:r>
          </w:p>
        </w:tc>
        <w:tc>
          <w:tcPr>
            <w:tcW w:w="14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250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0,7</w:t>
            </w:r>
          </w:p>
        </w:tc>
      </w:tr>
      <w:tr>
        <w:trPr/>
        <w:tc>
          <w:tcPr>
            <w:tcW w:w="2891" w:type="dxa"/>
            <w:tcBorders>
              <w:left w:val="single" w:sz="8" w:space="0" w:color="000000"/>
              <w:bottom w:val="single" w:sz="8" w:space="0" w:color="000000"/>
              <w:insideH w:val="single" w:sz="8" w:space="0" w:color="000000"/>
            </w:tcBorders>
            <w:shd w:fill="FFFFFF" w:val="clear"/>
          </w:tcPr>
          <w:p>
            <w:pPr>
              <w:pStyle w:val="Normal"/>
              <w:jc w:val="center"/>
              <w:rPr/>
            </w:pPr>
            <w:r>
              <w:rPr/>
              <w:t>100</w:t>
            </w:r>
          </w:p>
        </w:tc>
        <w:tc>
          <w:tcPr>
            <w:tcW w:w="24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4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250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0,6</w:t>
            </w:r>
          </w:p>
        </w:tc>
      </w:tr>
    </w:tbl>
    <w:p>
      <w:pPr>
        <w:pStyle w:val="Normal"/>
        <w:spacing w:before="120" w:after="0"/>
        <w:ind w:firstLine="283"/>
        <w:jc w:val="both"/>
        <w:rPr/>
      </w:pPr>
      <w:r>
        <w:rPr>
          <w:spacing w:val="40"/>
        </w:rPr>
        <w:t>Примечание</w:t>
      </w:r>
      <w:r>
        <w:rPr/>
        <w:t xml:space="preserve">. Для промежуточных высот и диаметров значения коэффициентов </w:t>
      </w:r>
      <w:r>
        <w:rPr>
          <w:i/>
          <w:iCs/>
        </w:rPr>
        <w:t>K</w:t>
      </w:r>
      <w:r>
        <w:rPr>
          <w:i/>
          <w:iCs/>
          <w:vertAlign w:val="subscript"/>
        </w:rPr>
        <w:t>i</w:t>
      </w:r>
      <w:r>
        <w:rPr/>
        <w:t xml:space="preserve"> и </w:t>
      </w:r>
      <w:r>
        <w:rPr>
          <w:i/>
          <w:iCs/>
        </w:rPr>
        <w:t>K</w:t>
      </w:r>
      <w:r>
        <w:rPr>
          <w:i/>
          <w:iCs/>
          <w:vertAlign w:val="subscript"/>
        </w:rPr>
        <w:t>d</w:t>
      </w:r>
      <w:r>
        <w:rPr/>
        <w:t xml:space="preserve"> определяются линейной интерполяцией.</w:t>
      </w:r>
    </w:p>
    <w:p>
      <w:pPr>
        <w:pStyle w:val="Normal"/>
        <w:spacing w:before="120" w:after="0"/>
        <w:ind w:firstLine="284"/>
        <w:jc w:val="both"/>
        <w:rPr/>
      </w:pPr>
      <w:r>
        <w:rPr/>
        <w:t xml:space="preserve">2.5.50. 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Pr>
          <w:i/>
          <w:iCs/>
        </w:rPr>
        <w:t>b</w:t>
      </w:r>
      <w:r>
        <w:rPr>
          <w:i/>
          <w:iCs/>
          <w:vertAlign w:val="subscript"/>
        </w:rPr>
        <w:t>э</w:t>
      </w:r>
      <w:r>
        <w:rPr/>
        <w:t xml:space="preserve"> рекомендуется принимать не более 15 мм. При этом не следует учитывать коэффициент </w:t>
      </w:r>
      <w:r>
        <w:rPr>
          <w:i/>
          <w:iCs/>
        </w:rPr>
        <w:t>K</w:t>
      </w:r>
      <w:r>
        <w:rPr>
          <w:i/>
          <w:iCs/>
          <w:vertAlign w:val="subscript"/>
        </w:rPr>
        <w:t>i</w:t>
      </w:r>
      <w:r>
        <w:rPr/>
        <w:t>.</w:t>
      </w:r>
    </w:p>
    <w:p>
      <w:pPr>
        <w:pStyle w:val="Normal"/>
        <w:ind w:firstLine="284"/>
        <w:jc w:val="both"/>
        <w:rPr/>
      </w:pPr>
      <w:r>
        <w:rPr/>
        <w:t>2.5.51. 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с округлением до значений, кратных пяти.</w:t>
      </w:r>
    </w:p>
    <w:p>
      <w:pPr>
        <w:pStyle w:val="Normal"/>
        <w:ind w:firstLine="284"/>
        <w:jc w:val="both"/>
        <w:rPr/>
      </w:pPr>
      <w:r>
        <w:rPr/>
        <w:t xml:space="preserve">Температуру воздуха при нормативном ветровом давлении </w:t>
      </w:r>
      <w:r>
        <w:rPr>
          <w:i/>
          <w:iCs/>
        </w:rPr>
        <w:t>W</w:t>
      </w:r>
      <w:r>
        <w:rPr>
          <w:vertAlign w:val="subscript"/>
        </w:rPr>
        <w:t>0</w:t>
      </w:r>
      <w:r>
        <w:rPr/>
        <w:t xml:space="preserve"> следует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p>
      <w:pPr>
        <w:pStyle w:val="Normal"/>
        <w:ind w:firstLine="284"/>
        <w:jc w:val="both"/>
        <w:rPr/>
      </w:pPr>
      <w:r>
        <w:rPr/>
        <w:t>Температуру воздуха при гололеде для территории с высотными отметками местности до 1000 м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1000 м и до 2000 м температуру следует принимать равной минус 10 °С, более 2000 м - минус 15 °С. В районах, где при гололеде наблюдается температура ниже минус 15 °С, ее следует принимать по фактическим данным.</w:t>
      </w:r>
    </w:p>
    <w:p>
      <w:pPr>
        <w:pStyle w:val="Normal"/>
        <w:ind w:firstLine="284"/>
        <w:jc w:val="both"/>
        <w:rPr/>
      </w:pPr>
      <w:r>
        <w:rPr/>
        <w:t xml:space="preserve">2.5.52. Нормативная ветровая нагрузка на провода и тросы </w:t>
      </w:r>
      <w:r>
        <w:rPr>
          <w:vertAlign w:val="subscript"/>
        </w:rPr>
        <w:drawing>
          <wp:inline distT="0" distB="0" distL="0" distR="0">
            <wp:extent cx="207010" cy="246380"/>
            <wp:effectExtent l="0" t="0" r="0" b="0"/>
            <wp:docPr id="3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 descr=""/>
                    <pic:cNvPicPr>
                      <a:picLocks noChangeAspect="1" noChangeArrowheads="1"/>
                    </pic:cNvPicPr>
                  </pic:nvPicPr>
                  <pic:blipFill>
                    <a:blip r:embed="rId40"/>
                    <a:srcRect l="-171" t="-145" r="-171" b="-145"/>
                    <a:stretch>
                      <a:fillRect/>
                    </a:stretch>
                  </pic:blipFill>
                  <pic:spPr bwMode="auto">
                    <a:xfrm>
                      <a:off x="0" y="0"/>
                      <a:ext cx="207010" cy="246380"/>
                    </a:xfrm>
                    <a:prstGeom prst="rect">
                      <a:avLst/>
                    </a:prstGeom>
                  </pic:spPr>
                </pic:pic>
              </a:graphicData>
            </a:graphic>
          </wp:inline>
        </w:drawing>
      </w:r>
      <w:r>
        <w:rPr/>
        <w:t>, Н, действующая перпендикулярно проводу (тросу), для каждого рассчитываемого условия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981200" cy="247650"/>
            <wp:effectExtent l="0" t="0" r="0" b="0"/>
            <wp:docPr id="33" name="image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033" descr=""/>
                    <pic:cNvPicPr>
                      <a:picLocks noChangeAspect="1" noChangeArrowheads="1"/>
                    </pic:cNvPicPr>
                  </pic:nvPicPr>
                  <pic:blipFill>
                    <a:blip r:embed="rId41"/>
                    <a:srcRect l="-18" t="-145" r="-18" b="-145"/>
                    <a:stretch>
                      <a:fillRect/>
                    </a:stretch>
                  </pic:blipFill>
                  <pic:spPr bwMode="auto">
                    <a:xfrm>
                      <a:off x="0" y="0"/>
                      <a:ext cx="1981200" cy="247650"/>
                    </a:xfrm>
                    <a:prstGeom prst="rect">
                      <a:avLst/>
                    </a:prstGeom>
                  </pic:spPr>
                </pic:pic>
              </a:graphicData>
            </a:graphic>
          </wp:inline>
        </w:drawing>
      </w:r>
    </w:p>
    <w:p>
      <w:pPr>
        <w:pStyle w:val="Normal"/>
        <w:spacing w:before="0" w:after="120"/>
        <w:ind w:firstLine="284"/>
        <w:jc w:val="both"/>
        <w:rPr/>
      </w:pPr>
      <w:r>
        <w:rPr/>
        <w:t xml:space="preserve">где </w:t>
      </w:r>
      <w:r>
        <w:rPr>
          <w:i/>
          <w:iCs/>
        </w:rPr>
        <w:t>α</w:t>
      </w:r>
      <w:r>
        <w:rPr>
          <w:i/>
          <w:iCs/>
          <w:vertAlign w:val="subscript"/>
        </w:rPr>
        <w:t>w</w:t>
      </w:r>
      <w:r>
        <w:rPr/>
        <w:t xml:space="preserve"> - коэффициент, учитывающий неравномерность ветрового давления по пролету ВЛ, принимаемый равным:</w:t>
      </w:r>
    </w:p>
    <w:tbl>
      <w:tblPr>
        <w:tblW w:w="9137" w:type="dxa"/>
        <w:jc w:val="left"/>
        <w:tblInd w:w="-33" w:type="dxa"/>
        <w:tblBorders>
          <w:top w:val="single" w:sz="4" w:space="0" w:color="000000"/>
          <w:left w:val="single" w:sz="4" w:space="0" w:color="000000"/>
          <w:bottom w:val="single" w:sz="4" w:space="0" w:color="000000"/>
          <w:insideH w:val="single" w:sz="4" w:space="0" w:color="000000"/>
        </w:tblBorders>
        <w:tblCellMar>
          <w:top w:w="0" w:type="dxa"/>
          <w:left w:w="28" w:type="dxa"/>
          <w:bottom w:w="0" w:type="dxa"/>
          <w:right w:w="28" w:type="dxa"/>
        </w:tblCellMar>
      </w:tblPr>
      <w:tblGrid>
        <w:gridCol w:w="2188"/>
        <w:gridCol w:w="720"/>
        <w:gridCol w:w="720"/>
        <w:gridCol w:w="720"/>
        <w:gridCol w:w="720"/>
        <w:gridCol w:w="720"/>
        <w:gridCol w:w="720"/>
        <w:gridCol w:w="720"/>
        <w:gridCol w:w="720"/>
        <w:gridCol w:w="1189"/>
      </w:tblGrid>
      <w:tr>
        <w:trPr/>
        <w:tc>
          <w:tcPr>
            <w:tcW w:w="2188"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Ветровое давление, Па</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До 200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240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280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300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320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360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400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500</w:t>
            </w:r>
          </w:p>
        </w:tc>
        <w:tc>
          <w:tcPr>
            <w:tcW w:w="11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580 и более</w:t>
            </w:r>
          </w:p>
        </w:tc>
      </w:tr>
      <w:tr>
        <w:trPr/>
        <w:tc>
          <w:tcPr>
            <w:tcW w:w="2188"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 xml:space="preserve">Коэффициент </w:t>
            </w:r>
            <w:r>
              <w:rPr>
                <w:i/>
                <w:iCs/>
              </w:rPr>
              <w:t>α</w:t>
            </w:r>
            <w:r>
              <w:rPr>
                <w:i/>
                <w:iCs/>
                <w:vertAlign w:val="subscript"/>
              </w:rPr>
              <w:t>w</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0,94</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0,88</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0,85</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0,83</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0,80</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0,76</w:t>
            </w:r>
          </w:p>
        </w:tc>
        <w:tc>
          <w:tcPr>
            <w:tcW w:w="720"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0,71</w:t>
            </w:r>
          </w:p>
        </w:tc>
        <w:tc>
          <w:tcPr>
            <w:tcW w:w="11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0,70</w:t>
            </w:r>
          </w:p>
        </w:tc>
      </w:tr>
    </w:tbl>
    <w:p>
      <w:pPr>
        <w:pStyle w:val="Normal"/>
        <w:spacing w:before="120" w:after="0"/>
        <w:ind w:firstLine="283"/>
        <w:jc w:val="both"/>
        <w:rPr/>
      </w:pPr>
      <w:r>
        <w:rPr/>
        <w:t xml:space="preserve">Промежуточные значения </w:t>
      </w:r>
      <w:r>
        <w:rPr>
          <w:i/>
          <w:iCs/>
        </w:rPr>
        <w:t>α</w:t>
      </w:r>
      <w:r>
        <w:rPr>
          <w:i/>
          <w:iCs/>
          <w:vertAlign w:val="subscript"/>
        </w:rPr>
        <w:t>w</w:t>
      </w:r>
      <w:r>
        <w:rPr/>
        <w:t>, определяются линейной интерполяцией;</w:t>
      </w:r>
    </w:p>
    <w:p>
      <w:pPr>
        <w:pStyle w:val="Normal"/>
        <w:ind w:firstLine="283"/>
        <w:jc w:val="both"/>
        <w:rPr/>
      </w:pPr>
      <w:r>
        <w:rPr>
          <w:i/>
          <w:iCs/>
        </w:rPr>
        <w:t>K</w:t>
      </w:r>
      <w:r>
        <w:rPr>
          <w:i/>
          <w:iCs/>
          <w:vertAlign w:val="subscript"/>
        </w:rPr>
        <w:t>l</w:t>
      </w:r>
      <w:r>
        <w:rPr/>
        <w:t xml:space="preserve"> - коэффициент, учитывающий влияние длины пролета на ветровую нагрузку, равный 1,2 при длине пролета до 50 м, 1,1 - при 100 м, 1,05 - при 150 м, 1,0 - при 250 м и более (промежуточные значения </w:t>
      </w:r>
      <w:r>
        <w:rPr>
          <w:i/>
          <w:iCs/>
        </w:rPr>
        <w:t>K</w:t>
      </w:r>
      <w:r>
        <w:rPr>
          <w:i/>
          <w:iCs/>
          <w:vertAlign w:val="subscript"/>
        </w:rPr>
        <w:t>l</w:t>
      </w:r>
      <w:r>
        <w:rPr/>
        <w:t xml:space="preserve"> определяются интерполяцией);</w:t>
      </w:r>
    </w:p>
    <w:p>
      <w:pPr>
        <w:pStyle w:val="Normal"/>
        <w:ind w:firstLine="283"/>
        <w:jc w:val="both"/>
        <w:rPr/>
      </w:pPr>
      <w:r>
        <w:rPr>
          <w:i/>
          <w:iCs/>
        </w:rPr>
        <w:t>K</w:t>
      </w:r>
      <w:r>
        <w:rPr>
          <w:i/>
          <w:iCs/>
          <w:vertAlign w:val="subscript"/>
        </w:rPr>
        <w:t>w</w:t>
      </w:r>
      <w:r>
        <w:rPr/>
        <w:t xml:space="preserve"> - коэффициент, учитывающий изменение ветрового давления по высоте в зависимости от типа местности, определяемый по табл. 2.5.2;</w:t>
      </w:r>
    </w:p>
    <w:p>
      <w:pPr>
        <w:pStyle w:val="Normal"/>
        <w:ind w:firstLine="283"/>
        <w:jc w:val="both"/>
        <w:rPr/>
      </w:pPr>
      <w:r>
        <w:rPr>
          <w:i/>
          <w:iCs/>
        </w:rPr>
        <w:t>C</w:t>
      </w:r>
      <w:r>
        <w:rPr>
          <w:i/>
          <w:iCs/>
          <w:vertAlign w:val="subscript"/>
        </w:rPr>
        <w:t>x</w:t>
      </w:r>
      <w:r>
        <w:rPr/>
        <w:t xml:space="preserve"> - коэффициент лобового сопротивления, принимаемый равным: 1,1 - для проводов и тросов, свободных от гололеда, диаметром 20 мм и более; 1,2 - для всех проводов и тросов, покрытых гололедом, и для всех проводов и тросов, свободных от гололеда, диаметром менее 20 мм;</w:t>
      </w:r>
    </w:p>
    <w:p>
      <w:pPr>
        <w:pStyle w:val="Normal"/>
        <w:ind w:firstLine="283"/>
        <w:jc w:val="both"/>
        <w:rPr/>
      </w:pPr>
      <w:r>
        <w:rPr>
          <w:i/>
          <w:iCs/>
        </w:rPr>
        <w:t>W</w:t>
      </w:r>
      <w:r>
        <w:rPr/>
        <w:t xml:space="preserve"> - нормативное ветровое давление, Па, в рассматриваемом режиме:</w:t>
      </w:r>
    </w:p>
    <w:p>
      <w:pPr>
        <w:pStyle w:val="Normal"/>
        <w:ind w:firstLine="283"/>
        <w:jc w:val="both"/>
        <w:rPr/>
      </w:pPr>
      <w:r>
        <w:rPr>
          <w:i/>
          <w:iCs/>
        </w:rPr>
        <w:t>W</w:t>
      </w:r>
      <w:r>
        <w:rPr/>
        <w:t xml:space="preserve"> = </w:t>
      </w:r>
      <w:r>
        <w:rPr>
          <w:i/>
          <w:iCs/>
        </w:rPr>
        <w:t>W</w:t>
      </w:r>
      <w:r>
        <w:rPr>
          <w:vertAlign w:val="subscript"/>
        </w:rPr>
        <w:t>0</w:t>
      </w:r>
      <w:r>
        <w:rPr/>
        <w:t xml:space="preserve"> - определяется по табл. 2.5.1 в зависимости от ветрового района;</w:t>
      </w:r>
    </w:p>
    <w:p>
      <w:pPr>
        <w:pStyle w:val="Normal"/>
        <w:ind w:firstLine="283"/>
        <w:jc w:val="both"/>
        <w:rPr/>
      </w:pPr>
      <w:r>
        <w:rPr>
          <w:i/>
          <w:iCs/>
        </w:rPr>
        <w:t>W</w:t>
      </w:r>
      <w:r>
        <w:rPr/>
        <w:t xml:space="preserve"> = </w:t>
      </w:r>
      <w:r>
        <w:rPr>
          <w:i/>
          <w:iCs/>
        </w:rPr>
        <w:t>W</w:t>
      </w:r>
      <w:r>
        <w:rPr>
          <w:i/>
          <w:iCs/>
          <w:vertAlign w:val="subscript"/>
        </w:rPr>
        <w:t>г</w:t>
      </w:r>
      <w:r>
        <w:rPr/>
        <w:t xml:space="preserve"> - определяется по 2.5.43;</w:t>
      </w:r>
    </w:p>
    <w:p>
      <w:pPr>
        <w:pStyle w:val="Normal"/>
        <w:ind w:firstLine="283"/>
        <w:jc w:val="both"/>
        <w:rPr/>
      </w:pPr>
      <w:r>
        <w:rPr>
          <w:i/>
          <w:iCs/>
        </w:rPr>
        <w:t>F</w:t>
      </w:r>
      <w:r>
        <w:rPr/>
        <w:t xml:space="preserve"> - площадь продольного диаметрального сечения провода, м</w:t>
      </w:r>
      <w:r>
        <w:rPr>
          <w:vertAlign w:val="superscript"/>
        </w:rPr>
        <w:t>2</w:t>
      </w:r>
      <w:r>
        <w:rPr/>
        <w:t xml:space="preserve"> (при гололеде с учетом условной толщины стенки гололеда </w:t>
      </w:r>
      <w:r>
        <w:rPr>
          <w:i/>
          <w:iCs/>
        </w:rPr>
        <w:t>b</w:t>
      </w:r>
      <w:r>
        <w:rPr>
          <w:i/>
          <w:iCs/>
          <w:vertAlign w:val="subscript"/>
        </w:rPr>
        <w:t>y</w:t>
      </w:r>
      <w:r>
        <w:rPr/>
        <w:t>);</w:t>
      </w:r>
    </w:p>
    <w:p>
      <w:pPr>
        <w:pStyle w:val="Normal"/>
        <w:ind w:firstLine="283"/>
        <w:jc w:val="both"/>
        <w:rPr/>
      </w:pPr>
      <w:r>
        <w:rPr>
          <w:i/>
          <w:iCs/>
        </w:rPr>
        <w:t>φ</w:t>
      </w:r>
      <w:r>
        <w:rPr/>
        <w:t xml:space="preserve"> - угол между направлением ветра и осью ВЛ.</w:t>
      </w:r>
    </w:p>
    <w:p>
      <w:pPr>
        <w:pStyle w:val="Normal"/>
        <w:ind w:firstLine="283"/>
        <w:jc w:val="both"/>
        <w:rPr/>
      </w:pPr>
      <w:r>
        <w:rPr/>
        <w:t xml:space="preserve">Площадь продольного диаметрального сечения провода (троса) </w:t>
      </w:r>
      <w:r>
        <w:rPr>
          <w:i/>
          <w:iCs/>
        </w:rPr>
        <w:t>F</w:t>
      </w:r>
      <w:r>
        <w:rPr/>
        <w:t xml:space="preserve"> определяется по формуле, м</w:t>
      </w:r>
      <w:r>
        <w:rPr>
          <w:vertAlign w:val="superscript"/>
        </w:rPr>
        <w:t>2</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771650" cy="247650"/>
            <wp:effectExtent l="0" t="0" r="0" b="0"/>
            <wp:docPr id="34" name="image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034" descr=""/>
                    <pic:cNvPicPr>
                      <a:picLocks noChangeAspect="1" noChangeArrowheads="1"/>
                    </pic:cNvPicPr>
                  </pic:nvPicPr>
                  <pic:blipFill>
                    <a:blip r:embed="rId42"/>
                    <a:srcRect l="-20" t="-145" r="-20" b="-145"/>
                    <a:stretch>
                      <a:fillRect/>
                    </a:stretch>
                  </pic:blipFill>
                  <pic:spPr bwMode="auto">
                    <a:xfrm>
                      <a:off x="0" y="0"/>
                      <a:ext cx="1771650" cy="247650"/>
                    </a:xfrm>
                    <a:prstGeom prst="rect">
                      <a:avLst/>
                    </a:prstGeom>
                  </pic:spPr>
                </pic:pic>
              </a:graphicData>
            </a:graphic>
          </wp:inline>
        </w:drawing>
      </w:r>
    </w:p>
    <w:p>
      <w:pPr>
        <w:pStyle w:val="Normal"/>
        <w:ind w:firstLine="284"/>
        <w:jc w:val="both"/>
        <w:rPr/>
      </w:pPr>
      <w:r>
        <w:rPr/>
        <w:t xml:space="preserve">где </w:t>
      </w:r>
      <w:r>
        <w:rPr>
          <w:i/>
          <w:iCs/>
        </w:rPr>
        <w:t>d</w:t>
      </w:r>
      <w:r>
        <w:rPr/>
        <w:t xml:space="preserve"> - диаметр провода, мм;</w:t>
      </w:r>
    </w:p>
    <w:p>
      <w:pPr>
        <w:pStyle w:val="Normal"/>
        <w:ind w:firstLine="284"/>
        <w:jc w:val="both"/>
        <w:rPr/>
      </w:pPr>
      <w:r>
        <w:rPr>
          <w:i/>
          <w:iCs/>
        </w:rPr>
        <w:t>K</w:t>
      </w:r>
      <w:r>
        <w:rPr>
          <w:i/>
          <w:iCs/>
          <w:vertAlign w:val="subscript"/>
        </w:rPr>
        <w:t>i</w:t>
      </w:r>
      <w:r>
        <w:rPr/>
        <w:t xml:space="preserve"> и </w:t>
      </w:r>
      <w:r>
        <w:rPr>
          <w:i/>
          <w:iCs/>
        </w:rPr>
        <w:t>K</w:t>
      </w:r>
      <w:r>
        <w:rPr>
          <w:i/>
          <w:iCs/>
          <w:vertAlign w:val="subscript"/>
        </w:rPr>
        <w:t>d</w:t>
      </w:r>
      <w:r>
        <w:rPr/>
        <w:t xml:space="preserve"> - коэффициенты, учитывающие изменение толщины стенки гололеда по высоте и в зависимости от диаметра провода и определяемые по табл. 2.5.4;</w:t>
      </w:r>
    </w:p>
    <w:p>
      <w:pPr>
        <w:pStyle w:val="Normal"/>
        <w:ind w:firstLine="284"/>
        <w:jc w:val="both"/>
        <w:rPr/>
      </w:pPr>
      <w:r>
        <w:rPr>
          <w:i/>
          <w:iCs/>
        </w:rPr>
        <w:t>b</w:t>
      </w:r>
      <w:r>
        <w:rPr>
          <w:i/>
          <w:iCs/>
          <w:vertAlign w:val="subscript"/>
        </w:rPr>
        <w:t>y</w:t>
      </w:r>
      <w:r>
        <w:rPr/>
        <w:t xml:space="preserve"> - условная толщина стенки гололеда, мм, принимается согласно 2.5.48;</w:t>
      </w:r>
    </w:p>
    <w:p>
      <w:pPr>
        <w:pStyle w:val="Normal"/>
        <w:ind w:firstLine="284"/>
        <w:jc w:val="both"/>
        <w:rPr/>
      </w:pPr>
      <w:r>
        <w:rPr>
          <w:i/>
          <w:iCs/>
        </w:rPr>
        <w:t>l</w:t>
      </w:r>
      <w:r>
        <w:rPr/>
        <w:t xml:space="preserve"> - длина ветрового пролета, м.</w:t>
      </w:r>
    </w:p>
    <w:p>
      <w:pPr>
        <w:pStyle w:val="Normal"/>
        <w:ind w:firstLine="284"/>
        <w:jc w:val="both"/>
        <w:rPr/>
      </w:pPr>
      <w:r>
        <w:rPr/>
        <w:t xml:space="preserve">2.5.53. Нормативная линейная гололедная нагрузка на 1 м провода и трос </w:t>
      </w:r>
      <w:r>
        <w:rPr>
          <w:vertAlign w:val="subscript"/>
        </w:rPr>
        <w:drawing>
          <wp:inline distT="0" distB="0" distL="0" distR="0">
            <wp:extent cx="207010" cy="246380"/>
            <wp:effectExtent l="0" t="0" r="0" b="0"/>
            <wp:docPr id="3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 descr=""/>
                    <pic:cNvPicPr>
                      <a:picLocks noChangeAspect="1" noChangeArrowheads="1"/>
                    </pic:cNvPicPr>
                  </pic:nvPicPr>
                  <pic:blipFill>
                    <a:blip r:embed="rId43"/>
                    <a:srcRect l="-171" t="-145" r="-171" b="-145"/>
                    <a:stretch>
                      <a:fillRect/>
                    </a:stretch>
                  </pic:blipFill>
                  <pic:spPr bwMode="auto">
                    <a:xfrm>
                      <a:off x="0" y="0"/>
                      <a:ext cx="207010" cy="246380"/>
                    </a:xfrm>
                    <a:prstGeom prst="rect">
                      <a:avLst/>
                    </a:prstGeom>
                  </pic:spPr>
                </pic:pic>
              </a:graphicData>
            </a:graphic>
          </wp:inline>
        </w:drawing>
      </w:r>
      <w:r>
        <w:rPr/>
        <w:t> определяется по формуле, Н/м</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2647315" cy="246380"/>
            <wp:effectExtent l="0" t="0" r="0" b="0"/>
            <wp:docPr id="3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 descr=""/>
                    <pic:cNvPicPr>
                      <a:picLocks noChangeAspect="1" noChangeArrowheads="1"/>
                    </pic:cNvPicPr>
                  </pic:nvPicPr>
                  <pic:blipFill>
                    <a:blip r:embed="rId44"/>
                    <a:srcRect l="-13" t="-145" r="-13" b="-145"/>
                    <a:stretch>
                      <a:fillRect/>
                    </a:stretch>
                  </pic:blipFill>
                  <pic:spPr bwMode="auto">
                    <a:xfrm>
                      <a:off x="0" y="0"/>
                      <a:ext cx="2647315" cy="246380"/>
                    </a:xfrm>
                    <a:prstGeom prst="rect">
                      <a:avLst/>
                    </a:prstGeom>
                  </pic:spPr>
                </pic:pic>
              </a:graphicData>
            </a:graphic>
          </wp:inline>
        </w:drawing>
      </w:r>
    </w:p>
    <w:p>
      <w:pPr>
        <w:pStyle w:val="Normal"/>
        <w:ind w:firstLine="284"/>
        <w:jc w:val="both"/>
        <w:rPr/>
      </w:pPr>
      <w:r>
        <w:rPr/>
        <w:t xml:space="preserve">где </w:t>
      </w:r>
      <w:r>
        <w:rPr>
          <w:i/>
          <w:iCs/>
        </w:rPr>
        <w:t>K</w:t>
      </w:r>
      <w:r>
        <w:rPr>
          <w:i/>
          <w:iCs/>
          <w:vertAlign w:val="subscript"/>
        </w:rPr>
        <w:t>i</w:t>
      </w:r>
      <w:r>
        <w:rPr/>
        <w:t xml:space="preserve">, </w:t>
      </w:r>
      <w:r>
        <w:rPr>
          <w:i/>
          <w:iCs/>
        </w:rPr>
        <w:t>K</w:t>
      </w:r>
      <w:r>
        <w:rPr>
          <w:i/>
          <w:iCs/>
          <w:vertAlign w:val="subscript"/>
        </w:rPr>
        <w:t>d</w:t>
      </w:r>
      <w:r>
        <w:rPr/>
        <w:t xml:space="preserve"> - коэффициенты, учитывающие изменение толщины стенки гололеда по высоте и в зависимости от диаметра провода и принимаемые по табл. 2.5.4;</w:t>
      </w:r>
    </w:p>
    <w:p>
      <w:pPr>
        <w:pStyle w:val="Normal"/>
        <w:ind w:firstLine="284"/>
        <w:jc w:val="both"/>
        <w:rPr/>
      </w:pPr>
      <w:r>
        <w:rPr>
          <w:i/>
          <w:iCs/>
        </w:rPr>
        <w:t>b</w:t>
      </w:r>
      <w:r>
        <w:rPr>
          <w:i/>
          <w:iCs/>
          <w:vertAlign w:val="subscript"/>
        </w:rPr>
        <w:t>э</w:t>
      </w:r>
      <w:r>
        <w:rPr/>
        <w:t xml:space="preserve"> - толщина стенки гололеда, мм, по 2.5.46;</w:t>
      </w:r>
    </w:p>
    <w:p>
      <w:pPr>
        <w:pStyle w:val="Normal"/>
        <w:ind w:firstLine="284"/>
        <w:jc w:val="both"/>
        <w:rPr/>
      </w:pPr>
      <w:r>
        <w:rPr>
          <w:i/>
          <w:iCs/>
        </w:rPr>
        <w:t>d</w:t>
      </w:r>
      <w:r>
        <w:rPr/>
        <w:t xml:space="preserve"> - диаметр провода, мм;</w:t>
      </w:r>
    </w:p>
    <w:p>
      <w:pPr>
        <w:pStyle w:val="Normal"/>
        <w:ind w:firstLine="284"/>
        <w:jc w:val="both"/>
        <w:rPr/>
      </w:pPr>
      <w:r>
        <w:rPr>
          <w:i/>
          <w:iCs/>
        </w:rPr>
        <w:t>ρ</w:t>
      </w:r>
      <w:r>
        <w:rPr/>
        <w:t xml:space="preserve"> - плотность льда, принимаемая равной 0,9 г/см</w:t>
      </w:r>
      <w:r>
        <w:rPr>
          <w:vertAlign w:val="superscript"/>
        </w:rPr>
        <w:t>3</w:t>
      </w:r>
      <w:r>
        <w:rPr/>
        <w:t>;</w:t>
      </w:r>
    </w:p>
    <w:p>
      <w:pPr>
        <w:pStyle w:val="Normal"/>
        <w:ind w:firstLine="284"/>
        <w:jc w:val="both"/>
        <w:rPr/>
      </w:pPr>
      <w:r>
        <w:rPr>
          <w:i/>
          <w:iCs/>
        </w:rPr>
        <w:t>g</w:t>
      </w:r>
      <w:r>
        <w:rPr/>
        <w:t xml:space="preserve"> - ускорение свободного падения, принимаемое равным 9,8 м/с</w:t>
      </w:r>
      <w:r>
        <w:rPr>
          <w:vertAlign w:val="superscript"/>
        </w:rPr>
        <w:t>2</w:t>
      </w:r>
      <w:r>
        <w:rPr/>
        <w:t>.</w:t>
      </w:r>
    </w:p>
    <w:p>
      <w:pPr>
        <w:pStyle w:val="Normal"/>
        <w:ind w:firstLine="284"/>
        <w:jc w:val="both"/>
        <w:rPr/>
      </w:pPr>
      <w:r>
        <w:rPr/>
        <w:t xml:space="preserve">2.5.54. Расчетная ветровая нагрузка на провода (тросы) </w:t>
      </w:r>
      <w:r>
        <w:rPr>
          <w:vertAlign w:val="subscript"/>
        </w:rPr>
        <w:drawing>
          <wp:inline distT="0" distB="0" distL="0" distR="0">
            <wp:extent cx="246380" cy="246380"/>
            <wp:effectExtent l="0" t="0" r="0" b="0"/>
            <wp:docPr id="3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 descr=""/>
                    <pic:cNvPicPr>
                      <a:picLocks noChangeAspect="1" noChangeArrowheads="1"/>
                    </pic:cNvPicPr>
                  </pic:nvPicPr>
                  <pic:blipFill>
                    <a:blip r:embed="rId45"/>
                    <a:srcRect l="-145" t="-145" r="-145" b="-145"/>
                    <a:stretch>
                      <a:fillRect/>
                    </a:stretch>
                  </pic:blipFill>
                  <pic:spPr bwMode="auto">
                    <a:xfrm>
                      <a:off x="0" y="0"/>
                      <a:ext cx="246380" cy="246380"/>
                    </a:xfrm>
                    <a:prstGeom prst="rect">
                      <a:avLst/>
                    </a:prstGeom>
                  </pic:spPr>
                </pic:pic>
              </a:graphicData>
            </a:graphic>
          </wp:inline>
        </w:drawing>
      </w:r>
      <w:r>
        <w:rPr/>
        <w:t> при механическом расчете проводов и тросов по методу допускаемых напряжений определяется по формуле, Н</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280160" cy="246380"/>
            <wp:effectExtent l="0" t="0" r="0" b="0"/>
            <wp:docPr id="3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 descr=""/>
                    <pic:cNvPicPr>
                      <a:picLocks noChangeAspect="1" noChangeArrowheads="1"/>
                    </pic:cNvPicPr>
                  </pic:nvPicPr>
                  <pic:blipFill>
                    <a:blip r:embed="rId46"/>
                    <a:srcRect l="-28" t="-145" r="-28" b="-145"/>
                    <a:stretch>
                      <a:fillRect/>
                    </a:stretch>
                  </pic:blipFill>
                  <pic:spPr bwMode="auto">
                    <a:xfrm>
                      <a:off x="0" y="0"/>
                      <a:ext cx="1280160" cy="246380"/>
                    </a:xfrm>
                    <a:prstGeom prst="rect">
                      <a:avLst/>
                    </a:prstGeom>
                  </pic:spPr>
                </pic:pic>
              </a:graphicData>
            </a:graphic>
          </wp:inline>
        </w:drawing>
      </w:r>
    </w:p>
    <w:p>
      <w:pPr>
        <w:pStyle w:val="Normal"/>
        <w:ind w:firstLine="284"/>
        <w:jc w:val="both"/>
        <w:rPr/>
      </w:pPr>
      <w:r>
        <w:rPr/>
        <w:t xml:space="preserve">где </w:t>
      </w:r>
      <w:r>
        <w:rPr>
          <w:vertAlign w:val="subscript"/>
        </w:rPr>
        <w:drawing>
          <wp:inline distT="0" distB="0" distL="0" distR="0">
            <wp:extent cx="207010" cy="246380"/>
            <wp:effectExtent l="0" t="0" r="0" b="0"/>
            <wp:docPr id="3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 descr=""/>
                    <pic:cNvPicPr>
                      <a:picLocks noChangeAspect="1" noChangeArrowheads="1"/>
                    </pic:cNvPicPr>
                  </pic:nvPicPr>
                  <pic:blipFill>
                    <a:blip r:embed="rId47"/>
                    <a:srcRect l="-171" t="-145" r="-171" b="-145"/>
                    <a:stretch>
                      <a:fillRect/>
                    </a:stretch>
                  </pic:blipFill>
                  <pic:spPr bwMode="auto">
                    <a:xfrm>
                      <a:off x="0" y="0"/>
                      <a:ext cx="207010" cy="246380"/>
                    </a:xfrm>
                    <a:prstGeom prst="rect">
                      <a:avLst/>
                    </a:prstGeom>
                  </pic:spPr>
                </pic:pic>
              </a:graphicData>
            </a:graphic>
          </wp:inline>
        </w:drawing>
      </w:r>
      <w:r>
        <w:rPr/>
        <w:t> - нормативная ветровая нагрузка по 2.5.52;</w:t>
      </w:r>
    </w:p>
    <w:p>
      <w:pPr>
        <w:pStyle w:val="Normal"/>
        <w:ind w:firstLine="284"/>
        <w:jc w:val="both"/>
        <w:rPr/>
      </w:pPr>
      <w:r>
        <w:rPr>
          <w:i/>
          <w:iCs/>
        </w:rPr>
        <w:t>γ</w:t>
      </w:r>
      <w:r>
        <w:rPr>
          <w:i/>
          <w:iCs/>
          <w:vertAlign w:val="subscript"/>
        </w:rPr>
        <w:t>nw</w:t>
      </w:r>
      <w:r>
        <w:rPr/>
        <w:t xml:space="preserve"> - коэффициент надежности по ответственности, принимаемый равным: 1,0 - для ВЛ до 220 кВ; 1,1 -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pPr>
        <w:pStyle w:val="Normal"/>
        <w:ind w:firstLine="284"/>
        <w:jc w:val="both"/>
        <w:rPr/>
      </w:pPr>
      <w:r>
        <w:rPr>
          <w:i/>
          <w:iCs/>
        </w:rPr>
        <w:t>γ</w:t>
      </w:r>
      <w:r>
        <w:rPr>
          <w:i/>
          <w:iCs/>
          <w:vertAlign w:val="subscript"/>
        </w:rPr>
        <w:t>p</w:t>
      </w:r>
      <w:r>
        <w:rPr/>
        <w:t xml:space="preserve">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p>
      <w:pPr>
        <w:pStyle w:val="Normal"/>
        <w:ind w:firstLine="284"/>
        <w:jc w:val="both"/>
        <w:rPr/>
      </w:pPr>
      <w:r>
        <w:rPr>
          <w:i/>
          <w:iCs/>
        </w:rPr>
        <w:t>γ</w:t>
      </w:r>
      <w:r>
        <w:rPr>
          <w:i/>
          <w:iCs/>
          <w:vertAlign w:val="subscript"/>
        </w:rPr>
        <w:t>f</w:t>
      </w:r>
      <w:r>
        <w:rPr/>
        <w:t xml:space="preserve"> - коэффициент надежности по ветровой нагрузке, равный 1,1.</w:t>
      </w:r>
    </w:p>
    <w:p>
      <w:pPr>
        <w:pStyle w:val="Normal"/>
        <w:ind w:firstLine="284"/>
        <w:jc w:val="both"/>
        <w:rPr/>
      </w:pPr>
      <w:r>
        <w:rPr/>
        <w:t xml:space="preserve">2.5.55. Расчетная линейная гололедная нагрузка на 1 м провода (троса) </w:t>
      </w:r>
      <w:r>
        <w:rPr>
          <w:i/>
          <w:iCs/>
        </w:rPr>
        <w:t>Р</w:t>
      </w:r>
      <w:r>
        <w:rPr>
          <w:i/>
          <w:iCs/>
          <w:vertAlign w:val="subscript"/>
        </w:rPr>
        <w:t>г.п</w:t>
      </w:r>
      <w:r>
        <w:rPr/>
        <w:t xml:space="preserve"> при механическом расчете проводов и тросов по методу допускаемых напряжений определяется по формуле, Н/м</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62405" cy="246380"/>
            <wp:effectExtent l="0" t="0" r="0" b="0"/>
            <wp:docPr id="4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 descr=""/>
                    <pic:cNvPicPr>
                      <a:picLocks noChangeAspect="1" noChangeArrowheads="1"/>
                    </pic:cNvPicPr>
                  </pic:nvPicPr>
                  <pic:blipFill>
                    <a:blip r:embed="rId48"/>
                    <a:srcRect l="-24" t="-145" r="-24" b="-145"/>
                    <a:stretch>
                      <a:fillRect/>
                    </a:stretch>
                  </pic:blipFill>
                  <pic:spPr bwMode="auto">
                    <a:xfrm>
                      <a:off x="0" y="0"/>
                      <a:ext cx="1462405" cy="246380"/>
                    </a:xfrm>
                    <a:prstGeom prst="rect">
                      <a:avLst/>
                    </a:prstGeom>
                  </pic:spPr>
                </pic:pic>
              </a:graphicData>
            </a:graphic>
          </wp:inline>
        </w:drawing>
      </w:r>
    </w:p>
    <w:p>
      <w:pPr>
        <w:pStyle w:val="Normal"/>
        <w:ind w:firstLine="284"/>
        <w:jc w:val="both"/>
        <w:rPr/>
      </w:pPr>
      <w:r>
        <w:rPr/>
        <w:t xml:space="preserve">где </w:t>
      </w:r>
      <w:r>
        <w:rPr>
          <w:vertAlign w:val="subscript"/>
        </w:rPr>
        <w:drawing>
          <wp:inline distT="0" distB="0" distL="0" distR="0">
            <wp:extent cx="207010" cy="246380"/>
            <wp:effectExtent l="0" t="0" r="0" b="0"/>
            <wp:docPr id="4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descr=""/>
                    <pic:cNvPicPr>
                      <a:picLocks noChangeAspect="1" noChangeArrowheads="1"/>
                    </pic:cNvPicPr>
                  </pic:nvPicPr>
                  <pic:blipFill>
                    <a:blip r:embed="rId49"/>
                    <a:srcRect l="-171" t="-145" r="-171" b="-145"/>
                    <a:stretch>
                      <a:fillRect/>
                    </a:stretch>
                  </pic:blipFill>
                  <pic:spPr bwMode="auto">
                    <a:xfrm>
                      <a:off x="0" y="0"/>
                      <a:ext cx="207010" cy="246380"/>
                    </a:xfrm>
                    <a:prstGeom prst="rect">
                      <a:avLst/>
                    </a:prstGeom>
                  </pic:spPr>
                </pic:pic>
              </a:graphicData>
            </a:graphic>
          </wp:inline>
        </w:drawing>
      </w:r>
      <w:r>
        <w:rPr/>
        <w:t> - нормативная линейная гололедная нагрузка, принимаемая по 2.5.53;</w:t>
      </w:r>
    </w:p>
    <w:p>
      <w:pPr>
        <w:pStyle w:val="Normal"/>
        <w:ind w:firstLine="284"/>
        <w:jc w:val="both"/>
        <w:rPr/>
      </w:pPr>
      <w:r>
        <w:rPr>
          <w:i/>
          <w:iCs/>
        </w:rPr>
        <w:t>γ</w:t>
      </w:r>
      <w:r>
        <w:rPr>
          <w:i/>
          <w:iCs/>
          <w:vertAlign w:val="subscript"/>
        </w:rPr>
        <w:t>nw</w:t>
      </w:r>
      <w:r>
        <w:rPr/>
        <w:t xml:space="preserve"> - коэффициент надежности по ответственности, принимаемый равным: 1,0 - для ВЛ до 220 кВ; 1,3 -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pPr>
        <w:pStyle w:val="Normal"/>
        <w:ind w:firstLine="284"/>
        <w:jc w:val="both"/>
        <w:rPr/>
      </w:pPr>
      <w:r>
        <w:rPr>
          <w:i/>
          <w:iCs/>
        </w:rPr>
        <w:t>γ</w:t>
      </w:r>
      <w:r>
        <w:rPr>
          <w:i/>
          <w:iCs/>
          <w:vertAlign w:val="subscript"/>
        </w:rPr>
        <w:t>p</w:t>
      </w:r>
      <w:r>
        <w:rPr/>
        <w:t xml:space="preserve">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p>
      <w:pPr>
        <w:pStyle w:val="Normal"/>
        <w:ind w:firstLine="284"/>
        <w:jc w:val="both"/>
        <w:rPr/>
      </w:pPr>
      <w:r>
        <w:rPr>
          <w:i/>
          <w:iCs/>
        </w:rPr>
        <w:t>γ</w:t>
      </w:r>
      <w:r>
        <w:rPr>
          <w:i/>
          <w:iCs/>
          <w:vertAlign w:val="subscript"/>
        </w:rPr>
        <w:t>f</w:t>
      </w:r>
      <w:r>
        <w:rPr/>
        <w:t xml:space="preserve"> - коэффициент надежности по гололедной нагрузке, равный 1,3 для районов по гололеду I и II; 1,6 - для районов по гололеду III и выше;</w:t>
      </w:r>
    </w:p>
    <w:p>
      <w:pPr>
        <w:pStyle w:val="Normal"/>
        <w:ind w:firstLine="284"/>
        <w:jc w:val="both"/>
        <w:rPr/>
      </w:pPr>
      <w:r>
        <w:rPr>
          <w:i/>
          <w:iCs/>
        </w:rPr>
        <w:t>γ</w:t>
      </w:r>
      <w:r>
        <w:rPr>
          <w:i/>
          <w:iCs/>
          <w:vertAlign w:val="subscript"/>
        </w:rPr>
        <w:t>d</w:t>
      </w:r>
      <w:r>
        <w:rPr/>
        <w:t xml:space="preserve"> - коэффициент условий работы, равный 0,5.</w:t>
      </w:r>
    </w:p>
    <w:p>
      <w:pPr>
        <w:pStyle w:val="Normal"/>
        <w:ind w:firstLine="284"/>
        <w:jc w:val="both"/>
        <w:rPr/>
      </w:pPr>
      <w:r>
        <w:rPr/>
        <w:t>2.5.56. При расчете приближений токоведущих частей к сооружениям, насаждениям и элементам опор расчетная ветровая нагрузка на провода (тросы) определяется по 2.5.54.</w:t>
      </w:r>
    </w:p>
    <w:p>
      <w:pPr>
        <w:pStyle w:val="Normal"/>
        <w:ind w:firstLine="284"/>
        <w:jc w:val="both"/>
        <w:rPr/>
      </w:pPr>
      <w:r>
        <w:rPr/>
        <w:t>2.5.57.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2.5.55.</w:t>
      </w:r>
    </w:p>
    <w:p>
      <w:pPr>
        <w:pStyle w:val="Normal"/>
        <w:ind w:firstLine="284"/>
        <w:jc w:val="both"/>
        <w:rPr/>
      </w:pPr>
      <w:r>
        <w:rPr/>
        <w:t>2.5.58. Нормативная ветровая нагрузка на конструкцию опоры определяется как сумма средней и пульсационной составляющих.</w:t>
      </w:r>
    </w:p>
    <w:p>
      <w:pPr>
        <w:pStyle w:val="Normal"/>
        <w:ind w:firstLine="284"/>
        <w:jc w:val="both"/>
        <w:rPr/>
      </w:pPr>
      <w:r>
        <w:rPr/>
        <w:t xml:space="preserve">2.5.59. Нормативная средняя составляющая ветровой нагрузки на опору </w:t>
      </w:r>
      <w:r>
        <w:rPr>
          <w:vertAlign w:val="subscript"/>
        </w:rPr>
        <w:drawing>
          <wp:inline distT="0" distB="0" distL="0" distR="0">
            <wp:extent cx="207010" cy="246380"/>
            <wp:effectExtent l="0" t="0" r="0" b="0"/>
            <wp:docPr id="4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 descr=""/>
                    <pic:cNvPicPr>
                      <a:picLocks noChangeAspect="1" noChangeArrowheads="1"/>
                    </pic:cNvPicPr>
                  </pic:nvPicPr>
                  <pic:blipFill>
                    <a:blip r:embed="rId50"/>
                    <a:srcRect l="-171" t="-145" r="-171" b="-145"/>
                    <a:stretch>
                      <a:fillRect/>
                    </a:stretch>
                  </pic:blipFill>
                  <pic:spPr bwMode="auto">
                    <a:xfrm>
                      <a:off x="0" y="0"/>
                      <a:ext cx="207010" cy="246380"/>
                    </a:xfrm>
                    <a:prstGeom prst="rect">
                      <a:avLst/>
                    </a:prstGeom>
                  </pic:spPr>
                </pic:pic>
              </a:graphicData>
            </a:graphic>
          </wp:inline>
        </w:drawing>
      </w:r>
      <w:r>
        <w:rPr/>
        <w:t> определяется по формуле, Н</w:t>
      </w:r>
    </w:p>
    <w:p>
      <w:pPr>
        <w:pStyle w:val="Normal"/>
        <w:spacing w:before="120" w:after="120"/>
        <w:jc w:val="center"/>
        <w:rPr>
          <w:vertAlign w:val="subscript"/>
        </w:rPr>
      </w:pPr>
      <w:r>
        <w:rPr>
          <w:vertAlign w:val="subscript"/>
        </w:rPr>
        <w:drawing>
          <wp:inline distT="0" distB="0" distL="0" distR="0">
            <wp:extent cx="1160780" cy="246380"/>
            <wp:effectExtent l="0" t="0" r="0" b="0"/>
            <wp:docPr id="4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 descr=""/>
                    <pic:cNvPicPr>
                      <a:picLocks noChangeAspect="1" noChangeArrowheads="1"/>
                    </pic:cNvPicPr>
                  </pic:nvPicPr>
                  <pic:blipFill>
                    <a:blip r:embed="rId51"/>
                    <a:srcRect l="-30" t="-145" r="-30" b="-145"/>
                    <a:stretch>
                      <a:fillRect/>
                    </a:stretch>
                  </pic:blipFill>
                  <pic:spPr bwMode="auto">
                    <a:xfrm>
                      <a:off x="0" y="0"/>
                      <a:ext cx="1160780" cy="246380"/>
                    </a:xfrm>
                    <a:prstGeom prst="rect">
                      <a:avLst/>
                    </a:prstGeom>
                  </pic:spPr>
                </pic:pic>
              </a:graphicData>
            </a:graphic>
          </wp:inline>
        </w:drawing>
      </w:r>
    </w:p>
    <w:p>
      <w:pPr>
        <w:pStyle w:val="Normal"/>
        <w:ind w:firstLine="284"/>
        <w:jc w:val="both"/>
        <w:rPr/>
      </w:pPr>
      <w:r>
        <w:rPr/>
        <w:t xml:space="preserve">где </w:t>
      </w:r>
      <w:r>
        <w:rPr>
          <w:i/>
          <w:iCs/>
        </w:rPr>
        <w:t>K</w:t>
      </w:r>
      <w:r>
        <w:rPr>
          <w:i/>
          <w:iCs/>
          <w:vertAlign w:val="subscript"/>
        </w:rPr>
        <w:t>w</w:t>
      </w:r>
      <w:r>
        <w:rPr/>
        <w:t xml:space="preserve"> - принимается по 2.5.44;</w:t>
      </w:r>
    </w:p>
    <w:p>
      <w:pPr>
        <w:pStyle w:val="Normal"/>
        <w:ind w:firstLine="284"/>
        <w:jc w:val="both"/>
        <w:rPr/>
      </w:pPr>
      <w:r>
        <w:rPr>
          <w:i/>
          <w:iCs/>
        </w:rPr>
        <w:t>W</w:t>
      </w:r>
      <w:r>
        <w:rPr/>
        <w:t xml:space="preserve"> - принимается по 2.5.52;</w:t>
      </w:r>
    </w:p>
    <w:p>
      <w:pPr>
        <w:pStyle w:val="Normal"/>
        <w:ind w:firstLine="284"/>
        <w:jc w:val="both"/>
        <w:rPr/>
      </w:pPr>
      <w:r>
        <w:rPr>
          <w:i/>
          <w:iCs/>
        </w:rPr>
        <w:t>C</w:t>
      </w:r>
      <w:r>
        <w:rPr>
          <w:i/>
          <w:iCs/>
          <w:vertAlign w:val="subscript"/>
        </w:rPr>
        <w:t>x</w:t>
      </w:r>
      <w:r>
        <w:rPr/>
        <w:t xml:space="preserve"> - аэродинамический коэффициент, определяемый в зависимости от вида конструкции, согласно строительным нормам и правилам;</w:t>
      </w:r>
    </w:p>
    <w:p>
      <w:pPr>
        <w:pStyle w:val="Normal"/>
        <w:ind w:firstLine="284"/>
        <w:jc w:val="both"/>
        <w:rPr/>
      </w:pPr>
      <w:r>
        <w:rPr/>
        <w:t>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w:t>
      </w:r>
      <w:r>
        <w:rPr>
          <w:vertAlign w:val="superscript"/>
        </w:rPr>
        <w:t>2</w:t>
      </w:r>
      <w:r>
        <w:rPr/>
        <w:t>.</w:t>
      </w:r>
    </w:p>
    <w:p>
      <w:pPr>
        <w:pStyle w:val="Normal"/>
        <w:ind w:firstLine="284"/>
        <w:jc w:val="both"/>
        <w:rPr/>
      </w:pPr>
      <w:r>
        <w:rPr/>
        <w:t xml:space="preserve">Для конструкций опор из стального проката, покрытых гололедом, при определении </w:t>
      </w:r>
      <w:r>
        <w:rPr>
          <w:i/>
          <w:iCs/>
        </w:rPr>
        <w:t>А</w:t>
      </w:r>
      <w:r>
        <w:rPr/>
        <w:t xml:space="preserve"> учитывается обледенение конструкции с толщиной стенки гололеда </w:t>
      </w:r>
      <w:r>
        <w:rPr>
          <w:i/>
          <w:iCs/>
        </w:rPr>
        <w:t>b</w:t>
      </w:r>
      <w:r>
        <w:rPr>
          <w:i/>
          <w:iCs/>
          <w:vertAlign w:val="subscript"/>
        </w:rPr>
        <w:t>y</w:t>
      </w:r>
      <w:r>
        <w:rPr/>
        <w:t xml:space="preserve"> при высоте опор более 50 м, а также для районов по гололеду V и выше независимо от высоты опор.</w:t>
      </w:r>
    </w:p>
    <w:p>
      <w:pPr>
        <w:pStyle w:val="Normal"/>
        <w:ind w:firstLine="284"/>
        <w:jc w:val="both"/>
        <w:rPr/>
      </w:pPr>
      <w:r>
        <w:rPr/>
        <w:t xml:space="preserve">Для железобетонных и деревянных опор, а также стальных опор с элементами из труб обледенение конструкций при определении нагрузки </w:t>
      </w:r>
      <w:r>
        <w:rPr>
          <w:vertAlign w:val="subscript"/>
        </w:rPr>
        <w:drawing>
          <wp:inline distT="0" distB="0" distL="0" distR="0">
            <wp:extent cx="207010" cy="246380"/>
            <wp:effectExtent l="0" t="0" r="0" b="0"/>
            <wp:docPr id="44"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 descr=""/>
                    <pic:cNvPicPr>
                      <a:picLocks noChangeAspect="1" noChangeArrowheads="1"/>
                    </pic:cNvPicPr>
                  </pic:nvPicPr>
                  <pic:blipFill>
                    <a:blip r:embed="rId52"/>
                    <a:srcRect l="-171" t="-145" r="-171" b="-145"/>
                    <a:stretch>
                      <a:fillRect/>
                    </a:stretch>
                  </pic:blipFill>
                  <pic:spPr bwMode="auto">
                    <a:xfrm>
                      <a:off x="0" y="0"/>
                      <a:ext cx="207010" cy="246380"/>
                    </a:xfrm>
                    <a:prstGeom prst="rect">
                      <a:avLst/>
                    </a:prstGeom>
                  </pic:spPr>
                </pic:pic>
              </a:graphicData>
            </a:graphic>
          </wp:inline>
        </w:drawing>
      </w:r>
      <w:r>
        <w:rPr/>
        <w:t> не учитывается.</w:t>
      </w:r>
    </w:p>
    <w:p>
      <w:pPr>
        <w:pStyle w:val="Normal"/>
        <w:ind w:firstLine="284"/>
        <w:jc w:val="both"/>
        <w:rPr/>
      </w:pPr>
      <w:r>
        <w:rPr/>
        <w:t xml:space="preserve">2.5.60. Нормативная пульсационная составляющая ветровой нагрузки </w:t>
      </w:r>
      <w:r>
        <w:rPr>
          <w:vertAlign w:val="subscript"/>
        </w:rPr>
        <w:drawing>
          <wp:inline distT="0" distB="0" distL="0" distR="0">
            <wp:extent cx="207010" cy="246380"/>
            <wp:effectExtent l="0" t="0" r="0" b="0"/>
            <wp:docPr id="45"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 descr=""/>
                    <pic:cNvPicPr>
                      <a:picLocks noChangeAspect="1" noChangeArrowheads="1"/>
                    </pic:cNvPicPr>
                  </pic:nvPicPr>
                  <pic:blipFill>
                    <a:blip r:embed="rId53"/>
                    <a:srcRect l="-171" t="-145" r="-171" b="-145"/>
                    <a:stretch>
                      <a:fillRect/>
                    </a:stretch>
                  </pic:blipFill>
                  <pic:spPr bwMode="auto">
                    <a:xfrm>
                      <a:off x="0" y="0"/>
                      <a:ext cx="207010" cy="246380"/>
                    </a:xfrm>
                    <a:prstGeom prst="rect">
                      <a:avLst/>
                    </a:prstGeom>
                  </pic:spPr>
                </pic:pic>
              </a:graphicData>
            </a:graphic>
          </wp:inline>
        </w:drawing>
      </w:r>
      <w:r>
        <w:rPr/>
        <w:t> для опор высотой до 50 м принимается:</w:t>
      </w:r>
    </w:p>
    <w:p>
      <w:pPr>
        <w:pStyle w:val="Normal"/>
        <w:ind w:firstLine="284"/>
        <w:jc w:val="both"/>
        <w:rPr/>
      </w:pPr>
      <w:r>
        <w:rPr/>
        <w:t>для свободностоящих одностоечных стальных опор:</w:t>
      </w:r>
    </w:p>
    <w:p>
      <w:pPr>
        <w:pStyle w:val="Normal"/>
        <w:spacing w:before="120" w:after="120"/>
        <w:jc w:val="center"/>
        <w:rPr>
          <w:vertAlign w:val="subscript"/>
        </w:rPr>
      </w:pPr>
      <w:r>
        <w:rPr>
          <w:vertAlign w:val="subscript"/>
        </w:rPr>
        <w:drawing>
          <wp:inline distT="0" distB="0" distL="0" distR="0">
            <wp:extent cx="857885" cy="246380"/>
            <wp:effectExtent l="0" t="0" r="0" b="0"/>
            <wp:docPr id="4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 descr=""/>
                    <pic:cNvPicPr>
                      <a:picLocks noChangeAspect="1" noChangeArrowheads="1"/>
                    </pic:cNvPicPr>
                  </pic:nvPicPr>
                  <pic:blipFill>
                    <a:blip r:embed="rId54"/>
                    <a:srcRect l="-42" t="-145" r="-42" b="-145"/>
                    <a:stretch>
                      <a:fillRect/>
                    </a:stretch>
                  </pic:blipFill>
                  <pic:spPr bwMode="auto">
                    <a:xfrm>
                      <a:off x="0" y="0"/>
                      <a:ext cx="857885" cy="246380"/>
                    </a:xfrm>
                    <a:prstGeom prst="rect">
                      <a:avLst/>
                    </a:prstGeom>
                  </pic:spPr>
                </pic:pic>
              </a:graphicData>
            </a:graphic>
          </wp:inline>
        </w:drawing>
      </w:r>
    </w:p>
    <w:p>
      <w:pPr>
        <w:pStyle w:val="Normal"/>
        <w:ind w:firstLine="284"/>
        <w:jc w:val="both"/>
        <w:rPr/>
      </w:pPr>
      <w:r>
        <w:rPr/>
        <w:t>для свободностоящих портальных стальных опор:</w:t>
      </w:r>
    </w:p>
    <w:p>
      <w:pPr>
        <w:pStyle w:val="Normal"/>
        <w:spacing w:before="120" w:after="120"/>
        <w:jc w:val="center"/>
        <w:rPr>
          <w:vertAlign w:val="subscript"/>
        </w:rPr>
      </w:pPr>
      <w:r>
        <w:rPr>
          <w:vertAlign w:val="subscript"/>
        </w:rPr>
        <w:drawing>
          <wp:inline distT="0" distB="0" distL="0" distR="0">
            <wp:extent cx="874395" cy="246380"/>
            <wp:effectExtent l="0" t="0" r="0" b="0"/>
            <wp:docPr id="47"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 descr=""/>
                    <pic:cNvPicPr>
                      <a:picLocks noChangeAspect="1" noChangeArrowheads="1"/>
                    </pic:cNvPicPr>
                  </pic:nvPicPr>
                  <pic:blipFill>
                    <a:blip r:embed="rId55"/>
                    <a:srcRect l="-41" t="-145" r="-41" b="-145"/>
                    <a:stretch>
                      <a:fillRect/>
                    </a:stretch>
                  </pic:blipFill>
                  <pic:spPr bwMode="auto">
                    <a:xfrm>
                      <a:off x="0" y="0"/>
                      <a:ext cx="874395" cy="246380"/>
                    </a:xfrm>
                    <a:prstGeom prst="rect">
                      <a:avLst/>
                    </a:prstGeom>
                  </pic:spPr>
                </pic:pic>
              </a:graphicData>
            </a:graphic>
          </wp:inline>
        </w:drawing>
      </w:r>
    </w:p>
    <w:p>
      <w:pPr>
        <w:pStyle w:val="Normal"/>
        <w:ind w:firstLine="284"/>
        <w:jc w:val="both"/>
        <w:rPr/>
      </w:pPr>
      <w:r>
        <w:rPr/>
        <w:t>для свободностоящих железобетонных опор (портальных и одностоечных) на центрифугированных стойках:</w:t>
      </w:r>
    </w:p>
    <w:p>
      <w:pPr>
        <w:pStyle w:val="Normal"/>
        <w:spacing w:before="120" w:after="120"/>
        <w:jc w:val="center"/>
        <w:rPr>
          <w:vertAlign w:val="subscript"/>
        </w:rPr>
      </w:pPr>
      <w:r>
        <w:rPr>
          <w:vertAlign w:val="subscript"/>
        </w:rPr>
        <w:drawing>
          <wp:inline distT="0" distB="0" distL="0" distR="0">
            <wp:extent cx="857885" cy="246380"/>
            <wp:effectExtent l="0" t="0" r="0" b="0"/>
            <wp:docPr id="48"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 descr=""/>
                    <pic:cNvPicPr>
                      <a:picLocks noChangeAspect="1" noChangeArrowheads="1"/>
                    </pic:cNvPicPr>
                  </pic:nvPicPr>
                  <pic:blipFill>
                    <a:blip r:embed="rId56"/>
                    <a:srcRect l="-42" t="-145" r="-42" b="-145"/>
                    <a:stretch>
                      <a:fillRect/>
                    </a:stretch>
                  </pic:blipFill>
                  <pic:spPr bwMode="auto">
                    <a:xfrm>
                      <a:off x="0" y="0"/>
                      <a:ext cx="857885" cy="246380"/>
                    </a:xfrm>
                    <a:prstGeom prst="rect">
                      <a:avLst/>
                    </a:prstGeom>
                  </pic:spPr>
                </pic:pic>
              </a:graphicData>
            </a:graphic>
          </wp:inline>
        </w:drawing>
      </w:r>
    </w:p>
    <w:p>
      <w:pPr>
        <w:pStyle w:val="Normal"/>
        <w:ind w:firstLine="284"/>
        <w:jc w:val="both"/>
        <w:rPr/>
      </w:pPr>
      <w:r>
        <w:rPr/>
        <w:t>для свободностоящих одностоечных железобетонных опор ВЛ до 35 кВ:</w:t>
      </w:r>
    </w:p>
    <w:p>
      <w:pPr>
        <w:pStyle w:val="Normal"/>
        <w:spacing w:before="120" w:after="120"/>
        <w:jc w:val="center"/>
        <w:rPr>
          <w:vertAlign w:val="subscript"/>
        </w:rPr>
      </w:pPr>
      <w:r>
        <w:rPr>
          <w:vertAlign w:val="subscript"/>
        </w:rPr>
        <w:drawing>
          <wp:inline distT="0" distB="0" distL="0" distR="0">
            <wp:extent cx="857885" cy="246380"/>
            <wp:effectExtent l="0" t="0" r="0" b="0"/>
            <wp:docPr id="4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6" descr=""/>
                    <pic:cNvPicPr>
                      <a:picLocks noChangeAspect="1" noChangeArrowheads="1"/>
                    </pic:cNvPicPr>
                  </pic:nvPicPr>
                  <pic:blipFill>
                    <a:blip r:embed="rId57"/>
                    <a:srcRect l="-42" t="-145" r="-42" b="-145"/>
                    <a:stretch>
                      <a:fillRect/>
                    </a:stretch>
                  </pic:blipFill>
                  <pic:spPr bwMode="auto">
                    <a:xfrm>
                      <a:off x="0" y="0"/>
                      <a:ext cx="857885" cy="246380"/>
                    </a:xfrm>
                    <a:prstGeom prst="rect">
                      <a:avLst/>
                    </a:prstGeom>
                  </pic:spPr>
                </pic:pic>
              </a:graphicData>
            </a:graphic>
          </wp:inline>
        </w:drawing>
      </w:r>
    </w:p>
    <w:p>
      <w:pPr>
        <w:pStyle w:val="Normal"/>
        <w:ind w:firstLine="284"/>
        <w:jc w:val="both"/>
        <w:rPr/>
      </w:pPr>
      <w:r>
        <w:rPr/>
        <w:t>для стальных и железобетонных опор с оттяжками при шарнирном креплении к фундаментам:</w:t>
      </w:r>
    </w:p>
    <w:p>
      <w:pPr>
        <w:pStyle w:val="Normal"/>
        <w:spacing w:before="120" w:after="120"/>
        <w:jc w:val="center"/>
        <w:rPr>
          <w:vertAlign w:val="subscript"/>
        </w:rPr>
      </w:pPr>
      <w:r>
        <w:rPr>
          <w:vertAlign w:val="subscript"/>
        </w:rPr>
        <w:drawing>
          <wp:inline distT="0" distB="0" distL="0" distR="0">
            <wp:extent cx="857885" cy="246380"/>
            <wp:effectExtent l="0" t="0" r="0" b="0"/>
            <wp:docPr id="50"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 descr=""/>
                    <pic:cNvPicPr>
                      <a:picLocks noChangeAspect="1" noChangeArrowheads="1"/>
                    </pic:cNvPicPr>
                  </pic:nvPicPr>
                  <pic:blipFill>
                    <a:blip r:embed="rId58"/>
                    <a:srcRect l="-42" t="-145" r="-42" b="-145"/>
                    <a:stretch>
                      <a:fillRect/>
                    </a:stretch>
                  </pic:blipFill>
                  <pic:spPr bwMode="auto">
                    <a:xfrm>
                      <a:off x="0" y="0"/>
                      <a:ext cx="857885" cy="246380"/>
                    </a:xfrm>
                    <a:prstGeom prst="rect">
                      <a:avLst/>
                    </a:prstGeom>
                  </pic:spPr>
                </pic:pic>
              </a:graphicData>
            </a:graphic>
          </wp:inline>
        </w:drawing>
      </w:r>
    </w:p>
    <w:p>
      <w:pPr>
        <w:pStyle w:val="Normal"/>
        <w:ind w:firstLine="284"/>
        <w:jc w:val="both"/>
        <w:rPr/>
      </w:pPr>
      <w:r>
        <w:rPr/>
        <w:t>Нормативное значение пульсационной составляющей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pPr>
        <w:pStyle w:val="Normal"/>
        <w:ind w:firstLine="284"/>
        <w:jc w:val="both"/>
        <w:rPr/>
      </w:pPr>
      <w:r>
        <w:rPr/>
        <w:t>В расчетах деревянных опор пульсационная составляющая ветровой нагрузки не учитывается.</w:t>
      </w:r>
    </w:p>
    <w:p>
      <w:pPr>
        <w:pStyle w:val="Normal"/>
        <w:ind w:firstLine="284"/>
        <w:jc w:val="both"/>
        <w:rPr/>
      </w:pPr>
      <w:r>
        <w:rPr/>
        <w:t xml:space="preserve">2.5.61. Нормативная гололедная нагрузка на конструкции металлических опор </w:t>
      </w:r>
      <w:r>
        <w:rPr>
          <w:i/>
          <w:iCs/>
        </w:rPr>
        <w:t>J</w:t>
      </w:r>
      <w:r>
        <w:rPr>
          <w:i/>
          <w:iCs/>
          <w:vertAlign w:val="superscript"/>
        </w:rPr>
        <w:t>н</w:t>
      </w:r>
      <w:r>
        <w:rPr/>
        <w:t xml:space="preserve"> определяется по формуле, Н</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28750" cy="247650"/>
            <wp:effectExtent l="0" t="0" r="0" b="0"/>
            <wp:docPr id="51" name="image0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048" descr=""/>
                    <pic:cNvPicPr>
                      <a:picLocks noChangeAspect="1" noChangeArrowheads="1"/>
                    </pic:cNvPicPr>
                  </pic:nvPicPr>
                  <pic:blipFill>
                    <a:blip r:embed="rId59"/>
                    <a:srcRect l="-25" t="-145" r="-25" b="-145"/>
                    <a:stretch>
                      <a:fillRect/>
                    </a:stretch>
                  </pic:blipFill>
                  <pic:spPr bwMode="auto">
                    <a:xfrm>
                      <a:off x="0" y="0"/>
                      <a:ext cx="1428750" cy="247650"/>
                    </a:xfrm>
                    <a:prstGeom prst="rect">
                      <a:avLst/>
                    </a:prstGeom>
                  </pic:spPr>
                </pic:pic>
              </a:graphicData>
            </a:graphic>
          </wp:inline>
        </w:drawing>
      </w:r>
    </w:p>
    <w:p>
      <w:pPr>
        <w:pStyle w:val="Normal"/>
        <w:ind w:firstLine="284"/>
        <w:jc w:val="both"/>
        <w:rPr/>
      </w:pPr>
      <w:r>
        <w:rPr/>
        <w:t xml:space="preserve">где </w:t>
      </w:r>
      <w:r>
        <w:rPr>
          <w:i/>
          <w:iCs/>
        </w:rPr>
        <w:t>K</w:t>
      </w:r>
      <w:r>
        <w:rPr>
          <w:i/>
          <w:iCs/>
          <w:vertAlign w:val="subscript"/>
        </w:rPr>
        <w:t>i</w:t>
      </w:r>
      <w:r>
        <w:rPr/>
        <w:t xml:space="preserve">, </w:t>
      </w:r>
      <w:r>
        <w:rPr>
          <w:i/>
          <w:iCs/>
        </w:rPr>
        <w:t>b</w:t>
      </w:r>
      <w:r>
        <w:rPr>
          <w:i/>
          <w:iCs/>
          <w:vertAlign w:val="subscript"/>
        </w:rPr>
        <w:t>э</w:t>
      </w:r>
      <w:r>
        <w:rPr/>
        <w:t xml:space="preserve">, </w:t>
      </w:r>
      <w:r>
        <w:rPr>
          <w:i/>
          <w:iCs/>
        </w:rPr>
        <w:t>ρ</w:t>
      </w:r>
      <w:r>
        <w:rPr/>
        <w:t xml:space="preserve">, </w:t>
      </w:r>
      <w:r>
        <w:rPr>
          <w:i/>
          <w:iCs/>
        </w:rPr>
        <w:t>g</w:t>
      </w:r>
      <w:r>
        <w:rPr/>
        <w:t xml:space="preserve"> - принимаются согласно 2.5.53;</w:t>
      </w:r>
    </w:p>
    <w:p>
      <w:pPr>
        <w:pStyle w:val="Normal"/>
        <w:ind w:firstLine="284"/>
        <w:jc w:val="both"/>
        <w:rPr/>
      </w:pPr>
      <w:r>
        <w:rPr>
          <w:i/>
          <w:iCs/>
        </w:rPr>
        <w:t>μ</w:t>
      </w:r>
      <w:r>
        <w:rPr>
          <w:i/>
          <w:iCs/>
          <w:vertAlign w:val="subscript"/>
        </w:rPr>
        <w:t>г</w:t>
      </w:r>
      <w:r>
        <w:rPr/>
        <w:t xml:space="preserve"> - коэффициент, учитывающий отношение площади поверхности элемента, подверженной обледенению, к полной поверхности элемента и принимаемый равным:</w:t>
      </w:r>
    </w:p>
    <w:p>
      <w:pPr>
        <w:pStyle w:val="Normal"/>
        <w:ind w:firstLine="284"/>
        <w:jc w:val="both"/>
        <w:rPr/>
      </w:pPr>
      <w:r>
        <w:rPr/>
        <w:t>0,6 - для районов по гололеду до IV при высоте опор более 50 м и для районов по гололеду V и выше, независимо от высоты опор;</w:t>
      </w:r>
    </w:p>
    <w:p>
      <w:pPr>
        <w:pStyle w:val="Normal"/>
        <w:ind w:firstLine="284"/>
        <w:jc w:val="both"/>
        <w:rPr/>
      </w:pPr>
      <w:r>
        <w:rPr>
          <w:i/>
          <w:iCs/>
        </w:rPr>
        <w:t>А</w:t>
      </w:r>
      <w:r>
        <w:rPr>
          <w:vertAlign w:val="subscript"/>
        </w:rPr>
        <w:t>0</w:t>
      </w:r>
      <w:r>
        <w:rPr/>
        <w:t xml:space="preserve"> - площадь общей поверхности элемента, м</w:t>
      </w:r>
      <w:r>
        <w:rPr>
          <w:vertAlign w:val="superscript"/>
        </w:rPr>
        <w:t>2</w:t>
      </w:r>
      <w:r>
        <w:rPr/>
        <w:t>.</w:t>
      </w:r>
    </w:p>
    <w:p>
      <w:pPr>
        <w:pStyle w:val="Normal"/>
        <w:ind w:firstLine="284"/>
        <w:jc w:val="both"/>
        <w:rPr/>
      </w:pPr>
      <w:r>
        <w:rPr/>
        <w:t>Для районов по гололеду до IV при высоте опор менее 50 м гололедные отложения на опорах не учитываются.</w:t>
      </w:r>
    </w:p>
    <w:p>
      <w:pPr>
        <w:pStyle w:val="Normal"/>
        <w:ind w:firstLine="284"/>
        <w:jc w:val="both"/>
        <w:rPr/>
      </w:pPr>
      <w:r>
        <w:rPr/>
        <w:t>Для железобетонных и деревянных опор, а также стальных опор с элементами из труб гололедные отложения не учитываются.</w:t>
      </w:r>
    </w:p>
    <w:p>
      <w:pPr>
        <w:pStyle w:val="Normal"/>
        <w:ind w:firstLine="284"/>
        <w:jc w:val="both"/>
        <w:rPr/>
      </w:pPr>
      <w:r>
        <w:rP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pPr>
        <w:pStyle w:val="Normal"/>
        <w:ind w:firstLine="284"/>
        <w:jc w:val="both"/>
        <w:rPr/>
      </w:pPr>
      <w:r>
        <w:rPr/>
        <w:t xml:space="preserve">2.5.62. Расчетная ветровая нагрузка на провода (тросы), воспринимаемая опорами </w:t>
      </w:r>
      <w:r>
        <w:rPr>
          <w:vertAlign w:val="subscript"/>
        </w:rPr>
        <w:drawing>
          <wp:inline distT="0" distB="0" distL="0" distR="0">
            <wp:extent cx="229870" cy="246380"/>
            <wp:effectExtent l="0" t="0" r="0" b="0"/>
            <wp:docPr id="5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pic:cNvPicPr>
                      <a:picLocks noChangeAspect="1" noChangeArrowheads="1"/>
                    </pic:cNvPicPr>
                  </pic:nvPicPr>
                  <pic:blipFill>
                    <a:blip r:embed="rId60"/>
                    <a:srcRect l="-157" t="-145" r="-157" b="-145"/>
                    <a:stretch>
                      <a:fillRect/>
                    </a:stretch>
                  </pic:blipFill>
                  <pic:spPr bwMode="auto">
                    <a:xfrm>
                      <a:off x="0" y="0"/>
                      <a:ext cx="229870" cy="246380"/>
                    </a:xfrm>
                    <a:prstGeom prst="rect">
                      <a:avLst/>
                    </a:prstGeom>
                  </pic:spPr>
                </pic:pic>
              </a:graphicData>
            </a:graphic>
          </wp:inline>
        </w:drawing>
      </w:r>
      <w:r>
        <w:rPr/>
        <w:t>, определяется по формуле, Н</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276350" cy="247650"/>
            <wp:effectExtent l="0" t="0" r="0" b="0"/>
            <wp:docPr id="53" name="image0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50" descr=""/>
                    <pic:cNvPicPr>
                      <a:picLocks noChangeAspect="1" noChangeArrowheads="1"/>
                    </pic:cNvPicPr>
                  </pic:nvPicPr>
                  <pic:blipFill>
                    <a:blip r:embed="rId61"/>
                    <a:srcRect l="-28" t="-145" r="-28" b="-145"/>
                    <a:stretch>
                      <a:fillRect/>
                    </a:stretch>
                  </pic:blipFill>
                  <pic:spPr bwMode="auto">
                    <a:xfrm>
                      <a:off x="0" y="0"/>
                      <a:ext cx="1276350" cy="247650"/>
                    </a:xfrm>
                    <a:prstGeom prst="rect">
                      <a:avLst/>
                    </a:prstGeom>
                  </pic:spPr>
                </pic:pic>
              </a:graphicData>
            </a:graphic>
          </wp:inline>
        </w:drawing>
      </w:r>
    </w:p>
    <w:p>
      <w:pPr>
        <w:pStyle w:val="Normal"/>
        <w:ind w:firstLine="284"/>
        <w:jc w:val="both"/>
        <w:rPr/>
      </w:pPr>
      <w:r>
        <w:rPr/>
        <w:t xml:space="preserve">где </w:t>
      </w:r>
      <w:r>
        <w:rPr>
          <w:vertAlign w:val="subscript"/>
        </w:rPr>
        <w:drawing>
          <wp:inline distT="0" distB="0" distL="0" distR="0">
            <wp:extent cx="207010" cy="246380"/>
            <wp:effectExtent l="0" t="0" r="0" b="0"/>
            <wp:docPr id="54"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 descr=""/>
                    <pic:cNvPicPr>
                      <a:picLocks noChangeAspect="1" noChangeArrowheads="1"/>
                    </pic:cNvPicPr>
                  </pic:nvPicPr>
                  <pic:blipFill>
                    <a:blip r:embed="rId62"/>
                    <a:srcRect l="-171" t="-145" r="-171" b="-145"/>
                    <a:stretch>
                      <a:fillRect/>
                    </a:stretch>
                  </pic:blipFill>
                  <pic:spPr bwMode="auto">
                    <a:xfrm>
                      <a:off x="0" y="0"/>
                      <a:ext cx="207010" cy="246380"/>
                    </a:xfrm>
                    <a:prstGeom prst="rect">
                      <a:avLst/>
                    </a:prstGeom>
                  </pic:spPr>
                </pic:pic>
              </a:graphicData>
            </a:graphic>
          </wp:inline>
        </w:drawing>
      </w:r>
      <w:r>
        <w:rPr/>
        <w:t> - нормативная ветровая нагрузка по 2.5.52;</w:t>
      </w:r>
    </w:p>
    <w:p>
      <w:pPr>
        <w:pStyle w:val="Normal"/>
        <w:ind w:firstLine="284"/>
        <w:jc w:val="both"/>
        <w:rPr/>
      </w:pPr>
      <w:r>
        <w:rPr>
          <w:i/>
          <w:iCs/>
        </w:rPr>
        <w:t>γ</w:t>
      </w:r>
      <w:r>
        <w:rPr>
          <w:i/>
          <w:iCs/>
          <w:vertAlign w:val="subscript"/>
        </w:rPr>
        <w:t>nw</w:t>
      </w:r>
      <w:r>
        <w:rPr/>
        <w:t xml:space="preserve">, </w:t>
      </w:r>
      <w:r>
        <w:rPr>
          <w:i/>
          <w:iCs/>
        </w:rPr>
        <w:t>γ</w:t>
      </w:r>
      <w:r>
        <w:rPr>
          <w:i/>
          <w:iCs/>
          <w:vertAlign w:val="subscript"/>
        </w:rPr>
        <w:t>p</w:t>
      </w:r>
      <w:r>
        <w:rPr/>
        <w:t xml:space="preserve"> - принимается согласно 2.5.54;</w:t>
      </w:r>
    </w:p>
    <w:p>
      <w:pPr>
        <w:pStyle w:val="Normal"/>
        <w:ind w:firstLine="284"/>
        <w:jc w:val="both"/>
        <w:rPr/>
      </w:pPr>
      <w:r>
        <w:rPr>
          <w:i/>
          <w:iCs/>
        </w:rPr>
        <w:t>γ</w:t>
      </w:r>
      <w:r>
        <w:rPr>
          <w:i/>
          <w:iCs/>
          <w:vertAlign w:val="subscript"/>
        </w:rPr>
        <w:t>f</w:t>
      </w:r>
      <w:r>
        <w:rPr/>
        <w:t xml:space="preserve"> - коэффициент надежности по ветровой нагрузке, равный для проводов (тросов), покрытых гололедом и свободных от гололеда: 1,3 - при расчете по первой группе предельных состояний; 1,1 - при расчете по второй группе предельных состояний.</w:t>
      </w:r>
    </w:p>
    <w:p>
      <w:pPr>
        <w:pStyle w:val="Normal"/>
        <w:ind w:firstLine="284"/>
        <w:jc w:val="both"/>
        <w:rPr/>
      </w:pPr>
      <w:r>
        <w:rPr/>
        <w:t xml:space="preserve">2.5.63. Расчетная ветровая нагрузка на конструкцию опоры </w:t>
      </w:r>
      <w:r>
        <w:rPr>
          <w:i/>
          <w:iCs/>
        </w:rPr>
        <w:t>Q</w:t>
      </w:r>
      <w:r>
        <w:rPr/>
        <w:t>, Н,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582420" cy="246380"/>
            <wp:effectExtent l="0" t="0" r="0" b="0"/>
            <wp:docPr id="55"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0" descr=""/>
                    <pic:cNvPicPr>
                      <a:picLocks noChangeAspect="1" noChangeArrowheads="1"/>
                    </pic:cNvPicPr>
                  </pic:nvPicPr>
                  <pic:blipFill>
                    <a:blip r:embed="rId63"/>
                    <a:srcRect l="-22" t="-145" r="-22" b="-145"/>
                    <a:stretch>
                      <a:fillRect/>
                    </a:stretch>
                  </pic:blipFill>
                  <pic:spPr bwMode="auto">
                    <a:xfrm>
                      <a:off x="0" y="0"/>
                      <a:ext cx="1582420" cy="246380"/>
                    </a:xfrm>
                    <a:prstGeom prst="rect">
                      <a:avLst/>
                    </a:prstGeom>
                  </pic:spPr>
                </pic:pic>
              </a:graphicData>
            </a:graphic>
          </wp:inline>
        </w:drawing>
      </w:r>
    </w:p>
    <w:p>
      <w:pPr>
        <w:pStyle w:val="Normal"/>
        <w:ind w:firstLine="284"/>
        <w:jc w:val="both"/>
        <w:rPr/>
      </w:pPr>
      <w:r>
        <w:rPr/>
        <w:t xml:space="preserve">где </w:t>
      </w:r>
      <w:r>
        <w:rPr>
          <w:vertAlign w:val="subscript"/>
        </w:rPr>
        <w:drawing>
          <wp:inline distT="0" distB="0" distL="0" distR="0">
            <wp:extent cx="207010" cy="246380"/>
            <wp:effectExtent l="0" t="0" r="0" b="0"/>
            <wp:docPr id="5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 descr=""/>
                    <pic:cNvPicPr>
                      <a:picLocks noChangeAspect="1" noChangeArrowheads="1"/>
                    </pic:cNvPicPr>
                  </pic:nvPicPr>
                  <pic:blipFill>
                    <a:blip r:embed="rId64"/>
                    <a:srcRect l="-171" t="-145" r="-171" b="-145"/>
                    <a:stretch>
                      <a:fillRect/>
                    </a:stretch>
                  </pic:blipFill>
                  <pic:spPr bwMode="auto">
                    <a:xfrm>
                      <a:off x="0" y="0"/>
                      <a:ext cx="207010" cy="246380"/>
                    </a:xfrm>
                    <a:prstGeom prst="rect">
                      <a:avLst/>
                    </a:prstGeom>
                  </pic:spPr>
                </pic:pic>
              </a:graphicData>
            </a:graphic>
          </wp:inline>
        </w:drawing>
      </w:r>
      <w:r>
        <w:rPr/>
        <w:t> - нормативная средняя составляющая ветровой нагрузки, принимаемая по 2.5.59;</w:t>
      </w:r>
    </w:p>
    <w:p>
      <w:pPr>
        <w:pStyle w:val="Normal"/>
        <w:ind w:firstLine="284"/>
        <w:jc w:val="both"/>
        <w:rPr/>
      </w:pPr>
      <w:r>
        <w:rPr>
          <w:vertAlign w:val="subscript"/>
        </w:rPr>
        <w:drawing>
          <wp:inline distT="0" distB="0" distL="0" distR="0">
            <wp:extent cx="207010" cy="246380"/>
            <wp:effectExtent l="0" t="0" r="0" b="0"/>
            <wp:docPr id="57"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2" descr=""/>
                    <pic:cNvPicPr>
                      <a:picLocks noChangeAspect="1" noChangeArrowheads="1"/>
                    </pic:cNvPicPr>
                  </pic:nvPicPr>
                  <pic:blipFill>
                    <a:blip r:embed="rId65"/>
                    <a:srcRect l="-171" t="-145" r="-171" b="-145"/>
                    <a:stretch>
                      <a:fillRect/>
                    </a:stretch>
                  </pic:blipFill>
                  <pic:spPr bwMode="auto">
                    <a:xfrm>
                      <a:off x="0" y="0"/>
                      <a:ext cx="207010" cy="246380"/>
                    </a:xfrm>
                    <a:prstGeom prst="rect">
                      <a:avLst/>
                    </a:prstGeom>
                  </pic:spPr>
                </pic:pic>
              </a:graphicData>
            </a:graphic>
          </wp:inline>
        </w:drawing>
      </w:r>
      <w:r>
        <w:rPr/>
        <w:t> </w:t>
      </w:r>
      <w:r>
        <w:rPr/>
        <w:t>- нормативная пульсационная составляющая ветровой нагрузки, принимаемая по 2.5.60;</w:t>
      </w:r>
    </w:p>
    <w:p>
      <w:pPr>
        <w:pStyle w:val="Normal"/>
        <w:ind w:firstLine="284"/>
        <w:jc w:val="both"/>
        <w:rPr/>
      </w:pPr>
      <w:r>
        <w:rPr>
          <w:i/>
          <w:iCs/>
        </w:rPr>
        <w:t>γ</w:t>
      </w:r>
      <w:r>
        <w:rPr>
          <w:i/>
          <w:iCs/>
          <w:vertAlign w:val="subscript"/>
        </w:rPr>
        <w:t>nw</w:t>
      </w:r>
      <w:r>
        <w:rPr/>
        <w:t xml:space="preserve">, </w:t>
      </w:r>
      <w:r>
        <w:rPr>
          <w:i/>
          <w:iCs/>
        </w:rPr>
        <w:t>γ</w:t>
      </w:r>
      <w:r>
        <w:rPr>
          <w:i/>
          <w:iCs/>
          <w:vertAlign w:val="subscript"/>
        </w:rPr>
        <w:t>p</w:t>
      </w:r>
      <w:r>
        <w:rPr/>
        <w:t xml:space="preserve"> - принимаются согласно 2.5.54;</w:t>
      </w:r>
    </w:p>
    <w:p>
      <w:pPr>
        <w:pStyle w:val="Normal"/>
        <w:ind w:firstLine="284"/>
        <w:jc w:val="both"/>
        <w:rPr/>
      </w:pPr>
      <w:r>
        <w:rPr>
          <w:i/>
          <w:iCs/>
        </w:rPr>
        <w:t>γ</w:t>
      </w:r>
      <w:r>
        <w:rPr>
          <w:i/>
          <w:iCs/>
          <w:vertAlign w:val="subscript"/>
        </w:rPr>
        <w:t>f</w:t>
      </w:r>
      <w:r>
        <w:rPr/>
        <w:t xml:space="preserve"> - коэффициент надежности по ветровой нагрузке, равный:</w:t>
      </w:r>
    </w:p>
    <w:p>
      <w:pPr>
        <w:pStyle w:val="Normal"/>
        <w:ind w:firstLine="284"/>
        <w:jc w:val="both"/>
        <w:rPr/>
      </w:pPr>
      <w:r>
        <w:rPr/>
        <w:t>1,3 - при расчете по первой группе предельных состояний;</w:t>
      </w:r>
    </w:p>
    <w:p>
      <w:pPr>
        <w:pStyle w:val="Normal"/>
        <w:ind w:firstLine="284"/>
        <w:jc w:val="both"/>
        <w:rPr/>
      </w:pPr>
      <w:r>
        <w:rPr/>
        <w:t>1,1 - при расчете по второй группе предельных состояний.</w:t>
      </w:r>
    </w:p>
    <w:p>
      <w:pPr>
        <w:pStyle w:val="Normal"/>
        <w:ind w:firstLine="284"/>
        <w:jc w:val="both"/>
        <w:rPr/>
      </w:pPr>
      <w:r>
        <w:rPr/>
        <w:t xml:space="preserve">2.5.64. Расчетная ветровая нагрузка на гирлянду изоляторов </w:t>
      </w:r>
      <w:r>
        <w:rPr>
          <w:i/>
          <w:iCs/>
        </w:rPr>
        <w:t>P</w:t>
      </w:r>
      <w:r>
        <w:rPr>
          <w:i/>
          <w:iCs/>
          <w:vertAlign w:val="subscript"/>
        </w:rPr>
        <w:t>u</w:t>
      </w:r>
      <w:r>
        <w:rPr/>
        <w:t>, Н,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828800" cy="247650"/>
            <wp:effectExtent l="0" t="0" r="0" b="0"/>
            <wp:docPr id="58" name="image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053" descr=""/>
                    <pic:cNvPicPr>
                      <a:picLocks noChangeAspect="1" noChangeArrowheads="1"/>
                    </pic:cNvPicPr>
                  </pic:nvPicPr>
                  <pic:blipFill>
                    <a:blip r:embed="rId66"/>
                    <a:srcRect l="-19" t="-145" r="-19" b="-145"/>
                    <a:stretch>
                      <a:fillRect/>
                    </a:stretch>
                  </pic:blipFill>
                  <pic:spPr bwMode="auto">
                    <a:xfrm>
                      <a:off x="0" y="0"/>
                      <a:ext cx="1828800" cy="247650"/>
                    </a:xfrm>
                    <a:prstGeom prst="rect">
                      <a:avLst/>
                    </a:prstGeom>
                  </pic:spPr>
                </pic:pic>
              </a:graphicData>
            </a:graphic>
          </wp:inline>
        </w:drawing>
      </w:r>
    </w:p>
    <w:p>
      <w:pPr>
        <w:pStyle w:val="Normal"/>
        <w:ind w:firstLine="284"/>
        <w:jc w:val="both"/>
        <w:rPr/>
      </w:pPr>
      <w:r>
        <w:rPr/>
        <w:t xml:space="preserve">где </w:t>
      </w:r>
      <w:r>
        <w:rPr>
          <w:i/>
          <w:iCs/>
        </w:rPr>
        <w:t>γ</w:t>
      </w:r>
      <w:r>
        <w:rPr>
          <w:i/>
          <w:iCs/>
          <w:vertAlign w:val="subscript"/>
        </w:rPr>
        <w:t>nw</w:t>
      </w:r>
      <w:r>
        <w:rPr/>
        <w:t xml:space="preserve">, </w:t>
      </w:r>
      <w:r>
        <w:rPr>
          <w:i/>
          <w:iCs/>
        </w:rPr>
        <w:t>γ</w:t>
      </w:r>
      <w:r>
        <w:rPr>
          <w:i/>
          <w:iCs/>
          <w:vertAlign w:val="subscript"/>
        </w:rPr>
        <w:t>p</w:t>
      </w:r>
      <w:r>
        <w:rPr/>
        <w:t xml:space="preserve"> - принимаются согласно 2.5.54;</w:t>
      </w:r>
    </w:p>
    <w:p>
      <w:pPr>
        <w:pStyle w:val="Normal"/>
        <w:ind w:firstLine="284"/>
        <w:jc w:val="both"/>
        <w:rPr/>
      </w:pPr>
      <w:r>
        <w:rPr>
          <w:i/>
          <w:iCs/>
        </w:rPr>
        <w:t>K</w:t>
      </w:r>
      <w:r>
        <w:rPr>
          <w:i/>
          <w:iCs/>
          <w:vertAlign w:val="subscript"/>
        </w:rPr>
        <w:t>w</w:t>
      </w:r>
      <w:r>
        <w:rPr/>
        <w:t xml:space="preserve"> - принимается согласно 2.5.44;</w:t>
      </w:r>
    </w:p>
    <w:p>
      <w:pPr>
        <w:pStyle w:val="Normal"/>
        <w:ind w:firstLine="284"/>
        <w:jc w:val="both"/>
        <w:rPr/>
      </w:pPr>
      <w:r>
        <w:rPr>
          <w:i/>
          <w:iCs/>
        </w:rPr>
        <w:t>C</w:t>
      </w:r>
      <w:r>
        <w:rPr>
          <w:i/>
          <w:iCs/>
          <w:vertAlign w:val="subscript"/>
        </w:rPr>
        <w:t>x</w:t>
      </w:r>
      <w:r>
        <w:rPr/>
        <w:t xml:space="preserve"> - коэффициент лобового сопротивления цепи изоляторов, принимаемый равным 1,2;</w:t>
      </w:r>
    </w:p>
    <w:p>
      <w:pPr>
        <w:pStyle w:val="Normal"/>
        <w:ind w:firstLine="284"/>
        <w:jc w:val="both"/>
        <w:rPr/>
      </w:pPr>
      <w:r>
        <w:rPr>
          <w:i/>
          <w:iCs/>
        </w:rPr>
        <w:t>γ</w:t>
      </w:r>
      <w:r>
        <w:rPr>
          <w:i/>
          <w:iCs/>
          <w:vertAlign w:val="subscript"/>
        </w:rPr>
        <w:t>f</w:t>
      </w:r>
      <w:r>
        <w:rPr/>
        <w:t xml:space="preserve"> - коэффициент надежности по ветровой нагрузке, равный 1,3;</w:t>
      </w:r>
    </w:p>
    <w:p>
      <w:pPr>
        <w:pStyle w:val="Normal"/>
        <w:ind w:firstLine="284"/>
        <w:jc w:val="both"/>
        <w:rPr/>
      </w:pPr>
      <w:r>
        <w:rPr>
          <w:i/>
          <w:iCs/>
        </w:rPr>
        <w:t>W</w:t>
      </w:r>
      <w:r>
        <w:rPr>
          <w:vertAlign w:val="subscript"/>
        </w:rPr>
        <w:t>0</w:t>
      </w:r>
      <w:r>
        <w:rPr/>
        <w:t xml:space="preserve"> - нормативное ветровое давление (см. 2.5.41);</w:t>
      </w:r>
    </w:p>
    <w:p>
      <w:pPr>
        <w:pStyle w:val="Normal"/>
        <w:ind w:firstLine="284"/>
        <w:jc w:val="both"/>
        <w:rPr/>
      </w:pPr>
      <w:r>
        <w:rPr>
          <w:i/>
          <w:iCs/>
        </w:rPr>
        <w:t>F</w:t>
      </w:r>
      <w:r>
        <w:rPr>
          <w:i/>
          <w:iCs/>
          <w:vertAlign w:val="subscript"/>
        </w:rPr>
        <w:t>u</w:t>
      </w:r>
      <w:r>
        <w:rPr/>
        <w:t xml:space="preserve"> - площадь диаметрального сечения цепи гирлянды изоляторов, м</w:t>
      </w:r>
      <w:r>
        <w:rPr>
          <w:vertAlign w:val="superscript"/>
        </w:rPr>
        <w:t>2</w:t>
      </w:r>
      <w:r>
        <w:rPr/>
        <w:t>,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677670" cy="246380"/>
            <wp:effectExtent l="0" t="0" r="0" b="0"/>
            <wp:docPr id="59"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3" descr=""/>
                    <pic:cNvPicPr>
                      <a:picLocks noChangeAspect="1" noChangeArrowheads="1"/>
                    </pic:cNvPicPr>
                  </pic:nvPicPr>
                  <pic:blipFill>
                    <a:blip r:embed="rId67"/>
                    <a:srcRect l="-21" t="-145" r="-21" b="-145"/>
                    <a:stretch>
                      <a:fillRect/>
                    </a:stretch>
                  </pic:blipFill>
                  <pic:spPr bwMode="auto">
                    <a:xfrm>
                      <a:off x="0" y="0"/>
                      <a:ext cx="1677670" cy="246380"/>
                    </a:xfrm>
                    <a:prstGeom prst="rect">
                      <a:avLst/>
                    </a:prstGeom>
                  </pic:spPr>
                </pic:pic>
              </a:graphicData>
            </a:graphic>
          </wp:inline>
        </w:drawing>
      </w:r>
    </w:p>
    <w:p>
      <w:pPr>
        <w:pStyle w:val="Normal"/>
        <w:ind w:firstLine="284"/>
        <w:jc w:val="both"/>
        <w:rPr/>
      </w:pPr>
      <w:r>
        <w:rPr/>
        <w:t xml:space="preserve">где </w:t>
      </w:r>
      <w:r>
        <w:rPr>
          <w:i/>
          <w:iCs/>
        </w:rPr>
        <w:t>D</w:t>
      </w:r>
      <w:r>
        <w:rPr>
          <w:i/>
          <w:iCs/>
          <w:vertAlign w:val="subscript"/>
        </w:rPr>
        <w:t>u</w:t>
      </w:r>
      <w:r>
        <w:rPr/>
        <w:t xml:space="preserve"> - диаметр тарелки изоляторов, мм;</w:t>
      </w:r>
    </w:p>
    <w:p>
      <w:pPr>
        <w:pStyle w:val="Normal"/>
        <w:ind w:firstLine="284"/>
        <w:jc w:val="both"/>
        <w:rPr/>
      </w:pPr>
      <w:r>
        <w:rPr>
          <w:i/>
          <w:iCs/>
        </w:rPr>
        <w:t>H</w:t>
      </w:r>
      <w:r>
        <w:rPr>
          <w:i/>
          <w:iCs/>
          <w:vertAlign w:val="subscript"/>
        </w:rPr>
        <w:t>u</w:t>
      </w:r>
      <w:r>
        <w:rPr/>
        <w:t xml:space="preserve"> - строительная высота изолятора, мм;</w:t>
      </w:r>
    </w:p>
    <w:p>
      <w:pPr>
        <w:pStyle w:val="Normal"/>
        <w:ind w:firstLine="284"/>
        <w:jc w:val="both"/>
        <w:rPr/>
      </w:pPr>
      <w:r>
        <w:rPr>
          <w:i/>
          <w:iCs/>
        </w:rPr>
        <w:t>n</w:t>
      </w:r>
      <w:r>
        <w:rPr/>
        <w:t xml:space="preserve"> - число изоляторов в цепи;</w:t>
      </w:r>
    </w:p>
    <w:p>
      <w:pPr>
        <w:pStyle w:val="Normal"/>
        <w:ind w:firstLine="284"/>
        <w:jc w:val="both"/>
        <w:rPr/>
      </w:pPr>
      <w:r>
        <w:rPr>
          <w:i/>
          <w:iCs/>
        </w:rPr>
        <w:t>N</w:t>
      </w:r>
      <w:r>
        <w:rPr/>
        <w:t xml:space="preserve"> - число цепей изоляторов в гирлянде.</w:t>
      </w:r>
    </w:p>
    <w:p>
      <w:pPr>
        <w:pStyle w:val="Normal"/>
        <w:ind w:firstLine="284"/>
        <w:jc w:val="both"/>
        <w:rPr/>
      </w:pPr>
      <w:r>
        <w:rPr/>
        <w:t xml:space="preserve">2.5.65. Расчетная линейная гололедная нагрузка на 1 м провода (троса) </w:t>
      </w:r>
      <w:r>
        <w:rPr>
          <w:i/>
          <w:iCs/>
        </w:rPr>
        <w:t>P</w:t>
      </w:r>
      <w:r>
        <w:rPr>
          <w:i/>
          <w:iCs/>
          <w:vertAlign w:val="subscript"/>
        </w:rPr>
        <w:t>г.о</w:t>
      </w:r>
      <w:r>
        <w:rPr/>
        <w:t>, Н/м, воспринимаемая опорами,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31290" cy="246380"/>
            <wp:effectExtent l="0" t="0" r="0" b="0"/>
            <wp:docPr id="60"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 descr=""/>
                    <pic:cNvPicPr>
                      <a:picLocks noChangeAspect="1" noChangeArrowheads="1"/>
                    </pic:cNvPicPr>
                  </pic:nvPicPr>
                  <pic:blipFill>
                    <a:blip r:embed="rId68"/>
                    <a:srcRect l="-25" t="-145" r="-25" b="-145"/>
                    <a:stretch>
                      <a:fillRect/>
                    </a:stretch>
                  </pic:blipFill>
                  <pic:spPr bwMode="auto">
                    <a:xfrm>
                      <a:off x="0" y="0"/>
                      <a:ext cx="1431290" cy="246380"/>
                    </a:xfrm>
                    <a:prstGeom prst="rect">
                      <a:avLst/>
                    </a:prstGeom>
                  </pic:spPr>
                </pic:pic>
              </a:graphicData>
            </a:graphic>
          </wp:inline>
        </w:drawing>
      </w:r>
    </w:p>
    <w:p>
      <w:pPr>
        <w:pStyle w:val="Normal"/>
        <w:ind w:firstLine="284"/>
        <w:jc w:val="both"/>
        <w:rPr/>
      </w:pPr>
      <w:r>
        <w:rPr/>
        <w:t xml:space="preserve">где </w:t>
      </w:r>
      <w:r>
        <w:rPr>
          <w:vertAlign w:val="subscript"/>
        </w:rPr>
        <w:drawing>
          <wp:inline distT="0" distB="0" distL="0" distR="0">
            <wp:extent cx="207010" cy="246380"/>
            <wp:effectExtent l="0" t="0" r="0" b="0"/>
            <wp:docPr id="61"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5" descr=""/>
                    <pic:cNvPicPr>
                      <a:picLocks noChangeAspect="1" noChangeArrowheads="1"/>
                    </pic:cNvPicPr>
                  </pic:nvPicPr>
                  <pic:blipFill>
                    <a:blip r:embed="rId69"/>
                    <a:srcRect l="-171" t="-145" r="-171" b="-145"/>
                    <a:stretch>
                      <a:fillRect/>
                    </a:stretch>
                  </pic:blipFill>
                  <pic:spPr bwMode="auto">
                    <a:xfrm>
                      <a:off x="0" y="0"/>
                      <a:ext cx="207010" cy="246380"/>
                    </a:xfrm>
                    <a:prstGeom prst="rect">
                      <a:avLst/>
                    </a:prstGeom>
                  </pic:spPr>
                </pic:pic>
              </a:graphicData>
            </a:graphic>
          </wp:inline>
        </w:drawing>
      </w:r>
      <w:r>
        <w:rPr/>
        <w:t> - нормативная линейная гололедная нагрузка, принимается по 2.5.53;</w:t>
      </w:r>
    </w:p>
    <w:p>
      <w:pPr>
        <w:pStyle w:val="Normal"/>
        <w:ind w:firstLine="284"/>
        <w:jc w:val="both"/>
        <w:rPr/>
      </w:pPr>
      <w:r>
        <w:rPr>
          <w:i/>
          <w:iCs/>
        </w:rPr>
        <w:t>γ</w:t>
      </w:r>
      <w:r>
        <w:rPr>
          <w:i/>
          <w:iCs/>
          <w:vertAlign w:val="subscript"/>
        </w:rPr>
        <w:t>пг</w:t>
      </w:r>
      <w:r>
        <w:rPr/>
        <w:t xml:space="preserve">, </w:t>
      </w:r>
      <w:r>
        <w:rPr>
          <w:i/>
          <w:iCs/>
        </w:rPr>
        <w:t>γ</w:t>
      </w:r>
      <w:r>
        <w:rPr>
          <w:i/>
          <w:iCs/>
          <w:vertAlign w:val="subscript"/>
        </w:rPr>
        <w:t>р</w:t>
      </w:r>
      <w:r>
        <w:rPr/>
        <w:t xml:space="preserve"> - принимаются согласно 2.5.55;</w:t>
      </w:r>
    </w:p>
    <w:p>
      <w:pPr>
        <w:pStyle w:val="Normal"/>
        <w:ind w:firstLine="284"/>
        <w:jc w:val="both"/>
        <w:rPr/>
      </w:pPr>
      <w:r>
        <w:rPr>
          <w:i/>
          <w:iCs/>
        </w:rPr>
        <w:t>γ</w:t>
      </w:r>
      <w:r>
        <w:rPr>
          <w:i/>
          <w:iCs/>
          <w:vertAlign w:val="subscript"/>
        </w:rPr>
        <w:t>f</w:t>
      </w:r>
      <w:r>
        <w:rPr/>
        <w:t xml:space="preserve">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p>
      <w:pPr>
        <w:pStyle w:val="Normal"/>
        <w:ind w:firstLine="284"/>
        <w:jc w:val="both"/>
        <w:rPr/>
      </w:pPr>
      <w:r>
        <w:rPr>
          <w:i/>
          <w:iCs/>
        </w:rPr>
        <w:t>γ</w:t>
      </w:r>
      <w:r>
        <w:rPr>
          <w:i/>
          <w:iCs/>
          <w:vertAlign w:val="subscript"/>
        </w:rPr>
        <w:t>d</w:t>
      </w:r>
      <w:r>
        <w:rPr/>
        <w:t xml:space="preserve"> - коэффициент условий работы, равный:</w:t>
      </w:r>
    </w:p>
    <w:p>
      <w:pPr>
        <w:pStyle w:val="Normal"/>
        <w:ind w:firstLine="284"/>
        <w:jc w:val="both"/>
        <w:rPr/>
      </w:pPr>
      <w:r>
        <w:rPr/>
        <w:t>1,0 - при расчете по первой группе предельных состояний;</w:t>
      </w:r>
    </w:p>
    <w:p>
      <w:pPr>
        <w:pStyle w:val="Normal"/>
        <w:ind w:firstLine="284"/>
        <w:jc w:val="both"/>
        <w:rPr/>
      </w:pPr>
      <w:r>
        <w:rPr/>
        <w:t>0,5 - при расчете по второй группе предельных состояний.</w:t>
      </w:r>
    </w:p>
    <w:p>
      <w:pPr>
        <w:pStyle w:val="Normal"/>
        <w:ind w:firstLine="284"/>
        <w:jc w:val="both"/>
        <w:rPr/>
      </w:pPr>
      <w:r>
        <w:rPr/>
        <w:t>2.5.66.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(2.5.53, 2.5.55, 2.5.65) на длину весового пролета.</w:t>
      </w:r>
    </w:p>
    <w:p>
      <w:pPr>
        <w:pStyle w:val="Normal"/>
        <w:ind w:firstLine="284"/>
        <w:jc w:val="both"/>
        <w:rPr/>
      </w:pPr>
      <w:r>
        <w:rPr/>
        <w:t xml:space="preserve">2.5.67. Расчетная гололедная нагрузка на конструкции опор </w:t>
      </w:r>
      <w:r>
        <w:rPr>
          <w:i/>
          <w:iCs/>
        </w:rPr>
        <w:t>J</w:t>
      </w:r>
      <w:r>
        <w:rPr/>
        <w:t>, Н,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311275" cy="246380"/>
            <wp:effectExtent l="0" t="0" r="0" b="0"/>
            <wp:docPr id="62"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 descr=""/>
                    <pic:cNvPicPr>
                      <a:picLocks noChangeAspect="1" noChangeArrowheads="1"/>
                    </pic:cNvPicPr>
                  </pic:nvPicPr>
                  <pic:blipFill>
                    <a:blip r:embed="rId70"/>
                    <a:srcRect l="-27" t="-145" r="-27" b="-145"/>
                    <a:stretch>
                      <a:fillRect/>
                    </a:stretch>
                  </pic:blipFill>
                  <pic:spPr bwMode="auto">
                    <a:xfrm>
                      <a:off x="0" y="0"/>
                      <a:ext cx="1311275" cy="246380"/>
                    </a:xfrm>
                    <a:prstGeom prst="rect">
                      <a:avLst/>
                    </a:prstGeom>
                  </pic:spPr>
                </pic:pic>
              </a:graphicData>
            </a:graphic>
          </wp:inline>
        </w:drawing>
      </w:r>
    </w:p>
    <w:p>
      <w:pPr>
        <w:pStyle w:val="Normal"/>
        <w:ind w:firstLine="284"/>
        <w:jc w:val="both"/>
        <w:rPr/>
      </w:pPr>
      <w:r>
        <w:rPr/>
        <w:t xml:space="preserve">где </w:t>
      </w:r>
      <w:r>
        <w:rPr>
          <w:i/>
          <w:iCs/>
        </w:rPr>
        <w:t>J</w:t>
      </w:r>
      <w:r>
        <w:rPr>
          <w:i/>
          <w:iCs/>
          <w:vertAlign w:val="superscript"/>
        </w:rPr>
        <w:t>н</w:t>
      </w:r>
      <w:r>
        <w:rPr/>
        <w:t xml:space="preserve"> - нормативная гололедная нагрузка, принимаемая по 2.5.61;</w:t>
      </w:r>
    </w:p>
    <w:p>
      <w:pPr>
        <w:pStyle w:val="Normal"/>
        <w:ind w:firstLine="284"/>
        <w:jc w:val="both"/>
        <w:rPr/>
      </w:pPr>
      <w:r>
        <w:rPr>
          <w:i/>
          <w:iCs/>
        </w:rPr>
        <w:t>γ</w:t>
      </w:r>
      <w:r>
        <w:rPr>
          <w:i/>
          <w:iCs/>
          <w:vertAlign w:val="subscript"/>
        </w:rPr>
        <w:t>пг</w:t>
      </w:r>
      <w:r>
        <w:rPr/>
        <w:t xml:space="preserve">, </w:t>
      </w:r>
      <w:r>
        <w:rPr>
          <w:i/>
          <w:iCs/>
        </w:rPr>
        <w:t>γ</w:t>
      </w:r>
      <w:r>
        <w:rPr>
          <w:i/>
          <w:iCs/>
          <w:vertAlign w:val="subscript"/>
        </w:rPr>
        <w:t>р</w:t>
      </w:r>
      <w:r>
        <w:rPr/>
        <w:t xml:space="preserve"> - принимаются согласно 2.5.55;</w:t>
      </w:r>
    </w:p>
    <w:p>
      <w:pPr>
        <w:pStyle w:val="Normal"/>
        <w:ind w:firstLine="284"/>
        <w:jc w:val="both"/>
        <w:rPr/>
      </w:pPr>
      <w:r>
        <w:rPr>
          <w:i/>
          <w:iCs/>
        </w:rPr>
        <w:t>γ</w:t>
      </w:r>
      <w:r>
        <w:rPr>
          <w:i/>
          <w:iCs/>
          <w:vertAlign w:val="subscript"/>
        </w:rPr>
        <w:t>f</w:t>
      </w:r>
      <w:r>
        <w:rPr/>
        <w:t xml:space="preserve">, </w:t>
      </w:r>
      <w:r>
        <w:rPr>
          <w:i/>
          <w:iCs/>
        </w:rPr>
        <w:t>γ</w:t>
      </w:r>
      <w:r>
        <w:rPr>
          <w:i/>
          <w:iCs/>
          <w:vertAlign w:val="subscript"/>
        </w:rPr>
        <w:t>d</w:t>
      </w:r>
      <w:r>
        <w:rPr/>
        <w:t xml:space="preserve"> - принимаются согласно 2.5.65.</w:t>
      </w:r>
    </w:p>
    <w:p>
      <w:pPr>
        <w:pStyle w:val="Normal"/>
        <w:ind w:firstLine="284"/>
        <w:jc w:val="both"/>
        <w:rPr/>
      </w:pPr>
      <w:r>
        <w:rPr/>
        <w:t>2.5.68. В районах по гололеду III и выше обледенение гирлянд изоляторов учитывается увеличением их веса на 50 %. В районах по гололеду II и менее обледенение не учитывается.</w:t>
      </w:r>
    </w:p>
    <w:p>
      <w:pPr>
        <w:pStyle w:val="Normal"/>
        <w:ind w:firstLine="284"/>
        <w:jc w:val="both"/>
        <w:rPr/>
      </w:pPr>
      <w:r>
        <w:rPr/>
        <w:t>Воздействие ветрового давления на гирлянды изоляторов при гололеде не учитывается.</w:t>
      </w:r>
    </w:p>
    <w:p>
      <w:pPr>
        <w:pStyle w:val="Normal"/>
        <w:ind w:firstLine="284"/>
        <w:jc w:val="both"/>
        <w:rPr/>
      </w:pPr>
      <w:r>
        <w:rPr/>
        <w:t xml:space="preserve">2.5.69. Расчетная нагрузка на опоры ВЛ от веса проводов, тросов, гирлянд изоляторов, конструкций опор по первой и второй группам предельных состояний определяется при расчетах как произведение нормативной нагрузки на коэффициент надежности по весовой нагрузке </w:t>
      </w:r>
      <w:r>
        <w:rPr>
          <w:i/>
          <w:iCs/>
        </w:rPr>
        <w:t>γ</w:t>
      </w:r>
      <w:r>
        <w:rPr>
          <w:i/>
          <w:iCs/>
          <w:vertAlign w:val="subscript"/>
        </w:rPr>
        <w:t>f</w:t>
      </w:r>
      <w:r>
        <w:rPr/>
        <w:t>, принимаемый равным для проводов, тросов и гирлянд изоляторов 1,05, для конструкций опор - с указаниями строительных норм и правил на нагрузки и воздействия.</w:t>
      </w:r>
    </w:p>
    <w:p>
      <w:pPr>
        <w:pStyle w:val="Normal"/>
        <w:ind w:firstLine="284"/>
        <w:jc w:val="both"/>
        <w:rPr/>
      </w:pPr>
      <w:r>
        <w:rPr/>
        <w:t>2.5.70. Нормативные нагрузки на опоры ВЛ от тяжения проводов и тросов определяются при расчетных ветровых и гололедных нагрузках по 2.5.54 и 2.5.55.</w:t>
      </w:r>
    </w:p>
    <w:p>
      <w:pPr>
        <w:pStyle w:val="Normal"/>
        <w:ind w:firstLine="284"/>
        <w:jc w:val="both"/>
        <w:rPr/>
      </w:pPr>
      <w:r>
        <w:rPr/>
        <w:t xml:space="preserve">Расчетная горизонтальная нагрузка от тяжения проводов и тросов, </w:t>
      </w:r>
      <w:r>
        <w:rPr>
          <w:i/>
          <w:iCs/>
        </w:rPr>
        <w:t>T</w:t>
      </w:r>
      <w:r>
        <w:rPr>
          <w:vertAlign w:val="subscript"/>
        </w:rPr>
        <w:t>max</w:t>
      </w:r>
      <w:r>
        <w:rPr/>
        <w:t xml:space="preserve">,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Pr>
          <w:i/>
          <w:iCs/>
        </w:rPr>
        <w:t>γ</w:t>
      </w:r>
      <w:r>
        <w:rPr>
          <w:i/>
          <w:iCs/>
          <w:vertAlign w:val="subscript"/>
        </w:rPr>
        <w:t>f</w:t>
      </w:r>
      <w:r>
        <w:rPr/>
        <w:t>, равный:</w:t>
      </w:r>
    </w:p>
    <w:p>
      <w:pPr>
        <w:pStyle w:val="Normal"/>
        <w:ind w:firstLine="284"/>
        <w:jc w:val="both"/>
        <w:rPr/>
      </w:pPr>
      <w:r>
        <w:rPr/>
        <w:t>1,3 - при расчете по первой группе предельных состояний;</w:t>
      </w:r>
    </w:p>
    <w:p>
      <w:pPr>
        <w:pStyle w:val="Normal"/>
        <w:ind w:firstLine="284"/>
        <w:jc w:val="both"/>
        <w:rPr/>
      </w:pPr>
      <w:r>
        <w:rPr/>
        <w:t>1,0 - при расчете по второй группе предельных состояний.</w:t>
      </w:r>
    </w:p>
    <w:p>
      <w:pPr>
        <w:pStyle w:val="Normal"/>
        <w:ind w:firstLine="284"/>
        <w:jc w:val="both"/>
        <w:rPr/>
      </w:pPr>
      <w:r>
        <w:rPr/>
        <w:t>2.5.71. Расчет ВЛ по нормальному режиму работы необходимо производить для сочетания следующих условий:</w:t>
      </w:r>
    </w:p>
    <w:p>
      <w:pPr>
        <w:pStyle w:val="Normal"/>
        <w:ind w:firstLine="284"/>
        <w:jc w:val="both"/>
        <w:rPr/>
      </w:pPr>
      <w:r>
        <w:rPr/>
        <w:t xml:space="preserve">1. Высшая температура </w:t>
      </w:r>
      <w:r>
        <w:rPr>
          <w:i/>
          <w:iCs/>
        </w:rPr>
        <w:t>t</w:t>
      </w:r>
      <w:r>
        <w:rPr>
          <w:vertAlign w:val="subscript"/>
        </w:rPr>
        <w:t>+</w:t>
      </w:r>
      <w:r>
        <w:rPr/>
        <w:t>, ветер и гололед отсутствуют.</w:t>
      </w:r>
    </w:p>
    <w:p>
      <w:pPr>
        <w:pStyle w:val="Normal"/>
        <w:ind w:firstLine="284"/>
        <w:jc w:val="both"/>
        <w:rPr/>
      </w:pPr>
      <w:r>
        <w:rPr/>
        <w:t xml:space="preserve">2. Низшая температура </w:t>
      </w:r>
      <w:r>
        <w:rPr>
          <w:i/>
          <w:iCs/>
        </w:rPr>
        <w:t>t</w:t>
      </w:r>
      <w:r>
        <w:rPr>
          <w:vertAlign w:val="subscript"/>
        </w:rPr>
        <w:t>-</w:t>
      </w:r>
      <w:r>
        <w:rPr/>
        <w:t>, ветер и гололед отсутствуют.</w:t>
      </w:r>
    </w:p>
    <w:p>
      <w:pPr>
        <w:pStyle w:val="Normal"/>
        <w:ind w:firstLine="284"/>
        <w:jc w:val="both"/>
        <w:rPr/>
      </w:pPr>
      <w:r>
        <w:rPr/>
        <w:t xml:space="preserve">3. Среднегодовая температура </w:t>
      </w:r>
      <w:r>
        <w:rPr>
          <w:i/>
          <w:iCs/>
        </w:rPr>
        <w:t>t</w:t>
      </w:r>
      <w:r>
        <w:rPr>
          <w:i/>
          <w:iCs/>
          <w:vertAlign w:val="subscript"/>
        </w:rPr>
        <w:t>сг</w:t>
      </w:r>
      <w:r>
        <w:rPr/>
        <w:t>, ветер и гололед отсутствуют.</w:t>
      </w:r>
    </w:p>
    <w:p>
      <w:pPr>
        <w:pStyle w:val="Normal"/>
        <w:ind w:firstLine="284"/>
        <w:jc w:val="both"/>
        <w:rPr/>
      </w:pPr>
      <w:r>
        <w:rPr/>
        <w:t>4. Провода и тросы покрыты гололедом по 2.5.55, температура при гололеде по 2.5.51, ветер отсутствует.</w:t>
      </w:r>
    </w:p>
    <w:p>
      <w:pPr>
        <w:pStyle w:val="Normal"/>
        <w:ind w:firstLine="284"/>
        <w:jc w:val="both"/>
        <w:rPr/>
      </w:pPr>
      <w:r>
        <w:rPr/>
        <w:t xml:space="preserve">5. Ветер по 2.5.54, температура при </w:t>
      </w:r>
      <w:r>
        <w:rPr>
          <w:i/>
          <w:iCs/>
        </w:rPr>
        <w:t>W</w:t>
      </w:r>
      <w:r>
        <w:rPr>
          <w:vertAlign w:val="subscript"/>
        </w:rPr>
        <w:t>0</w:t>
      </w:r>
      <w:r>
        <w:rPr/>
        <w:t xml:space="preserve"> по 2.5.51, гололед отсутствует.</w:t>
      </w:r>
    </w:p>
    <w:p>
      <w:pPr>
        <w:pStyle w:val="Normal"/>
        <w:ind w:firstLine="284"/>
        <w:jc w:val="both"/>
        <w:rPr/>
      </w:pPr>
      <w:r>
        <w:rPr/>
        <w:t>6. Провода и тросы покрыты гололедом по 2.5.55, ветер при гололеде на провода и тросы по 2.5.54, температура при гололеде по 2.5.51.</w:t>
      </w:r>
    </w:p>
    <w:p>
      <w:pPr>
        <w:pStyle w:val="Normal"/>
        <w:ind w:firstLine="284"/>
        <w:jc w:val="both"/>
        <w:rPr/>
      </w:pPr>
      <w:r>
        <w:rPr/>
        <w:t>7. Расчетная нагрузка от тяжения проводов по 2.5.70.</w:t>
      </w:r>
    </w:p>
    <w:p>
      <w:pPr>
        <w:pStyle w:val="Normal"/>
        <w:ind w:firstLine="284"/>
        <w:jc w:val="both"/>
        <w:rPr/>
      </w:pPr>
      <w:r>
        <w:rPr/>
        <w:t>2.5.72. Расчет ВЛ по аварийному режиму работы необходимо производить для сочетания следующих условий:</w:t>
      </w:r>
    </w:p>
    <w:p>
      <w:pPr>
        <w:pStyle w:val="Normal"/>
        <w:ind w:firstLine="284"/>
        <w:jc w:val="both"/>
        <w:rPr/>
      </w:pPr>
      <w:r>
        <w:rPr/>
        <w:t xml:space="preserve">1. Среднегодовая температура </w:t>
      </w:r>
      <w:r>
        <w:rPr>
          <w:i/>
          <w:iCs/>
        </w:rPr>
        <w:t>t</w:t>
      </w:r>
      <w:r>
        <w:rPr>
          <w:i/>
          <w:iCs/>
          <w:vertAlign w:val="subscript"/>
        </w:rPr>
        <w:t>сг</w:t>
      </w:r>
      <w:r>
        <w:rPr/>
        <w:t>, ветер и гололед отсутствуют.</w:t>
      </w:r>
    </w:p>
    <w:p>
      <w:pPr>
        <w:pStyle w:val="Normal"/>
        <w:ind w:firstLine="284"/>
        <w:jc w:val="both"/>
        <w:rPr/>
      </w:pPr>
      <w:r>
        <w:rPr/>
        <w:t xml:space="preserve">2. Низшая температура </w:t>
      </w:r>
      <w:r>
        <w:rPr>
          <w:i/>
          <w:iCs/>
        </w:rPr>
        <w:t>t</w:t>
      </w:r>
      <w:r>
        <w:rPr>
          <w:vertAlign w:val="subscript"/>
        </w:rPr>
        <w:t>-</w:t>
      </w:r>
      <w:r>
        <w:rPr/>
        <w:t>, ветер и гололед отсутствуют.</w:t>
      </w:r>
    </w:p>
    <w:p>
      <w:pPr>
        <w:pStyle w:val="Normal"/>
        <w:ind w:firstLine="284"/>
        <w:jc w:val="both"/>
        <w:rPr/>
      </w:pPr>
      <w:r>
        <w:rPr/>
        <w:t>3. Провода и тросы покрыты гололедом по 2.5.55, температура при гололеде по 2.5.51, ветер отсутствует.</w:t>
      </w:r>
    </w:p>
    <w:p>
      <w:pPr>
        <w:pStyle w:val="Normal"/>
        <w:ind w:firstLine="284"/>
        <w:jc w:val="both"/>
        <w:rPr/>
      </w:pPr>
      <w:r>
        <w:rPr/>
        <w:t>4. Расчетная нагрузка от тяжения проводов по 2.5.70.</w:t>
      </w:r>
    </w:p>
    <w:p>
      <w:pPr>
        <w:pStyle w:val="Normal"/>
        <w:ind w:firstLine="284"/>
        <w:jc w:val="both"/>
        <w:rPr/>
      </w:pPr>
      <w:r>
        <w:rPr/>
        <w:t>2.5.73.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p>
      <w:pPr>
        <w:pStyle w:val="Normal"/>
        <w:ind w:firstLine="284"/>
        <w:jc w:val="both"/>
        <w:rPr/>
      </w:pPr>
      <w:r>
        <w:rPr/>
        <w:t xml:space="preserve">1) при рабочем напряжении: расчетная ветровая нагрузка по 2.5.54, температура при </w:t>
      </w:r>
      <w:r>
        <w:rPr>
          <w:i/>
          <w:iCs/>
        </w:rPr>
        <w:t>W</w:t>
      </w:r>
      <w:r>
        <w:rPr>
          <w:vertAlign w:val="subscript"/>
        </w:rPr>
        <w:t>0</w:t>
      </w:r>
      <w:r>
        <w:rPr/>
        <w:t xml:space="preserve"> по 2.5.51, гололед отсутствует;</w:t>
      </w:r>
    </w:p>
    <w:p>
      <w:pPr>
        <w:pStyle w:val="Normal"/>
        <w:ind w:firstLine="284"/>
        <w:jc w:val="both"/>
        <w:rPr/>
      </w:pPr>
      <w:r>
        <w:rPr/>
        <w:t xml:space="preserve">2) при грозовых и внутренних перенапряжениях: температура + 15 °С, ветровое давление, равное 0,06 </w:t>
      </w:r>
      <w:r>
        <w:rPr>
          <w:i/>
          <w:iCs/>
        </w:rPr>
        <w:t>W</w:t>
      </w:r>
      <w:r>
        <w:rPr>
          <w:vertAlign w:val="subscript"/>
        </w:rPr>
        <w:t>0</w:t>
      </w:r>
      <w:r>
        <w:rPr/>
        <w:t>, но не менее 50 Па;</w:t>
      </w:r>
    </w:p>
    <w:p>
      <w:pPr>
        <w:pStyle w:val="Normal"/>
        <w:ind w:firstLine="284"/>
        <w:jc w:val="both"/>
        <w:rPr/>
      </w:pPr>
      <w:r>
        <w:rPr/>
        <w:t>3) для обеспечения безопасного подъема на опору при наличии напряжения на линии: для ВЛ 500 кВ и ниже - температура минус 15 °С, гололед и ветер отсутствуют; для ВЛ 750 кВ - температура минус 15 °С, ветровое давление 50 Па, гололед отсутствует.</w:t>
      </w:r>
    </w:p>
    <w:p>
      <w:pPr>
        <w:pStyle w:val="Normal"/>
        <w:ind w:firstLine="284"/>
        <w:jc w:val="both"/>
        <w:rPr/>
      </w:pPr>
      <w:r>
        <w:rPr/>
        <w:t>При расчете приближений угол отклонения у поддерживающей гирлянды изоляторов от вертикали определяется по формуле</w:t>
      </w:r>
    </w:p>
    <w:p>
      <w:pPr>
        <w:pStyle w:val="Normal"/>
        <w:spacing w:before="120" w:after="120"/>
        <w:jc w:val="center"/>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2362200" cy="246380"/>
            <wp:effectExtent l="0" t="0" r="0" b="0"/>
            <wp:docPr id="63"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7" descr=""/>
                    <pic:cNvPicPr>
                      <a:picLocks noChangeAspect="1" noChangeArrowheads="1"/>
                    </pic:cNvPicPr>
                  </pic:nvPicPr>
                  <pic:blipFill>
                    <a:blip r:embed="rId71"/>
                    <a:srcRect l="-15" t="-145" r="-15" b="-145"/>
                    <a:stretch>
                      <a:fillRect/>
                    </a:stretch>
                  </pic:blipFill>
                  <pic:spPr bwMode="auto">
                    <a:xfrm>
                      <a:off x="0" y="0"/>
                      <a:ext cx="2362200" cy="246380"/>
                    </a:xfrm>
                    <a:prstGeom prst="rect">
                      <a:avLst/>
                    </a:prstGeom>
                  </pic:spPr>
                </pic:pic>
              </a:graphicData>
            </a:graphic>
          </wp:inline>
        </w:drawing>
      </w:r>
    </w:p>
    <w:p>
      <w:pPr>
        <w:pStyle w:val="Normal"/>
        <w:jc w:val="both"/>
        <w:rPr/>
      </w:pPr>
      <w:r>
        <w:rPr/>
        <w:t xml:space="preserve">где </w:t>
      </w:r>
      <w:r>
        <w:rPr>
          <w:i/>
          <w:iCs/>
        </w:rPr>
        <w:t>Р</w:t>
      </w:r>
      <w:r>
        <w:rPr/>
        <w:t xml:space="preserve"> - расчетная ветровая нагрузка на провода фазы, направленная поперек оси ВЛ (или по биссектрисе угла поворота ВЛ), Н;</w:t>
      </w:r>
    </w:p>
    <w:p>
      <w:pPr>
        <w:pStyle w:val="Normal"/>
        <w:spacing w:before="0" w:after="120"/>
        <w:ind w:firstLine="283"/>
        <w:jc w:val="both"/>
        <w:rPr/>
      </w:pPr>
      <w:r>
        <w:rPr>
          <w:i/>
          <w:iCs/>
        </w:rPr>
        <w:t>K</w:t>
      </w:r>
      <w:r>
        <w:rPr>
          <w:i/>
          <w:iCs/>
          <w:vertAlign w:val="subscript"/>
        </w:rPr>
        <w:t>g</w:t>
      </w:r>
      <w:r>
        <w:rPr/>
        <w:t xml:space="preserve"> - коэффициент инерционности системы «гирлянда - провод в пролете», при отклонениях под давлением ветра принимается равным:</w:t>
      </w:r>
    </w:p>
    <w:tbl>
      <w:tblPr>
        <w:tblW w:w="5000" w:type="pct"/>
        <w:jc w:val="left"/>
        <w:tblInd w:w="-33" w:type="dxa"/>
        <w:tblBorders>
          <w:top w:val="single" w:sz="4" w:space="0" w:color="000000"/>
          <w:left w:val="single" w:sz="4" w:space="0" w:color="000000"/>
          <w:bottom w:val="single" w:sz="4" w:space="0" w:color="000000"/>
          <w:insideH w:val="single" w:sz="4" w:space="0" w:color="000000"/>
        </w:tblBorders>
        <w:tblCellMar>
          <w:top w:w="0" w:type="dxa"/>
          <w:left w:w="28" w:type="dxa"/>
          <w:bottom w:w="0" w:type="dxa"/>
          <w:right w:w="28" w:type="dxa"/>
        </w:tblCellMar>
      </w:tblPr>
      <w:tblGrid>
        <w:gridCol w:w="2672"/>
        <w:gridCol w:w="1334"/>
        <w:gridCol w:w="1335"/>
        <w:gridCol w:w="1334"/>
        <w:gridCol w:w="1335"/>
        <w:gridCol w:w="1345"/>
      </w:tblGrid>
      <w:tr>
        <w:trPr/>
        <w:tc>
          <w:tcPr>
            <w:tcW w:w="267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Ветровое давление, Па</w:t>
            </w:r>
          </w:p>
        </w:tc>
        <w:tc>
          <w:tcPr>
            <w:tcW w:w="1334"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До 310</w:t>
            </w:r>
          </w:p>
        </w:tc>
        <w:tc>
          <w:tcPr>
            <w:tcW w:w="1335"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350</w:t>
            </w:r>
          </w:p>
        </w:tc>
        <w:tc>
          <w:tcPr>
            <w:tcW w:w="1334"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425</w:t>
            </w:r>
          </w:p>
        </w:tc>
        <w:tc>
          <w:tcPr>
            <w:tcW w:w="1335"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500</w:t>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От 615</w:t>
            </w:r>
          </w:p>
        </w:tc>
      </w:tr>
      <w:tr>
        <w:trPr/>
        <w:tc>
          <w:tcPr>
            <w:tcW w:w="267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 xml:space="preserve">Коэффициент </w:t>
            </w:r>
            <w:r>
              <w:rPr>
                <w:i/>
                <w:iCs/>
              </w:rPr>
              <w:t>K</w:t>
            </w:r>
            <w:r>
              <w:rPr>
                <w:i/>
                <w:iCs/>
                <w:vertAlign w:val="subscript"/>
              </w:rPr>
              <w:t>g</w:t>
            </w:r>
          </w:p>
        </w:tc>
        <w:tc>
          <w:tcPr>
            <w:tcW w:w="1334"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w:t>
            </w:r>
          </w:p>
        </w:tc>
        <w:tc>
          <w:tcPr>
            <w:tcW w:w="1335"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0,95</w:t>
            </w:r>
          </w:p>
        </w:tc>
        <w:tc>
          <w:tcPr>
            <w:tcW w:w="1334"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0,9</w:t>
            </w:r>
          </w:p>
        </w:tc>
        <w:tc>
          <w:tcPr>
            <w:tcW w:w="1335"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0,85</w:t>
            </w:r>
          </w:p>
        </w:tc>
        <w:tc>
          <w:tcPr>
            <w:tcW w:w="1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0,8</w:t>
            </w:r>
          </w:p>
        </w:tc>
      </w:tr>
    </w:tbl>
    <w:p>
      <w:pPr>
        <w:pStyle w:val="Normal"/>
        <w:spacing w:before="120" w:after="0"/>
        <w:ind w:firstLine="283"/>
        <w:jc w:val="both"/>
        <w:rPr/>
      </w:pPr>
      <w:r>
        <w:rPr/>
        <w:t>Промежуточные значения определяются линейной интерполяцией;</w:t>
      </w:r>
    </w:p>
    <w:p>
      <w:pPr>
        <w:pStyle w:val="Normal"/>
        <w:ind w:firstLine="283"/>
        <w:jc w:val="both"/>
        <w:rPr/>
      </w:pPr>
      <w:r>
        <w:rPr>
          <w:i/>
          <w:iCs/>
        </w:rPr>
        <w:t>Р</w:t>
      </w:r>
      <w:r>
        <w:rPr>
          <w:i/>
          <w:iCs/>
          <w:vertAlign w:val="subscript"/>
        </w:rPr>
        <w:t>о</w:t>
      </w:r>
      <w:r>
        <w:rPr/>
        <w:t xml:space="preserve">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p>
      <w:pPr>
        <w:pStyle w:val="Normal"/>
        <w:ind w:firstLine="283"/>
        <w:jc w:val="both"/>
        <w:rPr/>
      </w:pPr>
      <w:r>
        <w:rPr>
          <w:i/>
          <w:iCs/>
        </w:rPr>
        <w:t>G</w:t>
      </w:r>
      <w:r>
        <w:rPr>
          <w:i/>
          <w:iCs/>
          <w:vertAlign w:val="subscript"/>
        </w:rPr>
        <w:t>np</w:t>
      </w:r>
      <w:r>
        <w:rPr/>
        <w:t xml:space="preserve"> - расчетная нагрузка от веса провода, воспринимаемая гирляндой изоляторов, Н;</w:t>
      </w:r>
    </w:p>
    <w:p>
      <w:pPr>
        <w:pStyle w:val="Normal"/>
        <w:ind w:firstLine="283"/>
        <w:jc w:val="both"/>
        <w:rPr/>
      </w:pPr>
      <w:r>
        <w:rPr>
          <w:i/>
          <w:iCs/>
        </w:rPr>
        <w:t>G</w:t>
      </w:r>
      <w:r>
        <w:rPr>
          <w:i/>
          <w:iCs/>
          <w:vertAlign w:val="subscript"/>
        </w:rPr>
        <w:t>г</w:t>
      </w:r>
      <w:r>
        <w:rPr/>
        <w:t xml:space="preserve"> - расчетная нагрузка от веса гирлянды изоляторов, Н;</w:t>
      </w:r>
    </w:p>
    <w:p>
      <w:pPr>
        <w:pStyle w:val="Normal"/>
        <w:ind w:firstLine="283"/>
        <w:jc w:val="both"/>
        <w:rPr/>
      </w:pPr>
      <w:r>
        <w:rPr>
          <w:i/>
          <w:iCs/>
        </w:rPr>
        <w:t>Р</w:t>
      </w:r>
      <w:r>
        <w:rPr>
          <w:i/>
          <w:iCs/>
          <w:vertAlign w:val="subscript"/>
        </w:rPr>
        <w:t>и</w:t>
      </w:r>
      <w:r>
        <w:rPr/>
        <w:t xml:space="preserve"> - расчетная ветровая нагрузка на гирлянды изоляторов, Н, принимаемая по 2.5.64.</w:t>
      </w:r>
    </w:p>
    <w:p>
      <w:pPr>
        <w:pStyle w:val="Normal"/>
        <w:ind w:firstLine="283"/>
        <w:jc w:val="both"/>
        <w:rPr/>
      </w:pPr>
      <w:r>
        <w:rPr/>
        <w:t>2.5.74.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15 м над поверхностью земли 50 Па, гололед отсутствует.</w:t>
      </w:r>
    </w:p>
    <w:p>
      <w:pPr>
        <w:pStyle w:val="Heading3"/>
        <w:rPr/>
      </w:pPr>
      <w:r>
        <w:rPr/>
        <w:t>ПРОВОДА И ГРОЗОЗАЩИТНЫЕ ТРОСЫ</w:t>
      </w:r>
    </w:p>
    <w:p>
      <w:pPr>
        <w:pStyle w:val="Normal"/>
        <w:ind w:firstLine="284"/>
        <w:jc w:val="both"/>
        <w:rPr/>
      </w:pPr>
      <w:r>
        <w:rPr/>
        <w:t>2.5.75. Воздушные линии могут выполняться с одним или несколькими проводами в фазе, во втором случае фаза называется расщепленной.</w:t>
      </w:r>
    </w:p>
    <w:p>
      <w:pPr>
        <w:pStyle w:val="Normal"/>
        <w:ind w:firstLine="284"/>
        <w:jc w:val="both"/>
        <w:rPr/>
      </w:pPr>
      <w:r>
        <w:rPr/>
        <w:t>Провода расщепленной фазы могут быть изолированы друг от друга.</w:t>
      </w:r>
    </w:p>
    <w:p>
      <w:pPr>
        <w:pStyle w:val="Normal"/>
        <w:ind w:firstLine="284"/>
        <w:jc w:val="both"/>
        <w:rPr/>
      </w:pPr>
      <w:r>
        <w:rPr/>
        <w:t>Диаметр проводов, их сечение и количество в фазе, а также расстояние между проводами расщепленной фазы определяются расчетом.</w:t>
      </w:r>
    </w:p>
    <w:p>
      <w:pPr>
        <w:pStyle w:val="Normal"/>
        <w:ind w:firstLine="284"/>
        <w:jc w:val="both"/>
        <w:rPr/>
      </w:pPr>
      <w:r>
        <w:rPr/>
        <w:t xml:space="preserve">2.5.76.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60 м, а при прохождении ВЛ по местности типа </w:t>
      </w:r>
      <w:r>
        <w:rPr>
          <w:i/>
          <w:iCs/>
        </w:rPr>
        <w:t>А</w:t>
      </w:r>
      <w:r>
        <w:rPr/>
        <w:t xml:space="preserve"> (2.5.6) - 40 м. Расстояния между распорками или группами распорок, устанавливаемыми в пролете на расщепленной фазе из четырех и более проводов, не должны превышать 40 м. При прохождении ВЛ по местности типа </w:t>
      </w:r>
      <w:r>
        <w:rPr>
          <w:i/>
          <w:iCs/>
        </w:rPr>
        <w:t>С</w:t>
      </w:r>
      <w:r>
        <w:rPr/>
        <w:t xml:space="preserve"> эти расстояния допускается увеличивать до 60 м.</w:t>
      </w:r>
    </w:p>
    <w:p>
      <w:pPr>
        <w:pStyle w:val="Normal"/>
        <w:ind w:firstLine="284"/>
        <w:jc w:val="both"/>
        <w:rPr/>
      </w:pPr>
      <w:r>
        <w:rPr/>
        <w:t>2.5.77. На ВЛ должны применяться многопроволочные провода и тросы. Минимально допустимые сечения проводов приведены в табл. 2.5.5.</w:t>
      </w:r>
    </w:p>
    <w:p>
      <w:pPr>
        <w:pStyle w:val="Normal"/>
        <w:spacing w:before="120" w:after="120"/>
        <w:jc w:val="right"/>
        <w:rPr/>
      </w:pPr>
      <w:r>
        <w:rPr>
          <w:spacing w:val="40"/>
        </w:rPr>
        <w:t>Таблица</w:t>
      </w:r>
      <w:r>
        <w:rPr/>
        <w:t xml:space="preserve"> 2.5.5</w:t>
      </w:r>
    </w:p>
    <w:p>
      <w:pPr>
        <w:pStyle w:val="Normal"/>
        <w:spacing w:before="0" w:after="120"/>
        <w:jc w:val="center"/>
        <w:rPr>
          <w:b/>
          <w:b/>
          <w:bCs/>
        </w:rPr>
      </w:pPr>
      <w:r>
        <w:rPr>
          <w:b/>
          <w:bCs/>
        </w:rPr>
        <w:t>Минимально допустимые сечения проводов по условиям механической прочности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749"/>
        <w:gridCol w:w="2393"/>
        <w:gridCol w:w="2159"/>
        <w:gridCol w:w="2029"/>
        <w:gridCol w:w="1025"/>
      </w:tblGrid>
      <w:tr>
        <w:trPr>
          <w:tblHeader w:val="true"/>
        </w:trPr>
        <w:tc>
          <w:tcPr>
            <w:tcW w:w="174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Характеристика ВЛ</w:t>
            </w:r>
          </w:p>
        </w:tc>
        <w:tc>
          <w:tcPr>
            <w:tcW w:w="7606"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Сечение проводов, мм</w:t>
            </w:r>
            <w:r>
              <w:rPr>
                <w:vertAlign w:val="superscript"/>
              </w:rPr>
              <w:t>2</w:t>
            </w:r>
          </w:p>
        </w:tc>
      </w:tr>
      <w:tr>
        <w:trPr>
          <w:tblHeader w:val="true"/>
        </w:trPr>
        <w:tc>
          <w:tcPr>
            <w:tcW w:w="174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393"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алюминиевых и из нетермообработанного алюминиевого сплава</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из термообработанного алюминиевого сплава</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сталеалюминиевых</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стальных</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ВЛ без пересечений в районах по гололеду:</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до II</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35/6,2</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 III - IV</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50/8</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 V и более</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70/11</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Пересечения ВЛ с судоходными реками и инженерными сооружениями в районах по гололеду:</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до II</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50/8</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 III - IV</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50/8</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 V и более</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70/11</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ВЛ, сооружаемые на двухцепных или многоцепных опорах:</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до 20 кВ</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70/11</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749" w:type="dxa"/>
            <w:tcBorders>
              <w:left w:val="single" w:sz="8" w:space="0" w:color="000000"/>
              <w:bottom w:val="single" w:sz="8" w:space="0" w:color="000000"/>
              <w:insideH w:val="single" w:sz="8" w:space="0" w:color="000000"/>
            </w:tcBorders>
            <w:shd w:fill="FFFFFF" w:val="clear"/>
          </w:tcPr>
          <w:p>
            <w:pPr>
              <w:pStyle w:val="Normal"/>
              <w:jc w:val="both"/>
              <w:rPr/>
            </w:pPr>
            <w:r>
              <w:rPr/>
              <w:t>35 кВ и выше</w:t>
            </w:r>
          </w:p>
        </w:tc>
        <w:tc>
          <w:tcPr>
            <w:tcW w:w="23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15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20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120/19</w:t>
            </w:r>
          </w:p>
        </w:tc>
        <w:tc>
          <w:tcPr>
            <w:tcW w:w="10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0"/>
        <w:ind w:firstLine="283"/>
        <w:jc w:val="both"/>
        <w:rPr/>
      </w:pPr>
      <w:r>
        <w:rPr>
          <w:spacing w:val="40"/>
        </w:rPr>
        <w:t>Примечания</w:t>
      </w:r>
      <w:r>
        <w:rPr/>
        <w:t>: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pPr>
        <w:pStyle w:val="Normal"/>
        <w:ind w:firstLine="283"/>
        <w:jc w:val="both"/>
        <w:rPr/>
      </w:pPr>
      <w:r>
        <w:rPr/>
        <w:t>2. 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pPr>
        <w:pStyle w:val="Normal"/>
        <w:spacing w:before="120" w:after="0"/>
        <w:ind w:firstLine="283"/>
        <w:jc w:val="both"/>
        <w:rPr/>
      </w:pPr>
      <w:r>
        <w:rPr/>
        <w:t>2.5.78.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pPr>
        <w:pStyle w:val="Normal"/>
        <w:ind w:firstLine="283"/>
        <w:jc w:val="both"/>
        <w:rPr/>
      </w:pPr>
      <w:r>
        <w:rPr/>
        <w:t>2.5.79.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p>
      <w:pPr>
        <w:pStyle w:val="Normal"/>
        <w:ind w:firstLine="283"/>
        <w:jc w:val="both"/>
        <w:rPr/>
      </w:pPr>
      <w:r>
        <w:rPr/>
        <w:t>35 мм</w:t>
      </w:r>
      <w:r>
        <w:rPr>
          <w:vertAlign w:val="superscript"/>
        </w:rPr>
        <w:t>2</w:t>
      </w:r>
      <w:r>
        <w:rPr/>
        <w:t xml:space="preserve"> - на ВЛ 35 кВ без пересечений;</w:t>
      </w:r>
    </w:p>
    <w:p>
      <w:pPr>
        <w:pStyle w:val="Normal"/>
        <w:ind w:firstLine="283"/>
        <w:jc w:val="both"/>
        <w:rPr/>
      </w:pPr>
      <w:r>
        <w:rPr/>
        <w:t>35 мм</w:t>
      </w:r>
      <w:r>
        <w:rPr>
          <w:vertAlign w:val="superscript"/>
        </w:rPr>
        <w:t>2</w:t>
      </w:r>
      <w:r>
        <w:rPr/>
        <w:t xml:space="preserve"> - на ВЛ 35 кВ в пролетах пересечений с железными дорогами общего пользования и электрифицированными в районах по гололеду I - II;</w:t>
      </w:r>
    </w:p>
    <w:p>
      <w:pPr>
        <w:pStyle w:val="Normal"/>
        <w:ind w:firstLine="283"/>
        <w:jc w:val="both"/>
        <w:rPr/>
      </w:pPr>
      <w:r>
        <w:rPr/>
        <w:t>50 мм</w:t>
      </w:r>
      <w:r>
        <w:rPr>
          <w:vertAlign w:val="superscript"/>
        </w:rPr>
        <w:t>2</w:t>
      </w:r>
      <w:r>
        <w:rPr/>
        <w:t xml:space="preserve"> - в остальных районах и на ВЛ, сооружаемых на двухцепных и многоцепных опорах;</w:t>
      </w:r>
    </w:p>
    <w:p>
      <w:pPr>
        <w:pStyle w:val="Normal"/>
        <w:ind w:firstLine="283"/>
        <w:jc w:val="both"/>
        <w:rPr/>
      </w:pPr>
      <w:r>
        <w:rPr/>
        <w:t>50 мм</w:t>
      </w:r>
      <w:r>
        <w:rPr>
          <w:vertAlign w:val="superscript"/>
        </w:rPr>
        <w:t>2</w:t>
      </w:r>
      <w:r>
        <w:rPr/>
        <w:t xml:space="preserve"> - на ВЛ 110 - 150 кВ;</w:t>
      </w:r>
    </w:p>
    <w:p>
      <w:pPr>
        <w:pStyle w:val="Normal"/>
        <w:ind w:firstLine="283"/>
        <w:jc w:val="both"/>
        <w:rPr/>
      </w:pPr>
      <w:r>
        <w:rPr/>
        <w:t>70 мм</w:t>
      </w:r>
      <w:r>
        <w:rPr>
          <w:vertAlign w:val="superscript"/>
        </w:rPr>
        <w:t>2</w:t>
      </w:r>
      <w:r>
        <w:rPr/>
        <w:t xml:space="preserve"> - на ВЛ 220 кВ и выше.</w:t>
      </w:r>
    </w:p>
    <w:p>
      <w:pPr>
        <w:pStyle w:val="Normal"/>
        <w:ind w:firstLine="283"/>
        <w:jc w:val="both"/>
        <w:rPr/>
      </w:pPr>
      <w:r>
        <w:rPr/>
        <w:t>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p>
      <w:pPr>
        <w:pStyle w:val="Normal"/>
        <w:ind w:firstLine="283"/>
        <w:jc w:val="both"/>
        <w:rPr/>
      </w:pPr>
      <w:r>
        <w:rPr/>
        <w:t>1) на особо ответственных переходах через инженерные сооружения (электрифицированные железные дороги, автомобильные дороги категории IА (2.5.256), судоходные водные преграды и т.п.);</w:t>
      </w:r>
    </w:p>
    <w:p>
      <w:pPr>
        <w:pStyle w:val="Normal"/>
        <w:ind w:firstLine="283"/>
        <w:jc w:val="both"/>
        <w:rPr/>
      </w:pPr>
      <w:r>
        <w:rPr/>
        <w:t>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pPr>
        <w:pStyle w:val="Normal"/>
        <w:ind w:firstLine="283"/>
        <w:jc w:val="both"/>
        <w:rPr/>
      </w:pPr>
      <w:r>
        <w:rPr/>
        <w:t>3) на ВЛ с большими токами однофазного короткого замыкания по условиям термической стойкости и для уменьшения влияния ВЛ на линии связи.</w:t>
      </w:r>
    </w:p>
    <w:p>
      <w:pPr>
        <w:pStyle w:val="Normal"/>
        <w:ind w:firstLine="283"/>
        <w:jc w:val="both"/>
        <w:rPr/>
      </w:pPr>
      <w:r>
        <w:rPr/>
        <w:t>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w:t>
      </w:r>
      <w:r>
        <w:rPr>
          <w:vertAlign w:val="superscript"/>
        </w:rPr>
        <w:t>2</w:t>
      </w:r>
      <w:r>
        <w:rPr/>
        <w:t>.</w:t>
      </w:r>
    </w:p>
    <w:p>
      <w:pPr>
        <w:pStyle w:val="Normal"/>
        <w:ind w:firstLine="283"/>
        <w:jc w:val="both"/>
        <w:rPr/>
      </w:pPr>
      <w:r>
        <w:rPr/>
        <w:t>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(2.5.178 - 2.5.200). Между составляющими сдвоенного троса в пролетах и петлях анкерных опор должны быть установлены дистанционные изолирующие распорки.</w:t>
      </w:r>
    </w:p>
    <w:p>
      <w:pPr>
        <w:pStyle w:val="Normal"/>
        <w:ind w:firstLine="283"/>
        <w:jc w:val="both"/>
        <w:rPr/>
      </w:pPr>
      <w:r>
        <w:rPr/>
        <w:t>Расстояния между распорками в пролете не должны превышать 40 м.</w:t>
      </w:r>
    </w:p>
    <w:p>
      <w:pPr>
        <w:pStyle w:val="Normal"/>
        <w:ind w:firstLine="283"/>
        <w:jc w:val="both"/>
        <w:rPr/>
      </w:pPr>
      <w:r>
        <w:rPr/>
        <w:t xml:space="preserve">2.5.80. Для сталеалюминиевых проводов с площадью поперечного сечения алюминиевых проволок </w:t>
      </w:r>
      <w:r>
        <w:rPr>
          <w:i/>
          <w:iCs/>
        </w:rPr>
        <w:t>А</w:t>
      </w:r>
      <w:r>
        <w:rPr/>
        <w:t xml:space="preserve"> и стальных проволок </w:t>
      </w:r>
      <w:r>
        <w:rPr>
          <w:i/>
          <w:iCs/>
        </w:rPr>
        <w:t>С</w:t>
      </w:r>
      <w:r>
        <w:rPr/>
        <w:t xml:space="preserve"> рекомендуются следующие области применения:</w:t>
      </w:r>
    </w:p>
    <w:p>
      <w:pPr>
        <w:pStyle w:val="Normal"/>
        <w:ind w:firstLine="283"/>
        <w:jc w:val="both"/>
        <w:rPr/>
      </w:pPr>
      <w:r>
        <w:rPr/>
        <w:t>1) районы с толщиной стенки гололеда 25 мм и менее:</w:t>
      </w:r>
    </w:p>
    <w:p>
      <w:pPr>
        <w:pStyle w:val="Normal"/>
        <w:ind w:firstLine="283"/>
        <w:jc w:val="both"/>
        <w:rPr/>
      </w:pPr>
      <w:r>
        <w:rPr>
          <w:i/>
          <w:iCs/>
        </w:rPr>
        <w:t>А</w:t>
      </w:r>
      <w:r>
        <w:rPr/>
        <w:t xml:space="preserve"> до 185 мм</w:t>
      </w:r>
      <w:r>
        <w:rPr>
          <w:vertAlign w:val="superscript"/>
        </w:rPr>
        <w:t>2</w:t>
      </w:r>
      <w:r>
        <w:rPr/>
        <w:t xml:space="preserve"> - при отношении </w:t>
      </w:r>
      <w:r>
        <w:rPr>
          <w:i/>
          <w:iCs/>
        </w:rPr>
        <w:t>А</w:t>
      </w:r>
      <w:r>
        <w:rPr/>
        <w:t>/</w:t>
      </w:r>
      <w:r>
        <w:rPr>
          <w:i/>
          <w:iCs/>
        </w:rPr>
        <w:t>С</w:t>
      </w:r>
      <w:r>
        <w:rPr/>
        <w:t xml:space="preserve"> от 6,0 до 6,25;</w:t>
      </w:r>
    </w:p>
    <w:p>
      <w:pPr>
        <w:pStyle w:val="Normal"/>
        <w:ind w:firstLine="283"/>
        <w:jc w:val="both"/>
        <w:rPr/>
      </w:pPr>
      <w:r>
        <w:rPr>
          <w:i/>
          <w:iCs/>
        </w:rPr>
        <w:t>А</w:t>
      </w:r>
      <w:r>
        <w:rPr/>
        <w:t xml:space="preserve"> от 240 мм</w:t>
      </w:r>
      <w:r>
        <w:rPr>
          <w:vertAlign w:val="superscript"/>
        </w:rPr>
        <w:t>2</w:t>
      </w:r>
      <w:r>
        <w:rPr/>
        <w:t xml:space="preserve"> и более - при отношении </w:t>
      </w:r>
      <w:r>
        <w:rPr>
          <w:i/>
          <w:iCs/>
        </w:rPr>
        <w:t>А</w:t>
      </w:r>
      <w:r>
        <w:rPr/>
        <w:t>/</w:t>
      </w:r>
      <w:r>
        <w:rPr>
          <w:i/>
          <w:iCs/>
        </w:rPr>
        <w:t>С</w:t>
      </w:r>
      <w:r>
        <w:rPr/>
        <w:t xml:space="preserve"> более 7,71;</w:t>
      </w:r>
    </w:p>
    <w:p>
      <w:pPr>
        <w:pStyle w:val="Normal"/>
        <w:ind w:firstLine="283"/>
        <w:jc w:val="both"/>
        <w:rPr/>
      </w:pPr>
      <w:r>
        <w:rPr/>
        <w:t>2) районы с толщиной стенки гололеда более 25 мм:</w:t>
      </w:r>
    </w:p>
    <w:p>
      <w:pPr>
        <w:pStyle w:val="Normal"/>
        <w:ind w:firstLine="283"/>
        <w:jc w:val="both"/>
        <w:rPr/>
      </w:pPr>
      <w:r>
        <w:rPr>
          <w:i/>
          <w:iCs/>
        </w:rPr>
        <w:t>А</w:t>
      </w:r>
      <w:r>
        <w:rPr/>
        <w:t xml:space="preserve"> до 95 мм</w:t>
      </w:r>
      <w:r>
        <w:rPr>
          <w:vertAlign w:val="superscript"/>
        </w:rPr>
        <w:t>2</w:t>
      </w:r>
      <w:r>
        <w:rPr/>
        <w:t xml:space="preserve"> - при отношении </w:t>
      </w:r>
      <w:r>
        <w:rPr>
          <w:i/>
          <w:iCs/>
        </w:rPr>
        <w:t>А</w:t>
      </w:r>
      <w:r>
        <w:rPr/>
        <w:t>/</w:t>
      </w:r>
      <w:r>
        <w:rPr>
          <w:i/>
          <w:iCs/>
        </w:rPr>
        <w:t>С</w:t>
      </w:r>
      <w:r>
        <w:rPr/>
        <w:t xml:space="preserve"> 6,0;</w:t>
      </w:r>
    </w:p>
    <w:p>
      <w:pPr>
        <w:pStyle w:val="Normal"/>
        <w:ind w:firstLine="283"/>
        <w:jc w:val="both"/>
        <w:rPr/>
      </w:pPr>
      <w:r>
        <w:rPr>
          <w:i/>
          <w:iCs/>
        </w:rPr>
        <w:t>А</w:t>
      </w:r>
      <w:r>
        <w:rPr/>
        <w:t xml:space="preserve"> от 120 до 400 мм</w:t>
      </w:r>
      <w:r>
        <w:rPr>
          <w:vertAlign w:val="superscript"/>
        </w:rPr>
        <w:t>2</w:t>
      </w:r>
      <w:r>
        <w:rPr/>
        <w:t xml:space="preserve"> - при отношении </w:t>
      </w:r>
      <w:r>
        <w:rPr>
          <w:i/>
          <w:iCs/>
        </w:rPr>
        <w:t>А</w:t>
      </w:r>
      <w:r>
        <w:rPr/>
        <w:t>/</w:t>
      </w:r>
      <w:r>
        <w:rPr>
          <w:i/>
          <w:iCs/>
        </w:rPr>
        <w:t>С</w:t>
      </w:r>
      <w:r>
        <w:rPr/>
        <w:t xml:space="preserve"> от 4,29 до 4,39;</w:t>
      </w:r>
    </w:p>
    <w:p>
      <w:pPr>
        <w:pStyle w:val="Normal"/>
        <w:ind w:firstLine="283"/>
        <w:jc w:val="both"/>
        <w:rPr/>
      </w:pPr>
      <w:r>
        <w:rPr>
          <w:i/>
          <w:iCs/>
        </w:rPr>
        <w:t>А</w:t>
      </w:r>
      <w:r>
        <w:rPr/>
        <w:t xml:space="preserve"> от 450 мм</w:t>
      </w:r>
      <w:r>
        <w:rPr>
          <w:vertAlign w:val="superscript"/>
        </w:rPr>
        <w:t>2</w:t>
      </w:r>
      <w:r>
        <w:rPr/>
        <w:t xml:space="preserve"> и более - при отношении </w:t>
      </w:r>
      <w:r>
        <w:rPr>
          <w:i/>
          <w:iCs/>
        </w:rPr>
        <w:t>А</w:t>
      </w:r>
      <w:r>
        <w:rPr/>
        <w:t>/</w:t>
      </w:r>
      <w:r>
        <w:rPr>
          <w:i/>
          <w:iCs/>
        </w:rPr>
        <w:t>С</w:t>
      </w:r>
      <w:r>
        <w:rPr/>
        <w:t xml:space="preserve"> от 7,71 до 8,04;</w:t>
      </w:r>
    </w:p>
    <w:p>
      <w:pPr>
        <w:pStyle w:val="Normal"/>
        <w:ind w:firstLine="283"/>
        <w:jc w:val="both"/>
        <w:rPr/>
      </w:pPr>
      <w:r>
        <w:rPr/>
        <w:t xml:space="preserve">3) на больших переходах с пролетами более 700 м - отношение </w:t>
      </w:r>
      <w:r>
        <w:rPr>
          <w:i/>
          <w:iCs/>
        </w:rPr>
        <w:t>А</w:t>
      </w:r>
      <w:r>
        <w:rPr/>
        <w:t>/</w:t>
      </w:r>
      <w:r>
        <w:rPr>
          <w:i/>
          <w:iCs/>
        </w:rPr>
        <w:t>С</w:t>
      </w:r>
      <w:r>
        <w:rPr/>
        <w:t xml:space="preserve"> более 1,46.</w:t>
      </w:r>
    </w:p>
    <w:p>
      <w:pPr>
        <w:pStyle w:val="Normal"/>
        <w:ind w:firstLine="283"/>
        <w:jc w:val="both"/>
        <w:rPr/>
      </w:pPr>
      <w:r>
        <w:rPr/>
        <w:t>Выбор марок проводов из других материалов обосновывается расчетами.</w:t>
      </w:r>
    </w:p>
    <w:p>
      <w:pPr>
        <w:pStyle w:val="Normal"/>
        <w:ind w:firstLine="283"/>
        <w:jc w:val="both"/>
        <w:rPr/>
      </w:pPr>
      <w:r>
        <w:rPr/>
        <w:t>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p>
      <w:pPr>
        <w:pStyle w:val="Normal"/>
        <w:ind w:firstLine="283"/>
        <w:jc w:val="both"/>
        <w:rPr/>
      </w:pPr>
      <w:r>
        <w:rPr/>
        <w:t>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p>
      <w:pPr>
        <w:pStyle w:val="Normal"/>
        <w:ind w:firstLine="283"/>
        <w:jc w:val="both"/>
        <w:rPr/>
      </w:pPr>
      <w:r>
        <w:rPr/>
        <w:t>2.5.81.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p>
    <w:p>
      <w:pPr>
        <w:pStyle w:val="Normal"/>
        <w:ind w:firstLine="283"/>
        <w:jc w:val="both"/>
        <w:rPr/>
      </w:pPr>
      <w:r>
        <w:rPr/>
        <w:t>По условиям короны и радиопомех при отметках до 1000 м над уровнем моря рекомендуется применять на ВЛ провода диаметром не менее указанных в табл. 2.5.6.</w:t>
      </w:r>
    </w:p>
    <w:p>
      <w:pPr>
        <w:pStyle w:val="Normal"/>
        <w:ind w:firstLine="283"/>
        <w:jc w:val="both"/>
        <w:rPr/>
      </w:pPr>
      <w:r>
        <w:rPr/>
        <w:t>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p>
      <w:pPr>
        <w:pStyle w:val="Normal"/>
        <w:ind w:firstLine="283"/>
        <w:jc w:val="both"/>
        <w:rPr/>
      </w:pPr>
      <w:r>
        <w:rPr/>
        <w:t>2.5.82. Сечение грозозащитного троса, выбранное по механическому расчету, должно быть проверено на термическую стойкость в соответствии с указаниями гл. 1.4 и 2.5.193, 2.5.195, 2.5.196.</w:t>
      </w:r>
    </w:p>
    <w:p>
      <w:pPr>
        <w:pStyle w:val="Normal"/>
        <w:spacing w:before="120" w:after="120"/>
        <w:jc w:val="right"/>
        <w:rPr/>
      </w:pPr>
      <w:r>
        <w:rPr>
          <w:spacing w:val="40"/>
        </w:rPr>
        <w:t>Таблица</w:t>
      </w:r>
      <w:r>
        <w:rPr/>
        <w:t xml:space="preserve"> 2.5.6</w:t>
      </w:r>
    </w:p>
    <w:p>
      <w:pPr>
        <w:pStyle w:val="Normal"/>
        <w:spacing w:before="0" w:after="120"/>
        <w:jc w:val="center"/>
        <w:rPr>
          <w:b/>
          <w:b/>
          <w:bCs/>
        </w:rPr>
      </w:pPr>
      <w:r>
        <w:rPr>
          <w:b/>
          <w:bCs/>
        </w:rPr>
        <w:t>Минимальный диаметр проводов ВЛ по условиям короны и радиопомех, мм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08"/>
        <w:gridCol w:w="3234"/>
        <w:gridCol w:w="3713"/>
      </w:tblGrid>
      <w:tr>
        <w:trPr>
          <w:tblHeader w:val="true"/>
        </w:trPr>
        <w:tc>
          <w:tcPr>
            <w:tcW w:w="240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6947"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Фаза с проводами</w:t>
            </w:r>
          </w:p>
        </w:tc>
      </w:tr>
      <w:tr>
        <w:trPr>
          <w:tblHeader w:val="true"/>
        </w:trPr>
        <w:tc>
          <w:tcPr>
            <w:tcW w:w="240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23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одиночными</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два и более</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110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11,4 (</w:t>
            </w:r>
            <w:r>
              <w:rPr>
                <w:i/>
                <w:iCs/>
              </w:rPr>
              <w:t>АС</w:t>
            </w:r>
            <w:r>
              <w:rPr/>
              <w:t xml:space="preserve"> 70/11)</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150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15,2 (</w:t>
            </w:r>
            <w:r>
              <w:rPr>
                <w:i/>
                <w:iCs/>
              </w:rPr>
              <w:t>АС</w:t>
            </w:r>
            <w:r>
              <w:rPr/>
              <w:t xml:space="preserve"> 120/19)</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220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21,6 (</w:t>
            </w:r>
            <w:r>
              <w:rPr>
                <w:i/>
                <w:iCs/>
              </w:rPr>
              <w:t>АС</w:t>
            </w:r>
            <w:r>
              <w:rPr/>
              <w:t xml:space="preserve"> 240/32)</w:t>
            </w:r>
          </w:p>
          <w:p>
            <w:pPr>
              <w:pStyle w:val="Normal"/>
              <w:jc w:val="center"/>
              <w:rPr/>
            </w:pPr>
            <w:r>
              <w:rPr/>
              <w:t>24,0 (</w:t>
            </w:r>
            <w:r>
              <w:rPr>
                <w:i/>
                <w:iCs/>
              </w:rPr>
              <w:t>АС</w:t>
            </w:r>
            <w:r>
              <w:rPr/>
              <w:t xml:space="preserve"> 300/39)</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330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33,2 (</w:t>
            </w:r>
            <w:r>
              <w:rPr>
                <w:i/>
                <w:iCs/>
              </w:rPr>
              <w:t>АС</w:t>
            </w:r>
            <w:r>
              <w:rPr/>
              <w:t xml:space="preserve"> 600/72)</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2×21,6 (2×</w:t>
            </w:r>
            <w:r>
              <w:rPr>
                <w:i/>
                <w:iCs/>
              </w:rPr>
              <w:t>АС</w:t>
            </w:r>
            <w:r>
              <w:rPr/>
              <w:t xml:space="preserve"> 240/32)</w:t>
            </w:r>
          </w:p>
          <w:p>
            <w:pPr>
              <w:pStyle w:val="Normal"/>
              <w:jc w:val="center"/>
              <w:rPr/>
            </w:pPr>
            <w:r>
              <w:rPr/>
              <w:t>3×15,2 (3×</w:t>
            </w:r>
            <w:r>
              <w:rPr>
                <w:i/>
                <w:iCs/>
              </w:rPr>
              <w:t>АС</w:t>
            </w:r>
            <w:r>
              <w:rPr/>
              <w:t xml:space="preserve"> 120/19)</w:t>
            </w:r>
          </w:p>
          <w:p>
            <w:pPr>
              <w:pStyle w:val="Normal"/>
              <w:jc w:val="center"/>
              <w:rPr/>
            </w:pPr>
            <w:r>
              <w:rPr/>
              <w:t>3×17,1 (3×</w:t>
            </w:r>
            <w:r>
              <w:rPr>
                <w:i/>
                <w:iCs/>
              </w:rPr>
              <w:t>АС</w:t>
            </w:r>
            <w:r>
              <w:rPr/>
              <w:t xml:space="preserve"> 150/24)</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500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2×36,2 (2×</w:t>
            </w:r>
            <w:r>
              <w:rPr>
                <w:i/>
                <w:iCs/>
              </w:rPr>
              <w:t>АС</w:t>
            </w:r>
            <w:r>
              <w:rPr/>
              <w:t xml:space="preserve"> 700/86)</w:t>
            </w:r>
          </w:p>
          <w:p>
            <w:pPr>
              <w:pStyle w:val="Normal"/>
              <w:jc w:val="center"/>
              <w:rPr/>
            </w:pPr>
            <w:r>
              <w:rPr/>
              <w:t>3×24,0 (3×</w:t>
            </w:r>
            <w:r>
              <w:rPr>
                <w:i/>
                <w:iCs/>
              </w:rPr>
              <w:t>АС</w:t>
            </w:r>
            <w:r>
              <w:rPr/>
              <w:t xml:space="preserve"> 300/39)</w:t>
            </w:r>
          </w:p>
          <w:p>
            <w:pPr>
              <w:pStyle w:val="Normal"/>
              <w:jc w:val="center"/>
              <w:rPr/>
            </w:pPr>
            <w:r>
              <w:rPr/>
              <w:t>4×18,8 (4×</w:t>
            </w:r>
            <w:r>
              <w:rPr>
                <w:i/>
                <w:iCs/>
              </w:rPr>
              <w:t>АС</w:t>
            </w:r>
            <w:r>
              <w:rPr/>
              <w:t xml:space="preserve"> 185/29)</w:t>
            </w:r>
          </w:p>
        </w:tc>
      </w:tr>
      <w:tr>
        <w:trPr/>
        <w:tc>
          <w:tcPr>
            <w:tcW w:w="2408" w:type="dxa"/>
            <w:tcBorders>
              <w:left w:val="single" w:sz="8" w:space="0" w:color="000000"/>
              <w:bottom w:val="single" w:sz="8" w:space="0" w:color="000000"/>
              <w:insideH w:val="single" w:sz="8" w:space="0" w:color="000000"/>
            </w:tcBorders>
            <w:shd w:fill="FFFFFF" w:val="clear"/>
          </w:tcPr>
          <w:p>
            <w:pPr>
              <w:pStyle w:val="Normal"/>
              <w:jc w:val="center"/>
              <w:rPr/>
            </w:pPr>
            <w:r>
              <w:rPr/>
              <w:t>750</w:t>
            </w:r>
          </w:p>
        </w:tc>
        <w:tc>
          <w:tcPr>
            <w:tcW w:w="32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371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4×29,1 (4×</w:t>
            </w:r>
            <w:r>
              <w:rPr>
                <w:i/>
                <w:iCs/>
              </w:rPr>
              <w:t>АС</w:t>
            </w:r>
            <w:r>
              <w:rPr/>
              <w:t xml:space="preserve"> 400/93)</w:t>
            </w:r>
          </w:p>
          <w:p>
            <w:pPr>
              <w:pStyle w:val="Normal"/>
              <w:jc w:val="center"/>
              <w:rPr/>
            </w:pPr>
            <w:r>
              <w:rPr/>
              <w:t>51×21,6 (5×</w:t>
            </w:r>
            <w:r>
              <w:rPr>
                <w:i/>
                <w:iCs/>
              </w:rPr>
              <w:t>АС</w:t>
            </w:r>
            <w:r>
              <w:rPr/>
              <w:t xml:space="preserve"> 240/32)</w:t>
            </w:r>
          </w:p>
        </w:tc>
      </w:tr>
    </w:tbl>
    <w:p>
      <w:pPr>
        <w:pStyle w:val="Normal"/>
        <w:spacing w:before="120" w:after="0"/>
        <w:ind w:firstLine="283"/>
        <w:jc w:val="both"/>
        <w:rPr/>
      </w:pPr>
      <w:r>
        <w:rPr>
          <w:spacing w:val="40"/>
        </w:rPr>
        <w:t>Примечания</w:t>
      </w:r>
      <w:r>
        <w:rPr/>
        <w:t>: 1. 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p>
      <w:pPr>
        <w:pStyle w:val="Normal"/>
        <w:ind w:firstLine="283"/>
        <w:jc w:val="both"/>
        <w:rPr/>
      </w:pPr>
      <w:r>
        <w:rPr/>
        <w:t>2. Для ВЛ 330 кВ минимальный диаметр провода 15,2 мм (три провода в фазе) относится к одноцепным опорам.</w:t>
      </w:r>
    </w:p>
    <w:p>
      <w:pPr>
        <w:pStyle w:val="Normal"/>
        <w:spacing w:before="120" w:after="0"/>
        <w:ind w:firstLine="283"/>
        <w:jc w:val="both"/>
        <w:rPr/>
      </w:pPr>
      <w:r>
        <w:rPr/>
        <w:t>2.5.83. Провода и тросы должны рассчитываться на расчетные нагрузки нормального, аварийного и монтажного режимов ВЛ для сочетаний условий, указанных в 2.5.71 - 2.5.74.</w:t>
      </w:r>
    </w:p>
    <w:p>
      <w:pPr>
        <w:pStyle w:val="Normal"/>
        <w:ind w:firstLine="283"/>
        <w:jc w:val="both"/>
        <w:rPr/>
      </w:pPr>
      <w:r>
        <w:rPr/>
        <w:t>При этом напряжения в проводах (тросах), не должны превышать допустимых значений, приведенных в табл. 2.5.7.</w:t>
      </w:r>
    </w:p>
    <w:p>
      <w:pPr>
        <w:pStyle w:val="Normal"/>
        <w:ind w:firstLine="283"/>
        <w:jc w:val="both"/>
        <w:rPr/>
      </w:pPr>
      <w:r>
        <w:rPr/>
        <w:t>Указанные в табл. 2.5.7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p>
      <w:pPr>
        <w:pStyle w:val="Normal"/>
        <w:spacing w:before="120" w:after="120"/>
        <w:jc w:val="right"/>
        <w:rPr/>
      </w:pPr>
      <w:r>
        <w:rPr>
          <w:spacing w:val="40"/>
        </w:rPr>
        <w:t>Таблица</w:t>
      </w:r>
      <w:r>
        <w:rPr/>
        <w:t xml:space="preserve"> 2.5.7</w:t>
      </w:r>
    </w:p>
    <w:p>
      <w:pPr>
        <w:pStyle w:val="Normal"/>
        <w:spacing w:before="0" w:after="120"/>
        <w:jc w:val="center"/>
        <w:rPr>
          <w:b/>
          <w:b/>
          <w:bCs/>
        </w:rPr>
      </w:pPr>
      <w:r>
        <w:rPr>
          <w:b/>
          <w:bCs/>
        </w:rPr>
        <w:t>Допустимое механическое напряжение в проводах и тросах ВЛ напряжением выше 1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221"/>
        <w:gridCol w:w="1679"/>
        <w:gridCol w:w="1556"/>
        <w:gridCol w:w="1322"/>
        <w:gridCol w:w="1577"/>
      </w:tblGrid>
      <w:tr>
        <w:trPr>
          <w:tblHeader w:val="true"/>
        </w:trPr>
        <w:tc>
          <w:tcPr>
            <w:tcW w:w="322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Провода и тросы</w:t>
            </w:r>
          </w:p>
        </w:tc>
        <w:tc>
          <w:tcPr>
            <w:tcW w:w="3235" w:type="dxa"/>
            <w:gridSpan w:val="2"/>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Допустимое напряжение, % предела прочности при растяжении</w:t>
            </w:r>
          </w:p>
        </w:tc>
        <w:tc>
          <w:tcPr>
            <w:tcW w:w="2899"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Допустимое напряжение, Н/мм</w:t>
            </w:r>
            <w:r>
              <w:rPr>
                <w:vertAlign w:val="superscript"/>
              </w:rPr>
              <w:t>2</w:t>
            </w:r>
          </w:p>
        </w:tc>
      </w:tr>
      <w:tr>
        <w:trPr>
          <w:tblHeader w:val="true"/>
        </w:trPr>
        <w:tc>
          <w:tcPr>
            <w:tcW w:w="322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79"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при наибольшей нагрузке и низшей температуре</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при среднегодовой температуре</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при наибольшей нагрузке и низшей температуре</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при среднегодовой температуре</w:t>
            </w:r>
          </w:p>
        </w:tc>
      </w:tr>
      <w:tr>
        <w:trPr/>
        <w:tc>
          <w:tcPr>
            <w:tcW w:w="3221" w:type="dxa"/>
            <w:tcBorders>
              <w:left w:val="single" w:sz="8" w:space="0" w:color="000000"/>
            </w:tcBorders>
            <w:shd w:fill="FFFFFF" w:val="clear"/>
          </w:tcPr>
          <w:p>
            <w:pPr>
              <w:pStyle w:val="Normal"/>
              <w:jc w:val="both"/>
              <w:rPr/>
            </w:pPr>
            <w:r>
              <w:rPr/>
              <w:t>Алюминиевые с площадью поперечного сечения, мм</w:t>
            </w:r>
            <w:r>
              <w:rPr>
                <w:vertAlign w:val="superscript"/>
              </w:rPr>
              <w:t>2</w:t>
            </w:r>
            <w:r>
              <w:rPr/>
              <w:t>:</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70 - 95</w:t>
            </w:r>
          </w:p>
        </w:tc>
        <w:tc>
          <w:tcPr>
            <w:tcW w:w="1679" w:type="dxa"/>
            <w:tcBorders>
              <w:left w:val="single" w:sz="8" w:space="0" w:color="000000"/>
            </w:tcBorders>
            <w:shd w:fill="FFFFFF" w:val="clear"/>
            <w:tcMar>
              <w:left w:w="0" w:type="dxa"/>
              <w:right w:w="0" w:type="dxa"/>
            </w:tcMar>
          </w:tcPr>
          <w:p>
            <w:pPr>
              <w:pStyle w:val="Normal"/>
              <w:jc w:val="center"/>
              <w:rPr/>
            </w:pPr>
            <w:r>
              <w:rPr/>
              <w:t>35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56</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48</w:t>
            </w:r>
          </w:p>
        </w:tc>
      </w:tr>
      <w:tr>
        <w:trPr/>
        <w:tc>
          <w:tcPr>
            <w:tcW w:w="3221" w:type="dxa"/>
            <w:tcBorders>
              <w:left w:val="single" w:sz="8" w:space="0" w:color="000000"/>
            </w:tcBorders>
            <w:shd w:fill="FFFFFF" w:val="clear"/>
          </w:tcPr>
          <w:p>
            <w:pPr>
              <w:pStyle w:val="Normal"/>
              <w:jc w:val="both"/>
              <w:rPr/>
            </w:pPr>
            <w:r>
              <w:rPr/>
              <w:t>120 - 240</w:t>
            </w:r>
          </w:p>
        </w:tc>
        <w:tc>
          <w:tcPr>
            <w:tcW w:w="1679" w:type="dxa"/>
            <w:tcBorders>
              <w:left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64</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51</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300 - 750</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72</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51</w:t>
            </w:r>
          </w:p>
        </w:tc>
      </w:tr>
      <w:tr>
        <w:trPr/>
        <w:tc>
          <w:tcPr>
            <w:tcW w:w="3221" w:type="dxa"/>
            <w:tcBorders>
              <w:left w:val="single" w:sz="8" w:space="0" w:color="000000"/>
            </w:tcBorders>
            <w:shd w:fill="FFFFFF" w:val="clear"/>
          </w:tcPr>
          <w:p>
            <w:pPr>
              <w:pStyle w:val="Normal"/>
              <w:jc w:val="both"/>
              <w:rPr/>
            </w:pPr>
            <w:r>
              <w:rPr/>
              <w:t>Из нетермообработанного алюминиевого сплава площадью поперечного сечения, мм</w:t>
            </w:r>
            <w:r>
              <w:rPr>
                <w:vertAlign w:val="superscript"/>
              </w:rPr>
              <w:t>2</w:t>
            </w:r>
            <w:r>
              <w:rPr/>
              <w:t>:</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50 - 95</w:t>
            </w:r>
          </w:p>
        </w:tc>
        <w:tc>
          <w:tcPr>
            <w:tcW w:w="1679" w:type="dxa"/>
            <w:tcBorders>
              <w:left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83</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120 - 185</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94</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62</w:t>
            </w:r>
          </w:p>
        </w:tc>
      </w:tr>
      <w:tr>
        <w:trPr/>
        <w:tc>
          <w:tcPr>
            <w:tcW w:w="3221" w:type="dxa"/>
            <w:tcBorders>
              <w:left w:val="single" w:sz="8" w:space="0" w:color="000000"/>
            </w:tcBorders>
            <w:shd w:fill="FFFFFF" w:val="clear"/>
          </w:tcPr>
          <w:p>
            <w:pPr>
              <w:pStyle w:val="Normal"/>
              <w:jc w:val="both"/>
              <w:rPr/>
            </w:pPr>
            <w:r>
              <w:rPr/>
              <w:t>Из термообработанного алюминиевого сплава площадью поперечного сечения, мм</w:t>
            </w:r>
            <w:r>
              <w:rPr>
                <w:vertAlign w:val="superscript"/>
              </w:rPr>
              <w:t>2</w:t>
            </w:r>
            <w:r>
              <w:rPr/>
              <w:t>:</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50 - 95</w:t>
            </w:r>
          </w:p>
        </w:tc>
        <w:tc>
          <w:tcPr>
            <w:tcW w:w="1679" w:type="dxa"/>
            <w:tcBorders>
              <w:left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114</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120 - 185</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128</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85</w:t>
            </w:r>
          </w:p>
        </w:tc>
      </w:tr>
      <w:tr>
        <w:trPr/>
        <w:tc>
          <w:tcPr>
            <w:tcW w:w="3221" w:type="dxa"/>
            <w:tcBorders>
              <w:left w:val="single" w:sz="8" w:space="0" w:color="000000"/>
            </w:tcBorders>
            <w:shd w:fill="FFFFFF" w:val="clear"/>
          </w:tcPr>
          <w:p>
            <w:pPr>
              <w:pStyle w:val="Normal"/>
              <w:jc w:val="both"/>
              <w:rPr/>
            </w:pPr>
            <w:r>
              <w:rPr/>
              <w:t>Сталеалюминиевые площадью поперечного сечения алюминиевой части провода, мм</w:t>
            </w:r>
            <w:r>
              <w:rPr>
                <w:vertAlign w:val="superscript"/>
              </w:rPr>
              <w:t>2</w:t>
            </w:r>
            <w:r>
              <w:rPr/>
              <w:t>:</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 xml:space="preserve">400 и 500 при </w:t>
            </w:r>
            <w:r>
              <w:rPr>
                <w:i/>
                <w:iCs/>
              </w:rPr>
              <w:t>А</w:t>
            </w:r>
            <w:r>
              <w:rPr/>
              <w:t>/</w:t>
            </w:r>
            <w:r>
              <w:rPr>
                <w:i/>
                <w:iCs/>
              </w:rPr>
              <w:t>С</w:t>
            </w:r>
            <w:r>
              <w:rPr/>
              <w:t xml:space="preserve"> 20,27 и 18,87</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104</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69</w:t>
            </w:r>
          </w:p>
        </w:tc>
      </w:tr>
      <w:tr>
        <w:trPr/>
        <w:tc>
          <w:tcPr>
            <w:tcW w:w="3221" w:type="dxa"/>
            <w:tcBorders>
              <w:left w:val="single" w:sz="8" w:space="0" w:color="000000"/>
            </w:tcBorders>
            <w:shd w:fill="FFFFFF" w:val="clear"/>
          </w:tcPr>
          <w:p>
            <w:pPr>
              <w:pStyle w:val="Normal"/>
              <w:jc w:val="both"/>
              <w:rPr/>
            </w:pPr>
            <w:r>
              <w:rPr/>
              <w:t xml:space="preserve">400, 500 и 1000 при </w:t>
            </w:r>
            <w:r>
              <w:rPr>
                <w:i/>
                <w:iCs/>
              </w:rPr>
              <w:t>А</w:t>
            </w:r>
            <w:r>
              <w:rPr/>
              <w:t>/</w:t>
            </w:r>
            <w:r>
              <w:rPr>
                <w:i/>
                <w:iCs/>
              </w:rPr>
              <w:t>С</w:t>
            </w:r>
            <w:r>
              <w:rPr/>
              <w:t xml:space="preserve"> 17,91, 18,08 и 17,85</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96</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w:t>
            </w:r>
          </w:p>
        </w:tc>
      </w:tr>
      <w:tr>
        <w:trPr/>
        <w:tc>
          <w:tcPr>
            <w:tcW w:w="3221" w:type="dxa"/>
            <w:tcBorders>
              <w:left w:val="single" w:sz="8" w:space="0" w:color="000000"/>
            </w:tcBorders>
            <w:shd w:fill="FFFFFF" w:val="clear"/>
          </w:tcPr>
          <w:p>
            <w:pPr>
              <w:pStyle w:val="Normal"/>
              <w:jc w:val="both"/>
              <w:rPr/>
            </w:pPr>
            <w:r>
              <w:rPr/>
              <w:t xml:space="preserve">330 при </w:t>
            </w:r>
            <w:r>
              <w:rPr>
                <w:i/>
                <w:iCs/>
              </w:rPr>
              <w:t>А</w:t>
            </w:r>
            <w:r>
              <w:rPr/>
              <w:t>/</w:t>
            </w:r>
            <w:r>
              <w:rPr>
                <w:i/>
                <w:iCs/>
              </w:rPr>
              <w:t>С</w:t>
            </w:r>
            <w:r>
              <w:rPr/>
              <w:t xml:space="preserve"> 11,51</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117</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78</w:t>
            </w:r>
          </w:p>
        </w:tc>
      </w:tr>
      <w:tr>
        <w:trPr/>
        <w:tc>
          <w:tcPr>
            <w:tcW w:w="3221" w:type="dxa"/>
            <w:tcBorders>
              <w:left w:val="single" w:sz="8" w:space="0" w:color="000000"/>
            </w:tcBorders>
            <w:shd w:fill="FFFFFF" w:val="clear"/>
          </w:tcPr>
          <w:p>
            <w:pPr>
              <w:pStyle w:val="Normal"/>
              <w:jc w:val="both"/>
              <w:rPr/>
            </w:pPr>
            <w:r>
              <w:rPr/>
              <w:t xml:space="preserve">150 - 800 при </w:t>
            </w:r>
            <w:r>
              <w:rPr>
                <w:i/>
                <w:iCs/>
              </w:rPr>
              <w:t>А</w:t>
            </w:r>
            <w:r>
              <w:rPr/>
              <w:t>/</w:t>
            </w:r>
            <w:r>
              <w:rPr>
                <w:i/>
                <w:iCs/>
              </w:rPr>
              <w:t>С</w:t>
            </w:r>
            <w:r>
              <w:rPr/>
              <w:t xml:space="preserve"> от 7,8 до 8,04</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126</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84</w:t>
            </w:r>
          </w:p>
        </w:tc>
      </w:tr>
      <w:tr>
        <w:trPr/>
        <w:tc>
          <w:tcPr>
            <w:tcW w:w="3221" w:type="dxa"/>
            <w:tcBorders>
              <w:left w:val="single" w:sz="8" w:space="0" w:color="000000"/>
            </w:tcBorders>
            <w:shd w:fill="FFFFFF" w:val="clear"/>
          </w:tcPr>
          <w:p>
            <w:pPr>
              <w:pStyle w:val="Normal"/>
              <w:jc w:val="both"/>
              <w:rPr/>
            </w:pPr>
            <w:r>
              <w:rPr/>
              <w:t xml:space="preserve">35 - 95при </w:t>
            </w:r>
            <w:r>
              <w:rPr>
                <w:i/>
                <w:iCs/>
              </w:rPr>
              <w:t>А</w:t>
            </w:r>
            <w:r>
              <w:rPr/>
              <w:t>/</w:t>
            </w:r>
            <w:r>
              <w:rPr>
                <w:i/>
                <w:iCs/>
              </w:rPr>
              <w:t>С</w:t>
            </w:r>
            <w:r>
              <w:rPr/>
              <w:t xml:space="preserve"> от 5,99 до 6,02</w:t>
            </w:r>
          </w:p>
        </w:tc>
        <w:tc>
          <w:tcPr>
            <w:tcW w:w="1679" w:type="dxa"/>
            <w:tcBorders>
              <w:left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120</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90</w:t>
            </w:r>
          </w:p>
        </w:tc>
      </w:tr>
      <w:tr>
        <w:trPr/>
        <w:tc>
          <w:tcPr>
            <w:tcW w:w="3221" w:type="dxa"/>
            <w:tcBorders>
              <w:left w:val="single" w:sz="8" w:space="0" w:color="000000"/>
            </w:tcBorders>
            <w:shd w:fill="FFFFFF" w:val="clear"/>
          </w:tcPr>
          <w:p>
            <w:pPr>
              <w:pStyle w:val="Normal"/>
              <w:jc w:val="both"/>
              <w:rPr/>
            </w:pPr>
            <w:r>
              <w:rPr/>
              <w:t xml:space="preserve">185 и более при </w:t>
            </w:r>
            <w:r>
              <w:rPr>
                <w:i/>
                <w:iCs/>
              </w:rPr>
              <w:t>А</w:t>
            </w:r>
            <w:r>
              <w:rPr/>
              <w:t>/</w:t>
            </w:r>
            <w:r>
              <w:rPr>
                <w:i/>
                <w:iCs/>
              </w:rPr>
              <w:t>С</w:t>
            </w:r>
            <w:r>
              <w:rPr/>
              <w:t xml:space="preserve"> от 6,14 до 6,28</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135</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90</w:t>
            </w:r>
          </w:p>
        </w:tc>
      </w:tr>
      <w:tr>
        <w:trPr/>
        <w:tc>
          <w:tcPr>
            <w:tcW w:w="3221" w:type="dxa"/>
            <w:tcBorders>
              <w:left w:val="single" w:sz="8" w:space="0" w:color="000000"/>
            </w:tcBorders>
            <w:shd w:fill="FFFFFF" w:val="clear"/>
          </w:tcPr>
          <w:p>
            <w:pPr>
              <w:pStyle w:val="Normal"/>
              <w:jc w:val="both"/>
              <w:rPr/>
            </w:pPr>
            <w:r>
              <w:rPr/>
              <w:t xml:space="preserve">120 и более при </w:t>
            </w:r>
            <w:r>
              <w:rPr>
                <w:i/>
                <w:iCs/>
              </w:rPr>
              <w:t>А</w:t>
            </w:r>
            <w:r>
              <w:rPr/>
              <w:t>/</w:t>
            </w:r>
            <w:r>
              <w:rPr>
                <w:i/>
                <w:iCs/>
              </w:rPr>
              <w:t>С</w:t>
            </w:r>
            <w:r>
              <w:rPr/>
              <w:t xml:space="preserve"> от</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153</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102</w:t>
            </w:r>
          </w:p>
        </w:tc>
      </w:tr>
      <w:tr>
        <w:trPr/>
        <w:tc>
          <w:tcPr>
            <w:tcW w:w="3221" w:type="dxa"/>
            <w:tcBorders>
              <w:left w:val="single" w:sz="8" w:space="0" w:color="000000"/>
            </w:tcBorders>
            <w:shd w:fill="FFFFFF" w:val="clear"/>
          </w:tcPr>
          <w:p>
            <w:pPr>
              <w:pStyle w:val="Normal"/>
              <w:jc w:val="both"/>
              <w:rPr/>
            </w:pPr>
            <w:r>
              <w:rPr/>
              <w:t>4,29 до 4,38</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 xml:space="preserve">500 при </w:t>
            </w:r>
            <w:r>
              <w:rPr>
                <w:i/>
                <w:iCs/>
              </w:rPr>
              <w:t>А</w:t>
            </w:r>
            <w:r>
              <w:rPr/>
              <w:t>/</w:t>
            </w:r>
            <w:r>
              <w:rPr>
                <w:i/>
                <w:iCs/>
              </w:rPr>
              <w:t>С</w:t>
            </w:r>
            <w:r>
              <w:rPr/>
              <w:t xml:space="preserve"> 2,43</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205</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137</w:t>
            </w:r>
          </w:p>
        </w:tc>
      </w:tr>
      <w:tr>
        <w:trPr/>
        <w:tc>
          <w:tcPr>
            <w:tcW w:w="3221" w:type="dxa"/>
            <w:tcBorders>
              <w:left w:val="single" w:sz="8" w:space="0" w:color="000000"/>
            </w:tcBorders>
            <w:shd w:fill="FFFFFF" w:val="clear"/>
          </w:tcPr>
          <w:p>
            <w:pPr>
              <w:pStyle w:val="Normal"/>
              <w:jc w:val="both"/>
              <w:rPr/>
            </w:pPr>
            <w:r>
              <w:rPr/>
              <w:t xml:space="preserve">185, 300 и 500 при </w:t>
            </w:r>
            <w:r>
              <w:rPr>
                <w:i/>
                <w:iCs/>
              </w:rPr>
              <w:t>А</w:t>
            </w:r>
            <w:r>
              <w:rPr/>
              <w:t>/</w:t>
            </w:r>
            <w:r>
              <w:rPr>
                <w:i/>
                <w:iCs/>
              </w:rPr>
              <w:t>С</w:t>
            </w:r>
            <w:r>
              <w:rPr/>
              <w:t xml:space="preserve"> 1,46</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254</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169</w:t>
            </w:r>
          </w:p>
        </w:tc>
      </w:tr>
      <w:tr>
        <w:trPr/>
        <w:tc>
          <w:tcPr>
            <w:tcW w:w="3221" w:type="dxa"/>
            <w:tcBorders>
              <w:left w:val="single" w:sz="8" w:space="0" w:color="000000"/>
            </w:tcBorders>
            <w:shd w:fill="FFFFFF" w:val="clear"/>
          </w:tcPr>
          <w:p>
            <w:pPr>
              <w:pStyle w:val="Normal"/>
              <w:jc w:val="both"/>
              <w:rPr/>
            </w:pPr>
            <w:r>
              <w:rPr/>
              <w:t xml:space="preserve">70 при </w:t>
            </w:r>
            <w:r>
              <w:rPr>
                <w:i/>
                <w:iCs/>
              </w:rPr>
              <w:t>А</w:t>
            </w:r>
            <w:r>
              <w:rPr/>
              <w:t>/</w:t>
            </w:r>
            <w:r>
              <w:rPr>
                <w:i/>
                <w:iCs/>
              </w:rPr>
              <w:t>С</w:t>
            </w:r>
            <w:r>
              <w:rPr/>
              <w:t xml:space="preserve"> 0,95</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272</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204</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 xml:space="preserve">95 при </w:t>
            </w:r>
            <w:r>
              <w:rPr>
                <w:i/>
                <w:iCs/>
              </w:rPr>
              <w:t>А</w:t>
            </w:r>
            <w:r>
              <w:rPr/>
              <w:t>/</w:t>
            </w:r>
            <w:r>
              <w:rPr>
                <w:i/>
                <w:iCs/>
              </w:rPr>
              <w:t>С</w:t>
            </w:r>
            <w:r>
              <w:rPr/>
              <w:t xml:space="preserve"> 0,65</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308</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231</w:t>
            </w:r>
          </w:p>
        </w:tc>
      </w:tr>
      <w:tr>
        <w:trPr/>
        <w:tc>
          <w:tcPr>
            <w:tcW w:w="3221" w:type="dxa"/>
            <w:tcBorders>
              <w:left w:val="single" w:sz="8" w:space="0" w:color="000000"/>
            </w:tcBorders>
            <w:shd w:fill="FFFFFF" w:val="clear"/>
          </w:tcPr>
          <w:p>
            <w:pPr>
              <w:pStyle w:val="Normal"/>
              <w:jc w:val="both"/>
              <w:rPr/>
            </w:pPr>
            <w:r>
              <w:rPr/>
              <w:t>Из термообработанного алюминиевого сплава со стальным сердечником площадью поперечного сечения алюминиевого сплава, мм</w:t>
            </w:r>
            <w:r>
              <w:rPr>
                <w:vertAlign w:val="superscript"/>
              </w:rPr>
              <w:t>2</w:t>
            </w:r>
            <w:r>
              <w:rPr/>
              <w:t>:</w:t>
            </w:r>
          </w:p>
        </w:tc>
        <w:tc>
          <w:tcPr>
            <w:tcW w:w="1679" w:type="dxa"/>
            <w:tcBorders>
              <w:left w:val="single" w:sz="8" w:space="0" w:color="000000"/>
            </w:tcBorders>
            <w:shd w:fill="FFFFFF" w:val="clear"/>
            <w:tcMar>
              <w:left w:w="0" w:type="dxa"/>
              <w:right w:w="0" w:type="dxa"/>
            </w:tcMar>
          </w:tcPr>
          <w:p>
            <w:pPr>
              <w:pStyle w:val="Normal"/>
              <w:snapToGrid w:val="false"/>
              <w:rPr/>
            </w:pPr>
            <w:r>
              <w:rPr/>
            </w:r>
          </w:p>
        </w:tc>
        <w:tc>
          <w:tcPr>
            <w:tcW w:w="1556" w:type="dxa"/>
            <w:tcBorders>
              <w:left w:val="single" w:sz="8" w:space="0" w:color="000000"/>
            </w:tcBorders>
            <w:shd w:fill="FFFFFF" w:val="clear"/>
            <w:tcMar>
              <w:left w:w="0" w:type="dxa"/>
              <w:right w:w="0" w:type="dxa"/>
            </w:tcMar>
          </w:tcPr>
          <w:p>
            <w:pPr>
              <w:pStyle w:val="Normal"/>
              <w:snapToGrid w:val="false"/>
              <w:rPr/>
            </w:pPr>
            <w:r>
              <w:rPr/>
            </w:r>
          </w:p>
        </w:tc>
        <w:tc>
          <w:tcPr>
            <w:tcW w:w="1322" w:type="dxa"/>
            <w:tcBorders>
              <w:left w:val="single" w:sz="8" w:space="0" w:color="000000"/>
            </w:tcBorders>
            <w:shd w:fill="FFFFFF" w:val="clear"/>
            <w:tcMar>
              <w:left w:w="0" w:type="dxa"/>
              <w:right w:w="0" w:type="dxa"/>
            </w:tcMar>
          </w:tcPr>
          <w:p>
            <w:pPr>
              <w:pStyle w:val="Normal"/>
              <w:snapToGrid w:val="false"/>
              <w:rPr/>
            </w:pPr>
            <w:r>
              <w:rPr/>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221" w:type="dxa"/>
            <w:tcBorders>
              <w:left w:val="single" w:sz="8" w:space="0" w:color="000000"/>
            </w:tcBorders>
            <w:shd w:fill="FFFFFF" w:val="clear"/>
          </w:tcPr>
          <w:p>
            <w:pPr>
              <w:pStyle w:val="Normal"/>
              <w:jc w:val="both"/>
              <w:rPr/>
            </w:pPr>
            <w:r>
              <w:rPr/>
              <w:t xml:space="preserve">500 при </w:t>
            </w:r>
            <w:r>
              <w:rPr>
                <w:i/>
                <w:iCs/>
              </w:rPr>
              <w:t>А</w:t>
            </w:r>
            <w:r>
              <w:rPr/>
              <w:t>/</w:t>
            </w:r>
            <w:r>
              <w:rPr>
                <w:i/>
                <w:iCs/>
              </w:rPr>
              <w:t>С</w:t>
            </w:r>
            <w:r>
              <w:rPr/>
              <w:t xml:space="preserve"> 1,46</w:t>
            </w:r>
          </w:p>
        </w:tc>
        <w:tc>
          <w:tcPr>
            <w:tcW w:w="1679" w:type="dxa"/>
            <w:tcBorders>
              <w:left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tcBorders>
            <w:shd w:fill="FFFFFF" w:val="clear"/>
            <w:tcMar>
              <w:left w:w="0" w:type="dxa"/>
              <w:right w:w="0" w:type="dxa"/>
            </w:tcMar>
          </w:tcPr>
          <w:p>
            <w:pPr>
              <w:pStyle w:val="Normal"/>
              <w:jc w:val="center"/>
              <w:rPr/>
            </w:pPr>
            <w:r>
              <w:rPr/>
              <w:t>292</w:t>
            </w:r>
          </w:p>
        </w:tc>
        <w:tc>
          <w:tcPr>
            <w:tcW w:w="157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195</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 xml:space="preserve">70 при </w:t>
            </w:r>
            <w:r>
              <w:rPr>
                <w:i/>
                <w:iCs/>
              </w:rPr>
              <w:t>А</w:t>
            </w:r>
            <w:r>
              <w:rPr/>
              <w:t>/</w:t>
            </w:r>
            <w:r>
              <w:rPr>
                <w:i/>
                <w:iCs/>
              </w:rPr>
              <w:t>С</w:t>
            </w:r>
            <w:r>
              <w:rPr/>
              <w:t xml:space="preserve"> 1,71</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279</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186</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Стальные провода</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310</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216</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Стальные канаты</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2899"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По стандартам и техническим условиям</w:t>
            </w:r>
          </w:p>
        </w:tc>
      </w:tr>
      <w:tr>
        <w:trPr/>
        <w:tc>
          <w:tcPr>
            <w:tcW w:w="3221" w:type="dxa"/>
            <w:tcBorders>
              <w:left w:val="single" w:sz="8" w:space="0" w:color="000000"/>
              <w:bottom w:val="single" w:sz="8" w:space="0" w:color="000000"/>
              <w:insideH w:val="single" w:sz="8" w:space="0" w:color="000000"/>
            </w:tcBorders>
            <w:shd w:fill="FFFFFF" w:val="clear"/>
          </w:tcPr>
          <w:p>
            <w:pPr>
              <w:pStyle w:val="Normal"/>
              <w:jc w:val="both"/>
              <w:rPr/>
            </w:pPr>
            <w:r>
              <w:rPr/>
              <w:t>Защищенные провода</w:t>
            </w:r>
          </w:p>
        </w:tc>
        <w:tc>
          <w:tcPr>
            <w:tcW w:w="1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5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2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114</w:t>
            </w:r>
          </w:p>
        </w:tc>
        <w:tc>
          <w:tcPr>
            <w:tcW w:w="157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85</w:t>
            </w:r>
          </w:p>
        </w:tc>
      </w:tr>
    </w:tbl>
    <w:p>
      <w:pPr>
        <w:pStyle w:val="Normal"/>
        <w:spacing w:before="120" w:after="0"/>
        <w:ind w:firstLine="283"/>
        <w:jc w:val="both"/>
        <w:rPr/>
      </w:pPr>
      <w:r>
        <w:rPr/>
        <w:t>2.5.84. Расчет монтажных напряжений и стрел провеса проводов (тросов) должен выполняться с учетом остаточных деформаций (вытяжки).</w:t>
      </w:r>
    </w:p>
    <w:p>
      <w:pPr>
        <w:pStyle w:val="Normal"/>
        <w:jc w:val="both"/>
        <w:rPr/>
      </w:pPr>
      <w:r>
        <w:rPr/>
        <w:t>В механических расчетах проводов (тросов) следует принимать физико-механические характеристики, приведенные в табл. 2.5.8.</w:t>
      </w:r>
    </w:p>
    <w:p>
      <w:pPr>
        <w:pStyle w:val="Normal"/>
        <w:spacing w:before="120" w:after="120"/>
        <w:jc w:val="right"/>
        <w:rPr/>
      </w:pPr>
      <w:r>
        <w:rPr>
          <w:spacing w:val="40"/>
        </w:rPr>
        <w:t>Таблица</w:t>
      </w:r>
      <w:r>
        <w:rPr/>
        <w:t xml:space="preserve"> 2.5.8</w:t>
      </w:r>
    </w:p>
    <w:p>
      <w:pPr>
        <w:pStyle w:val="Normal"/>
        <w:spacing w:before="0" w:after="120"/>
        <w:jc w:val="center"/>
        <w:rPr>
          <w:b/>
          <w:b/>
          <w:bCs/>
        </w:rPr>
      </w:pPr>
      <w:r>
        <w:rPr>
          <w:b/>
          <w:bCs/>
        </w:rPr>
        <w:t>Физико-механические характеристики проводов и тросов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844"/>
        <w:gridCol w:w="1154"/>
        <w:gridCol w:w="1983"/>
        <w:gridCol w:w="2374"/>
      </w:tblGrid>
      <w:tr>
        <w:trPr>
          <w:tblHeader w:val="true"/>
        </w:trPr>
        <w:tc>
          <w:tcPr>
            <w:tcW w:w="3844"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Провода и тросы</w:t>
            </w:r>
          </w:p>
        </w:tc>
        <w:tc>
          <w:tcPr>
            <w:tcW w:w="1154"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Модуль упругости, 10</w:t>
            </w:r>
            <w:r>
              <w:rPr>
                <w:vertAlign w:val="superscript"/>
              </w:rPr>
              <w:t>4</w:t>
            </w:r>
            <w:r>
              <w:rPr/>
              <w:t xml:space="preserve"> Н/мм</w:t>
            </w:r>
            <w:r>
              <w:rPr>
                <w:vertAlign w:val="superscript"/>
              </w:rPr>
              <w:t>2</w:t>
            </w:r>
          </w:p>
        </w:tc>
        <w:tc>
          <w:tcPr>
            <w:tcW w:w="198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Температурный коэффициент линейного удлинения, 10</w:t>
            </w:r>
            <w:r>
              <w:rPr>
                <w:vertAlign w:val="superscript"/>
              </w:rPr>
              <w:t>-6</w:t>
            </w:r>
            <w:r>
              <w:rPr/>
              <w:t xml:space="preserve"> град</w:t>
            </w:r>
            <w:r>
              <w:rPr>
                <w:vertAlign w:val="superscript"/>
              </w:rPr>
              <w:t>-1</w:t>
            </w:r>
          </w:p>
        </w:tc>
        <w:tc>
          <w:tcPr>
            <w:tcW w:w="237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 xml:space="preserve">Предел прочности при растяжении </w:t>
            </w:r>
            <w:r>
              <w:rPr/>
              <w:drawing>
                <wp:inline distT="0" distB="0" distL="0" distR="0">
                  <wp:extent cx="190500" cy="246380"/>
                  <wp:effectExtent l="0" t="0" r="0" b="0"/>
                  <wp:docPr id="64"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 descr=""/>
                          <pic:cNvPicPr>
                            <a:picLocks noChangeAspect="1" noChangeArrowheads="1"/>
                          </pic:cNvPicPr>
                        </pic:nvPicPr>
                        <pic:blipFill>
                          <a:blip r:embed="rId72"/>
                          <a:srcRect l="-189" t="-145" r="-189" b="-145"/>
                          <a:stretch>
                            <a:fillRect/>
                          </a:stretch>
                        </pic:blipFill>
                        <pic:spPr bwMode="auto">
                          <a:xfrm>
                            <a:off x="0" y="0"/>
                            <a:ext cx="190500" cy="246380"/>
                          </a:xfrm>
                          <a:prstGeom prst="rect">
                            <a:avLst/>
                          </a:prstGeom>
                        </pic:spPr>
                      </pic:pic>
                    </a:graphicData>
                  </a:graphic>
                </wp:inline>
              </w:drawing>
            </w:r>
            <w:r>
              <w:rPr/>
              <w:t>, Н/мм</w:t>
            </w:r>
            <w:r>
              <w:rPr>
                <w:vertAlign w:val="superscript"/>
              </w:rPr>
              <w:t>2</w:t>
            </w:r>
            <w:r>
              <w:rPr/>
              <w:t>, провода и троса в целом</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Алюминиевые</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6,30</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16</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 xml:space="preserve">Сталеалюминиевые с отношением площадей поперечных сечений </w:t>
            </w:r>
            <w:r>
              <w:rPr>
                <w:i/>
                <w:iCs/>
              </w:rPr>
              <w:t>А</w:t>
            </w:r>
            <w:r>
              <w:rPr/>
              <w:t>/</w:t>
            </w:r>
            <w:r>
              <w:rPr>
                <w:i/>
                <w:iCs/>
              </w:rPr>
              <w:t>С</w:t>
            </w:r>
            <w:r>
              <w:rPr/>
              <w:t>:</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20,27</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7,04</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21,5</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210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16,87 - 17,82</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7,04</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21,2</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220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11,51</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7,45</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240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8,04 - 7,67</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7,70</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19,8</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270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6,28 - 5,99</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8,25</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19,2</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290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4,36 - 4,28</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8,90</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18,3</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340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2,43</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10,3</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16,8</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460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1,46</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11,4</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15,5</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565</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0,95</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13,4</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14,5</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690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0,65</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13,4</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14,5</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780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Из нетермообработанного алюминиевого сплава</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6,3</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208</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Из термообработанного алюминиевого сплава</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6,3</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285</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 xml:space="preserve">Из термообработанного алюминиевого сплава со стальным сердечником с отношением площадей поперечных сечений </w:t>
            </w:r>
            <w:r>
              <w:rPr>
                <w:i/>
                <w:iCs/>
              </w:rPr>
              <w:t>А</w:t>
            </w:r>
            <w:r>
              <w:rPr/>
              <w:t>/</w:t>
            </w:r>
            <w:r>
              <w:rPr>
                <w:i/>
                <w:iCs/>
              </w:rPr>
              <w:t>С</w:t>
            </w:r>
            <w:r>
              <w:rPr/>
              <w:t>:</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1,71</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11,65</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15,83</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1,46</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15,5</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650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Стальные канаты</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18,5</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1200</w:t>
            </w:r>
            <w:r>
              <w:rPr>
                <w:vertAlign w:val="superscript"/>
              </w:rPr>
              <w:t>**</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Стальные провода</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3844" w:type="dxa"/>
            <w:tcBorders>
              <w:left w:val="single" w:sz="8" w:space="0" w:color="000000"/>
              <w:bottom w:val="single" w:sz="8" w:space="0" w:color="000000"/>
              <w:insideH w:val="single" w:sz="8" w:space="0" w:color="000000"/>
            </w:tcBorders>
            <w:shd w:fill="FFFFFF" w:val="clear"/>
          </w:tcPr>
          <w:p>
            <w:pPr>
              <w:pStyle w:val="Normal"/>
              <w:jc w:val="both"/>
              <w:rPr/>
            </w:pPr>
            <w:r>
              <w:rPr/>
              <w:t>Защищенные провода</w:t>
            </w:r>
          </w:p>
        </w:tc>
        <w:tc>
          <w:tcPr>
            <w:tcW w:w="11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6,25</w:t>
            </w:r>
          </w:p>
        </w:tc>
        <w:tc>
          <w:tcPr>
            <w:tcW w:w="19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w:t>
            </w:r>
          </w:p>
        </w:tc>
        <w:tc>
          <w:tcPr>
            <w:tcW w:w="237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294</w:t>
            </w:r>
          </w:p>
        </w:tc>
      </w:tr>
    </w:tbl>
    <w:p>
      <w:pPr>
        <w:pStyle w:val="Normal"/>
        <w:spacing w:before="120" w:after="0"/>
        <w:ind w:firstLine="283"/>
        <w:jc w:val="both"/>
        <w:rPr/>
      </w:pPr>
      <w:r>
        <w:rPr>
          <w:vertAlign w:val="superscript"/>
        </w:rPr>
        <w:t>*</w:t>
      </w:r>
      <w:r>
        <w:rPr/>
        <w:t xml:space="preserve"> Предел прочности при растяжении </w:t>
      </w:r>
      <w:r>
        <w:rPr>
          <w:i/>
          <w:iCs/>
        </w:rPr>
        <w:t>σ</w:t>
      </w:r>
      <w:r>
        <w:rPr>
          <w:i/>
          <w:iCs/>
          <w:vertAlign w:val="subscript"/>
        </w:rPr>
        <w:t>р</w:t>
      </w:r>
      <w:r>
        <w:rPr/>
        <w:t xml:space="preserve"> определяется отношением разрывного усилия провода (троса) </w:t>
      </w:r>
      <w:r>
        <w:rPr>
          <w:i/>
          <w:iCs/>
        </w:rPr>
        <w:t>Р</w:t>
      </w:r>
      <w:r>
        <w:rPr>
          <w:i/>
          <w:iCs/>
          <w:vertAlign w:val="subscript"/>
        </w:rPr>
        <w:t>р</w:t>
      </w:r>
      <w:r>
        <w:rPr/>
        <w:t xml:space="preserve">, нормированного государственным стандартом или техническими условиями, к площади поперечного сечения </w:t>
      </w:r>
      <w:r>
        <w:rPr>
          <w:i/>
          <w:iCs/>
        </w:rPr>
        <w:t>s</w:t>
      </w:r>
      <w:r>
        <w:rPr>
          <w:i/>
          <w:iCs/>
          <w:vertAlign w:val="subscript"/>
        </w:rPr>
        <w:t>п</w:t>
      </w:r>
      <w:r>
        <w:rPr/>
        <w:t xml:space="preserve">, </w:t>
      </w:r>
      <w:r>
        <w:rPr>
          <w:i/>
          <w:iCs/>
        </w:rPr>
        <w:t>σ</w:t>
      </w:r>
      <w:r>
        <w:rPr>
          <w:i/>
          <w:iCs/>
          <w:vertAlign w:val="subscript"/>
        </w:rPr>
        <w:t>р</w:t>
      </w:r>
      <w:r>
        <w:rPr/>
        <w:t xml:space="preserve"> = </w:t>
      </w:r>
      <w:r>
        <w:rPr>
          <w:i/>
          <w:iCs/>
        </w:rPr>
        <w:t>Р</w:t>
      </w:r>
      <w:r>
        <w:rPr>
          <w:i/>
          <w:iCs/>
          <w:vertAlign w:val="subscript"/>
        </w:rPr>
        <w:t>р</w:t>
      </w:r>
      <w:r>
        <w:rPr/>
        <w:t>/</w:t>
      </w:r>
      <w:r>
        <w:rPr>
          <w:i/>
          <w:iCs/>
        </w:rPr>
        <w:t>s</w:t>
      </w:r>
      <w:r>
        <w:rPr>
          <w:i/>
          <w:iCs/>
          <w:vertAlign w:val="subscript"/>
        </w:rPr>
        <w:t>п</w:t>
      </w:r>
      <w:r>
        <w:rPr/>
        <w:t xml:space="preserve">. Для сталеалюминиевых проводов </w:t>
      </w:r>
      <w:r>
        <w:rPr>
          <w:i/>
          <w:iCs/>
        </w:rPr>
        <w:t>s</w:t>
      </w:r>
      <w:r>
        <w:rPr>
          <w:i/>
          <w:iCs/>
          <w:vertAlign w:val="subscript"/>
        </w:rPr>
        <w:t>п</w:t>
      </w:r>
      <w:r>
        <w:rPr/>
        <w:t xml:space="preserve"> = </w:t>
      </w:r>
      <w:r>
        <w:rPr>
          <w:i/>
          <w:iCs/>
        </w:rPr>
        <w:t>s</w:t>
      </w:r>
      <w:r>
        <w:rPr>
          <w:i/>
          <w:iCs/>
          <w:vertAlign w:val="subscript"/>
        </w:rPr>
        <w:t>A</w:t>
      </w:r>
      <w:r>
        <w:rPr/>
        <w:t xml:space="preserve"> + </w:t>
      </w:r>
      <w:r>
        <w:rPr>
          <w:i/>
          <w:iCs/>
        </w:rPr>
        <w:t>s</w:t>
      </w:r>
      <w:r>
        <w:rPr>
          <w:i/>
          <w:iCs/>
          <w:vertAlign w:val="subscript"/>
        </w:rPr>
        <w:t>C</w:t>
      </w:r>
      <w:r>
        <w:rPr/>
        <w:t>.</w:t>
      </w:r>
    </w:p>
    <w:p>
      <w:pPr>
        <w:pStyle w:val="Normal"/>
        <w:ind w:firstLine="283"/>
        <w:jc w:val="both"/>
        <w:rPr/>
      </w:pPr>
      <w:r>
        <w:rPr>
          <w:vertAlign w:val="superscript"/>
        </w:rPr>
        <w:t>**</w:t>
      </w:r>
      <w:r>
        <w:rPr/>
        <w:t xml:space="preserve"> Принимается по соответствующим стандартам, но не менее 1200 Н/мм</w:t>
      </w:r>
      <w:r>
        <w:rPr>
          <w:vertAlign w:val="superscript"/>
        </w:rPr>
        <w:t>2</w:t>
      </w:r>
      <w:r>
        <w:rPr/>
        <w:t>.</w:t>
      </w:r>
    </w:p>
    <w:p>
      <w:pPr>
        <w:pStyle w:val="Normal"/>
        <w:spacing w:before="120" w:after="0"/>
        <w:ind w:firstLine="283"/>
        <w:jc w:val="both"/>
        <w:rPr/>
      </w:pPr>
      <w:r>
        <w:rPr/>
        <w:t>2.5.85. Защищать от вибрации следует:</w:t>
      </w:r>
    </w:p>
    <w:p>
      <w:pPr>
        <w:pStyle w:val="Normal"/>
        <w:ind w:firstLine="283"/>
        <w:jc w:val="both"/>
        <w:rPr/>
      </w:pPr>
      <w:r>
        <w:rPr/>
        <w:t>одиночные провода и тросы при длинах пролетов, превышающих значения, приведенные в табл. 2.5.9, и механических напряжениях при среднегодовой температуре, превышающих приведенные в табл. 2.5.10;</w:t>
      </w:r>
    </w:p>
    <w:p>
      <w:pPr>
        <w:pStyle w:val="Normal"/>
        <w:spacing w:before="120" w:after="120"/>
        <w:jc w:val="right"/>
        <w:rPr/>
      </w:pPr>
      <w:r>
        <w:rPr>
          <w:spacing w:val="40"/>
        </w:rPr>
        <w:t>Таблица</w:t>
      </w:r>
      <w:r>
        <w:rPr/>
        <w:t xml:space="preserve"> 2.5.9</w:t>
      </w:r>
    </w:p>
    <w:p>
      <w:pPr>
        <w:pStyle w:val="Normal"/>
        <w:spacing w:before="0" w:after="120"/>
        <w:jc w:val="center"/>
        <w:rPr>
          <w:b/>
          <w:b/>
          <w:bCs/>
        </w:rPr>
      </w:pPr>
      <w:r>
        <w:rPr>
          <w:b/>
          <w:bCs/>
        </w:rPr>
        <w:t>Длины пролетов для одиночных проводов и тросов, требующих защиты от вибрации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292"/>
        <w:gridCol w:w="1275"/>
        <w:gridCol w:w="1384"/>
        <w:gridCol w:w="1404"/>
      </w:tblGrid>
      <w:tr>
        <w:trPr>
          <w:tblHeader w:val="true"/>
        </w:trPr>
        <w:tc>
          <w:tcPr>
            <w:tcW w:w="529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Провода, тросы</w:t>
            </w:r>
          </w:p>
        </w:tc>
        <w:tc>
          <w:tcPr>
            <w:tcW w:w="1275"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Площадь сечения</w:t>
            </w:r>
            <w:r>
              <w:rPr>
                <w:vertAlign w:val="superscript"/>
              </w:rPr>
              <w:t>*</w:t>
            </w:r>
            <w:r>
              <w:rPr/>
              <w:t>, мм</w:t>
            </w:r>
            <w:r>
              <w:rPr>
                <w:vertAlign w:val="superscript"/>
              </w:rPr>
              <w:t>2</w:t>
            </w:r>
          </w:p>
        </w:tc>
        <w:tc>
          <w:tcPr>
            <w:tcW w:w="2788"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Пролеты длиной более, м, в местности типа</w:t>
            </w:r>
          </w:p>
        </w:tc>
      </w:tr>
      <w:tr>
        <w:trPr>
          <w:tblHeader w:val="true"/>
        </w:trPr>
        <w:tc>
          <w:tcPr>
            <w:tcW w:w="529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75"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384" w:type="dxa"/>
            <w:tcBorders>
              <w:left w:val="single" w:sz="8" w:space="0" w:color="000000"/>
              <w:bottom w:val="single" w:sz="8" w:space="0" w:color="000000"/>
              <w:insideH w:val="single" w:sz="8" w:space="0" w:color="000000"/>
            </w:tcBorders>
            <w:shd w:fill="FFFFFF" w:val="clear"/>
            <w:vAlign w:val="center"/>
          </w:tcPr>
          <w:p>
            <w:pPr>
              <w:pStyle w:val="Normal"/>
              <w:jc w:val="center"/>
              <w:rPr>
                <w:i/>
                <w:i/>
                <w:iCs/>
              </w:rPr>
            </w:pPr>
            <w:r>
              <w:rPr>
                <w:i/>
                <w:iCs/>
              </w:rPr>
              <w:t>А</w:t>
            </w:r>
          </w:p>
        </w:tc>
        <w:tc>
          <w:tcPr>
            <w:tcW w:w="140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i/>
                <w:i/>
                <w:iCs/>
              </w:rPr>
            </w:pPr>
            <w:r>
              <w:rPr>
                <w:i/>
                <w:iCs/>
              </w:rPr>
              <w:t>В</w:t>
            </w:r>
          </w:p>
        </w:tc>
      </w:tr>
      <w:tr>
        <w:trPr/>
        <w:tc>
          <w:tcPr>
            <w:tcW w:w="5292" w:type="dxa"/>
            <w:vMerge w:val="restart"/>
            <w:tcBorders>
              <w:left w:val="single" w:sz="8" w:space="0" w:color="000000"/>
              <w:bottom w:val="single" w:sz="8" w:space="0" w:color="000000"/>
              <w:insideH w:val="single" w:sz="8" w:space="0" w:color="000000"/>
            </w:tcBorders>
            <w:shd w:fill="FFFFFF" w:val="clear"/>
          </w:tcPr>
          <w:p>
            <w:pPr>
              <w:pStyle w:val="Normal"/>
              <w:jc w:val="both"/>
              <w:rPr/>
            </w:pPr>
            <w:r>
              <w:rPr/>
              <w:t>Сталеалюминиевые, из термообработанного алюминиевого сплава со стальным сердечником и без него</w:t>
            </w:r>
            <w:r>
              <w:rPr>
                <w:vertAlign w:val="superscript"/>
              </w:rPr>
              <w:t>*</w:t>
            </w:r>
          </w:p>
        </w:tc>
        <w:tc>
          <w:tcPr>
            <w:tcW w:w="1275" w:type="dxa"/>
            <w:tcBorders>
              <w:left w:val="single" w:sz="8" w:space="0" w:color="000000"/>
            </w:tcBorders>
            <w:shd w:fill="FFFFFF" w:val="clear"/>
            <w:tcMar>
              <w:left w:w="0" w:type="dxa"/>
              <w:right w:w="0" w:type="dxa"/>
            </w:tcMar>
          </w:tcPr>
          <w:p>
            <w:pPr>
              <w:pStyle w:val="Normal"/>
              <w:jc w:val="center"/>
              <w:rPr/>
            </w:pPr>
            <w:r>
              <w:rPr/>
              <w:t>35 - 95</w:t>
            </w:r>
          </w:p>
        </w:tc>
        <w:tc>
          <w:tcPr>
            <w:tcW w:w="1384" w:type="dxa"/>
            <w:tcBorders>
              <w:left w:val="single" w:sz="8" w:space="0" w:color="000000"/>
            </w:tcBorders>
            <w:shd w:fill="FFFFFF" w:val="clear"/>
            <w:tcMar>
              <w:left w:w="0" w:type="dxa"/>
              <w:right w:w="0" w:type="dxa"/>
            </w:tcMar>
          </w:tcPr>
          <w:p>
            <w:pPr>
              <w:pStyle w:val="Normal"/>
              <w:jc w:val="center"/>
              <w:rPr/>
            </w:pPr>
            <w:r>
              <w:rPr/>
              <w:t>80</w:t>
            </w:r>
          </w:p>
        </w:tc>
        <w:tc>
          <w:tcPr>
            <w:tcW w:w="140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95</w:t>
            </w:r>
          </w:p>
        </w:tc>
      </w:tr>
      <w:tr>
        <w:trPr/>
        <w:tc>
          <w:tcPr>
            <w:tcW w:w="529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5" w:type="dxa"/>
            <w:tcBorders>
              <w:left w:val="single" w:sz="8" w:space="0" w:color="000000"/>
            </w:tcBorders>
            <w:shd w:fill="FFFFFF" w:val="clear"/>
          </w:tcPr>
          <w:p>
            <w:pPr>
              <w:pStyle w:val="Normal"/>
              <w:jc w:val="center"/>
              <w:rPr/>
            </w:pPr>
            <w:r>
              <w:rPr/>
              <w:t>120 - 240</w:t>
            </w:r>
          </w:p>
        </w:tc>
        <w:tc>
          <w:tcPr>
            <w:tcW w:w="1384" w:type="dxa"/>
            <w:tcBorders>
              <w:left w:val="single" w:sz="8" w:space="0" w:color="000000"/>
            </w:tcBorders>
            <w:shd w:fill="FFFFFF" w:val="clear"/>
            <w:tcMar>
              <w:left w:w="0" w:type="dxa"/>
              <w:right w:w="0" w:type="dxa"/>
            </w:tcMar>
          </w:tcPr>
          <w:p>
            <w:pPr>
              <w:pStyle w:val="Normal"/>
              <w:jc w:val="center"/>
              <w:rPr/>
            </w:pPr>
            <w:r>
              <w:rPr/>
              <w:t>100</w:t>
            </w:r>
          </w:p>
        </w:tc>
        <w:tc>
          <w:tcPr>
            <w:tcW w:w="140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120</w:t>
            </w:r>
          </w:p>
        </w:tc>
      </w:tr>
      <w:tr>
        <w:trPr/>
        <w:tc>
          <w:tcPr>
            <w:tcW w:w="529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5" w:type="dxa"/>
            <w:tcBorders>
              <w:left w:val="single" w:sz="8" w:space="0" w:color="000000"/>
              <w:bottom w:val="single" w:sz="8" w:space="0" w:color="000000"/>
              <w:insideH w:val="single" w:sz="8" w:space="0" w:color="000000"/>
            </w:tcBorders>
            <w:shd w:fill="FFFFFF" w:val="clear"/>
          </w:tcPr>
          <w:p>
            <w:pPr>
              <w:pStyle w:val="Normal"/>
              <w:jc w:val="center"/>
              <w:rPr/>
            </w:pPr>
            <w:r>
              <w:rPr/>
              <w:t>300 и более</w:t>
            </w:r>
          </w:p>
        </w:tc>
        <w:tc>
          <w:tcPr>
            <w:tcW w:w="13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140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145</w:t>
            </w:r>
          </w:p>
        </w:tc>
      </w:tr>
      <w:tr>
        <w:trPr/>
        <w:tc>
          <w:tcPr>
            <w:tcW w:w="5292" w:type="dxa"/>
            <w:vMerge w:val="restart"/>
            <w:tcBorders>
              <w:left w:val="single" w:sz="8" w:space="0" w:color="000000"/>
              <w:bottom w:val="single" w:sz="8" w:space="0" w:color="000000"/>
              <w:insideH w:val="single" w:sz="8" w:space="0" w:color="000000"/>
            </w:tcBorders>
            <w:shd w:fill="FFFFFF" w:val="clear"/>
          </w:tcPr>
          <w:p>
            <w:pPr>
              <w:pStyle w:val="Normal"/>
              <w:jc w:val="both"/>
              <w:rPr/>
            </w:pPr>
            <w:r>
              <w:rPr/>
              <w:t>Алюминиевые и из нетермообработанного алюминиевого сплава</w:t>
            </w:r>
          </w:p>
        </w:tc>
        <w:tc>
          <w:tcPr>
            <w:tcW w:w="1275" w:type="dxa"/>
            <w:tcBorders>
              <w:left w:val="single" w:sz="8" w:space="0" w:color="000000"/>
            </w:tcBorders>
            <w:shd w:fill="FFFFFF" w:val="clear"/>
            <w:tcMar>
              <w:left w:w="0" w:type="dxa"/>
              <w:right w:w="0" w:type="dxa"/>
            </w:tcMar>
          </w:tcPr>
          <w:p>
            <w:pPr>
              <w:pStyle w:val="Normal"/>
              <w:jc w:val="center"/>
              <w:rPr/>
            </w:pPr>
            <w:r>
              <w:rPr/>
              <w:t>50 - 95</w:t>
            </w:r>
          </w:p>
        </w:tc>
        <w:tc>
          <w:tcPr>
            <w:tcW w:w="1384" w:type="dxa"/>
            <w:tcBorders>
              <w:left w:val="single" w:sz="8" w:space="0" w:color="000000"/>
            </w:tcBorders>
            <w:shd w:fill="FFFFFF" w:val="clear"/>
            <w:tcMar>
              <w:left w:w="0" w:type="dxa"/>
              <w:right w:w="0" w:type="dxa"/>
            </w:tcMar>
          </w:tcPr>
          <w:p>
            <w:pPr>
              <w:pStyle w:val="Normal"/>
              <w:jc w:val="center"/>
              <w:rPr/>
            </w:pPr>
            <w:r>
              <w:rPr/>
              <w:t>60</w:t>
            </w:r>
          </w:p>
        </w:tc>
        <w:tc>
          <w:tcPr>
            <w:tcW w:w="140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95</w:t>
            </w:r>
          </w:p>
        </w:tc>
      </w:tr>
      <w:tr>
        <w:trPr/>
        <w:tc>
          <w:tcPr>
            <w:tcW w:w="529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5" w:type="dxa"/>
            <w:tcBorders>
              <w:left w:val="single" w:sz="8" w:space="0" w:color="000000"/>
            </w:tcBorders>
            <w:shd w:fill="FFFFFF" w:val="clear"/>
          </w:tcPr>
          <w:p>
            <w:pPr>
              <w:pStyle w:val="Normal"/>
              <w:jc w:val="center"/>
              <w:rPr/>
            </w:pPr>
            <w:r>
              <w:rPr/>
              <w:t>120 - 240</w:t>
            </w:r>
          </w:p>
        </w:tc>
        <w:tc>
          <w:tcPr>
            <w:tcW w:w="1384" w:type="dxa"/>
            <w:tcBorders>
              <w:left w:val="single" w:sz="8" w:space="0" w:color="000000"/>
            </w:tcBorders>
            <w:shd w:fill="FFFFFF" w:val="clear"/>
            <w:tcMar>
              <w:left w:w="0" w:type="dxa"/>
              <w:right w:w="0" w:type="dxa"/>
            </w:tcMar>
          </w:tcPr>
          <w:p>
            <w:pPr>
              <w:pStyle w:val="Normal"/>
              <w:jc w:val="center"/>
              <w:rPr/>
            </w:pPr>
            <w:r>
              <w:rPr/>
              <w:t>100</w:t>
            </w:r>
          </w:p>
        </w:tc>
        <w:tc>
          <w:tcPr>
            <w:tcW w:w="140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120</w:t>
            </w:r>
          </w:p>
        </w:tc>
      </w:tr>
      <w:tr>
        <w:trPr/>
        <w:tc>
          <w:tcPr>
            <w:tcW w:w="5292"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5" w:type="dxa"/>
            <w:tcBorders>
              <w:left w:val="single" w:sz="8" w:space="0" w:color="000000"/>
              <w:bottom w:val="single" w:sz="8" w:space="0" w:color="000000"/>
              <w:insideH w:val="single" w:sz="8" w:space="0" w:color="000000"/>
            </w:tcBorders>
            <w:shd w:fill="FFFFFF" w:val="clear"/>
          </w:tcPr>
          <w:p>
            <w:pPr>
              <w:pStyle w:val="Normal"/>
              <w:jc w:val="center"/>
              <w:rPr/>
            </w:pPr>
            <w:r>
              <w:rPr/>
              <w:t>300 и более</w:t>
            </w:r>
          </w:p>
        </w:tc>
        <w:tc>
          <w:tcPr>
            <w:tcW w:w="13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140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145</w:t>
            </w:r>
          </w:p>
        </w:tc>
      </w:tr>
      <w:tr>
        <w:trPr/>
        <w:tc>
          <w:tcPr>
            <w:tcW w:w="5292" w:type="dxa"/>
            <w:tcBorders>
              <w:left w:val="single" w:sz="8" w:space="0" w:color="000000"/>
              <w:bottom w:val="single" w:sz="8" w:space="0" w:color="000000"/>
              <w:insideH w:val="single" w:sz="8" w:space="0" w:color="000000"/>
            </w:tcBorders>
            <w:shd w:fill="FFFFFF" w:val="clear"/>
            <w:vAlign w:val="center"/>
          </w:tcPr>
          <w:p>
            <w:pPr>
              <w:pStyle w:val="Normal"/>
              <w:jc w:val="both"/>
              <w:rPr/>
            </w:pPr>
            <w:r>
              <w:rPr/>
              <w:t>Стальные</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 и более</w:t>
            </w:r>
          </w:p>
        </w:tc>
        <w:tc>
          <w:tcPr>
            <w:tcW w:w="13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140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145</w:t>
            </w:r>
          </w:p>
        </w:tc>
      </w:tr>
    </w:tbl>
    <w:p>
      <w:pPr>
        <w:pStyle w:val="Normal"/>
        <w:spacing w:before="120" w:after="0"/>
        <w:ind w:firstLine="283"/>
        <w:jc w:val="both"/>
        <w:rPr/>
      </w:pPr>
      <w:r>
        <w:rPr>
          <w:vertAlign w:val="superscript"/>
        </w:rPr>
        <w:t>*</w:t>
      </w:r>
      <w:r>
        <w:rPr/>
        <w:t xml:space="preserve"> Приведены площади сечения алюминиевой части.</w:t>
      </w:r>
    </w:p>
    <w:p>
      <w:pPr>
        <w:pStyle w:val="Normal"/>
        <w:spacing w:before="120" w:after="120"/>
        <w:jc w:val="right"/>
        <w:rPr/>
      </w:pPr>
      <w:r>
        <w:rPr>
          <w:spacing w:val="40"/>
        </w:rPr>
        <w:t>Таблица</w:t>
      </w:r>
      <w:r>
        <w:rPr/>
        <w:t xml:space="preserve"> 2.5.10</w:t>
      </w:r>
    </w:p>
    <w:p>
      <w:pPr>
        <w:pStyle w:val="Normal"/>
        <w:spacing w:before="0" w:after="120"/>
        <w:jc w:val="center"/>
        <w:rPr/>
      </w:pPr>
      <w:r>
        <w:rPr>
          <w:b/>
          <w:bCs/>
        </w:rPr>
        <w:t>Механические напряжения, Н/мм</w:t>
      </w:r>
      <w:r>
        <w:rPr>
          <w:b/>
          <w:bCs/>
          <w:vertAlign w:val="superscript"/>
        </w:rPr>
        <w:t>2</w:t>
      </w:r>
      <w:r>
        <w:rPr>
          <w:b/>
          <w:bCs/>
        </w:rPr>
        <w:t xml:space="preserve">, одиночных проводов и тросов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599"/>
        <w:gridCol w:w="1831"/>
        <w:gridCol w:w="1925"/>
      </w:tblGrid>
      <w:tr>
        <w:trPr>
          <w:tblHeader w:val="true"/>
        </w:trPr>
        <w:tc>
          <w:tcPr>
            <w:tcW w:w="559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Провода, тросы</w:t>
            </w:r>
          </w:p>
        </w:tc>
        <w:tc>
          <w:tcPr>
            <w:tcW w:w="3756"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Тип местности</w:t>
            </w:r>
          </w:p>
        </w:tc>
      </w:tr>
      <w:tr>
        <w:trPr>
          <w:tblHeader w:val="true"/>
        </w:trPr>
        <w:tc>
          <w:tcPr>
            <w:tcW w:w="559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83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А</w:t>
            </w:r>
          </w:p>
        </w:tc>
        <w:tc>
          <w:tcPr>
            <w:tcW w:w="19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В</w:t>
            </w:r>
          </w:p>
        </w:tc>
      </w:tr>
      <w:tr>
        <w:trPr/>
        <w:tc>
          <w:tcPr>
            <w:tcW w:w="5599" w:type="dxa"/>
            <w:tcBorders>
              <w:left w:val="single" w:sz="8" w:space="0" w:color="000000"/>
            </w:tcBorders>
            <w:shd w:fill="FFFFFF" w:val="clear"/>
          </w:tcPr>
          <w:p>
            <w:pPr>
              <w:pStyle w:val="Normal"/>
              <w:jc w:val="both"/>
              <w:rPr/>
            </w:pPr>
            <w:r>
              <w:rPr/>
              <w:t xml:space="preserve">Сталеалюминиевые марок </w:t>
            </w:r>
            <w:r>
              <w:rPr>
                <w:i/>
                <w:iCs/>
              </w:rPr>
              <w:t>АС</w:t>
            </w:r>
            <w:r>
              <w:rPr/>
              <w:t xml:space="preserve"> при </w:t>
            </w:r>
            <w:r>
              <w:rPr>
                <w:i/>
                <w:iCs/>
              </w:rPr>
              <w:t>А</w:t>
            </w:r>
            <w:r>
              <w:rPr/>
              <w:t>/</w:t>
            </w:r>
            <w:r>
              <w:rPr>
                <w:i/>
                <w:iCs/>
              </w:rPr>
              <w:t>С</w:t>
            </w:r>
            <w:r>
              <w:rPr/>
              <w:t>:</w:t>
            </w:r>
          </w:p>
        </w:tc>
        <w:tc>
          <w:tcPr>
            <w:tcW w:w="1831" w:type="dxa"/>
            <w:tcBorders>
              <w:left w:val="single" w:sz="8" w:space="0" w:color="000000"/>
            </w:tcBorders>
            <w:shd w:fill="FFFFFF" w:val="clear"/>
            <w:tcMar>
              <w:left w:w="0" w:type="dxa"/>
              <w:right w:w="0" w:type="dxa"/>
            </w:tcMar>
          </w:tcPr>
          <w:p>
            <w:pPr>
              <w:pStyle w:val="Normal"/>
              <w:snapToGrid w:val="false"/>
              <w:rPr/>
            </w:pPr>
            <w:r>
              <w:rPr/>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599" w:type="dxa"/>
            <w:tcBorders>
              <w:left w:val="single" w:sz="8" w:space="0" w:color="000000"/>
            </w:tcBorders>
            <w:shd w:fill="FFFFFF" w:val="clear"/>
          </w:tcPr>
          <w:p>
            <w:pPr>
              <w:pStyle w:val="Normal"/>
              <w:jc w:val="both"/>
              <w:rPr/>
            </w:pPr>
            <w:r>
              <w:rPr/>
              <w:t>0,65 - 0,95</w:t>
            </w:r>
          </w:p>
        </w:tc>
        <w:tc>
          <w:tcPr>
            <w:tcW w:w="1831" w:type="dxa"/>
            <w:tcBorders>
              <w:left w:val="single" w:sz="8" w:space="0" w:color="000000"/>
            </w:tcBorders>
            <w:shd w:fill="FFFFFF" w:val="clear"/>
            <w:tcMar>
              <w:left w:w="0" w:type="dxa"/>
              <w:right w:w="0" w:type="dxa"/>
            </w:tcMar>
          </w:tcPr>
          <w:p>
            <w:pPr>
              <w:pStyle w:val="Normal"/>
              <w:jc w:val="center"/>
              <w:rPr/>
            </w:pPr>
            <w:r>
              <w:rPr/>
              <w:t>Более 70</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Более 85</w:t>
            </w:r>
          </w:p>
        </w:tc>
      </w:tr>
      <w:tr>
        <w:trPr/>
        <w:tc>
          <w:tcPr>
            <w:tcW w:w="5599" w:type="dxa"/>
            <w:tcBorders>
              <w:left w:val="single" w:sz="8" w:space="0" w:color="000000"/>
            </w:tcBorders>
            <w:shd w:fill="FFFFFF" w:val="clear"/>
          </w:tcPr>
          <w:p>
            <w:pPr>
              <w:pStyle w:val="Normal"/>
              <w:jc w:val="both"/>
              <w:rPr/>
            </w:pPr>
            <w:r>
              <w:rPr/>
              <w:t>1,46</w:t>
            </w:r>
          </w:p>
        </w:tc>
        <w:tc>
          <w:tcPr>
            <w:tcW w:w="1831" w:type="dxa"/>
            <w:tcBorders>
              <w:left w:val="single" w:sz="8" w:space="0" w:color="000000"/>
            </w:tcBorders>
            <w:shd w:fill="FFFFFF" w:val="clear"/>
            <w:tcMar>
              <w:left w:w="0" w:type="dxa"/>
              <w:right w:w="0" w:type="dxa"/>
            </w:tcMar>
          </w:tcPr>
          <w:p>
            <w:pPr>
              <w:pStyle w:val="Normal"/>
              <w:jc w:val="center"/>
              <w:rPr/>
            </w:pPr>
            <w:r>
              <w:rPr/>
              <w:t>» 60</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70</w:t>
            </w:r>
          </w:p>
        </w:tc>
      </w:tr>
      <w:tr>
        <w:trPr/>
        <w:tc>
          <w:tcPr>
            <w:tcW w:w="5599" w:type="dxa"/>
            <w:tcBorders>
              <w:left w:val="single" w:sz="8" w:space="0" w:color="000000"/>
            </w:tcBorders>
            <w:shd w:fill="FFFFFF" w:val="clear"/>
          </w:tcPr>
          <w:p>
            <w:pPr>
              <w:pStyle w:val="Normal"/>
              <w:jc w:val="both"/>
              <w:rPr/>
            </w:pPr>
            <w:r>
              <w:rPr/>
              <w:t>4,29 - 4,39</w:t>
            </w:r>
          </w:p>
        </w:tc>
        <w:tc>
          <w:tcPr>
            <w:tcW w:w="1831" w:type="dxa"/>
            <w:tcBorders>
              <w:left w:val="single" w:sz="8" w:space="0" w:color="000000"/>
            </w:tcBorders>
            <w:shd w:fill="FFFFFF" w:val="clear"/>
            <w:tcMar>
              <w:left w:w="0" w:type="dxa"/>
              <w:right w:w="0" w:type="dxa"/>
            </w:tcMar>
          </w:tcPr>
          <w:p>
            <w:pPr>
              <w:pStyle w:val="Normal"/>
              <w:jc w:val="center"/>
              <w:rPr/>
            </w:pPr>
            <w:r>
              <w:rPr/>
              <w:t>» 45</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55</w:t>
            </w:r>
          </w:p>
        </w:tc>
      </w:tr>
      <w:tr>
        <w:trPr/>
        <w:tc>
          <w:tcPr>
            <w:tcW w:w="5599" w:type="dxa"/>
            <w:tcBorders>
              <w:left w:val="single" w:sz="8" w:space="0" w:color="000000"/>
            </w:tcBorders>
            <w:shd w:fill="FFFFFF" w:val="clear"/>
          </w:tcPr>
          <w:p>
            <w:pPr>
              <w:pStyle w:val="Normal"/>
              <w:jc w:val="both"/>
              <w:rPr/>
            </w:pPr>
            <w:r>
              <w:rPr/>
              <w:t>6,0 - 8,05</w:t>
            </w:r>
          </w:p>
        </w:tc>
        <w:tc>
          <w:tcPr>
            <w:tcW w:w="1831" w:type="dxa"/>
            <w:tcBorders>
              <w:left w:val="single" w:sz="8" w:space="0" w:color="000000"/>
            </w:tcBorders>
            <w:shd w:fill="FFFFFF" w:val="clear"/>
            <w:tcMar>
              <w:left w:w="0" w:type="dxa"/>
              <w:right w:w="0" w:type="dxa"/>
            </w:tcMar>
          </w:tcPr>
          <w:p>
            <w:pPr>
              <w:pStyle w:val="Normal"/>
              <w:jc w:val="center"/>
              <w:rPr/>
            </w:pPr>
            <w:r>
              <w:rPr/>
              <w:t>» 40</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45</w:t>
            </w:r>
          </w:p>
        </w:tc>
      </w:tr>
      <w:tr>
        <w:trPr/>
        <w:tc>
          <w:tcPr>
            <w:tcW w:w="5599" w:type="dxa"/>
            <w:tcBorders>
              <w:left w:val="single" w:sz="8" w:space="0" w:color="000000"/>
            </w:tcBorders>
            <w:shd w:fill="FFFFFF" w:val="clear"/>
          </w:tcPr>
          <w:p>
            <w:pPr>
              <w:pStyle w:val="Normal"/>
              <w:jc w:val="both"/>
              <w:rPr/>
            </w:pPr>
            <w:r>
              <w:rPr/>
              <w:t>11,5 и более</w:t>
            </w:r>
          </w:p>
        </w:tc>
        <w:tc>
          <w:tcPr>
            <w:tcW w:w="1831" w:type="dxa"/>
            <w:tcBorders>
              <w:left w:val="single" w:sz="8" w:space="0" w:color="000000"/>
            </w:tcBorders>
            <w:shd w:fill="FFFFFF" w:val="clear"/>
            <w:tcMar>
              <w:left w:w="0" w:type="dxa"/>
              <w:right w:w="0" w:type="dxa"/>
            </w:tcMar>
          </w:tcPr>
          <w:p>
            <w:pPr>
              <w:pStyle w:val="Normal"/>
              <w:jc w:val="center"/>
              <w:rPr/>
            </w:pPr>
            <w:r>
              <w:rPr/>
              <w:t>» 35</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40</w:t>
            </w:r>
          </w:p>
        </w:tc>
      </w:tr>
      <w:tr>
        <w:trPr/>
        <w:tc>
          <w:tcPr>
            <w:tcW w:w="5599" w:type="dxa"/>
            <w:tcBorders>
              <w:left w:val="single" w:sz="8" w:space="0" w:color="000000"/>
            </w:tcBorders>
            <w:shd w:fill="FFFFFF" w:val="clear"/>
          </w:tcPr>
          <w:p>
            <w:pPr>
              <w:pStyle w:val="Normal"/>
              <w:jc w:val="both"/>
              <w:rPr/>
            </w:pPr>
            <w:r>
              <w:rPr/>
              <w:t>Алюминиевые и из нетермообработанного алюминиевого сплава всех марок</w:t>
            </w:r>
          </w:p>
        </w:tc>
        <w:tc>
          <w:tcPr>
            <w:tcW w:w="1831" w:type="dxa"/>
            <w:tcBorders>
              <w:left w:val="single" w:sz="8" w:space="0" w:color="000000"/>
            </w:tcBorders>
            <w:shd w:fill="FFFFFF" w:val="clear"/>
            <w:tcMar>
              <w:left w:w="0" w:type="dxa"/>
              <w:right w:w="0" w:type="dxa"/>
            </w:tcMar>
          </w:tcPr>
          <w:p>
            <w:pPr>
              <w:pStyle w:val="Normal"/>
              <w:jc w:val="center"/>
              <w:rPr/>
            </w:pPr>
            <w:r>
              <w:rPr/>
              <w:t>» 35</w:t>
            </w:r>
          </w:p>
        </w:tc>
        <w:tc>
          <w:tcPr>
            <w:tcW w:w="192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40</w:t>
            </w:r>
          </w:p>
        </w:tc>
      </w:tr>
      <w:tr>
        <w:trPr/>
        <w:tc>
          <w:tcPr>
            <w:tcW w:w="5599" w:type="dxa"/>
            <w:tcBorders>
              <w:left w:val="single" w:sz="8" w:space="0" w:color="000000"/>
              <w:bottom w:val="single" w:sz="8" w:space="0" w:color="000000"/>
              <w:insideH w:val="single" w:sz="8" w:space="0" w:color="000000"/>
            </w:tcBorders>
            <w:shd w:fill="FFFFFF" w:val="clear"/>
          </w:tcPr>
          <w:p>
            <w:pPr>
              <w:pStyle w:val="Normal"/>
              <w:jc w:val="both"/>
              <w:rPr/>
            </w:pPr>
            <w:r>
              <w:rPr/>
              <w:t>Из термообработанного алюминиевого сплава со стальным сердечником и без него всех марок</w:t>
            </w:r>
          </w:p>
        </w:tc>
        <w:tc>
          <w:tcPr>
            <w:tcW w:w="18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40</w:t>
            </w:r>
          </w:p>
        </w:tc>
        <w:tc>
          <w:tcPr>
            <w:tcW w:w="19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 45</w:t>
            </w:r>
          </w:p>
        </w:tc>
      </w:tr>
      <w:tr>
        <w:trPr/>
        <w:tc>
          <w:tcPr>
            <w:tcW w:w="5599" w:type="dxa"/>
            <w:tcBorders>
              <w:left w:val="single" w:sz="8" w:space="0" w:color="000000"/>
              <w:bottom w:val="single" w:sz="8" w:space="0" w:color="000000"/>
              <w:insideH w:val="single" w:sz="8" w:space="0" w:color="000000"/>
            </w:tcBorders>
            <w:shd w:fill="FFFFFF" w:val="clear"/>
          </w:tcPr>
          <w:p>
            <w:pPr>
              <w:pStyle w:val="Normal"/>
              <w:jc w:val="both"/>
              <w:rPr/>
            </w:pPr>
            <w:r>
              <w:rPr/>
              <w:t>Стальные всех марок</w:t>
            </w:r>
          </w:p>
        </w:tc>
        <w:tc>
          <w:tcPr>
            <w:tcW w:w="18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170</w:t>
            </w:r>
          </w:p>
        </w:tc>
        <w:tc>
          <w:tcPr>
            <w:tcW w:w="19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 195</w:t>
            </w:r>
          </w:p>
        </w:tc>
      </w:tr>
    </w:tbl>
    <w:p>
      <w:pPr>
        <w:pStyle w:val="Normal"/>
        <w:spacing w:before="120" w:after="0"/>
        <w:ind w:firstLine="283"/>
        <w:jc w:val="both"/>
        <w:rPr/>
      </w:pPr>
      <w:r>
        <w:rPr/>
        <w:t>расщепленные провода и тросы из двух составляющих при длинах пролетов, превышающих 150 м, и механических напряжениях, превышающих приведенные в табл. 2.5.11;</w:t>
      </w:r>
    </w:p>
    <w:p>
      <w:pPr>
        <w:pStyle w:val="Normal"/>
        <w:spacing w:before="120" w:after="120"/>
        <w:jc w:val="right"/>
        <w:rPr/>
      </w:pPr>
      <w:r>
        <w:rPr>
          <w:spacing w:val="40"/>
        </w:rPr>
        <w:t>Таблица</w:t>
      </w:r>
      <w:r>
        <w:rPr/>
        <w:t xml:space="preserve"> 2.5.11</w:t>
      </w:r>
    </w:p>
    <w:p>
      <w:pPr>
        <w:pStyle w:val="Normal"/>
        <w:spacing w:before="0" w:after="120"/>
        <w:jc w:val="center"/>
        <w:rPr/>
      </w:pPr>
      <w:r>
        <w:rPr>
          <w:b/>
          <w:bCs/>
        </w:rPr>
        <w:t>Механические напряжения, Н/мм</w:t>
      </w:r>
      <w:r>
        <w:rPr>
          <w:b/>
          <w:bCs/>
          <w:vertAlign w:val="superscript"/>
        </w:rPr>
        <w:t>2</w:t>
      </w:r>
      <w:r>
        <w:rPr>
          <w:b/>
          <w:bCs/>
        </w:rPr>
        <w:t xml:space="preserve">, расщепленных проводов и тросов из двух составляющих, при среднегодовой температуре </w:t>
      </w:r>
      <w:r>
        <w:rPr>
          <w:b/>
          <w:bCs/>
          <w:i/>
          <w:iCs/>
        </w:rPr>
        <w:t>t</w:t>
      </w:r>
      <w:r>
        <w:rPr>
          <w:b/>
          <w:bCs/>
          <w:i/>
          <w:iCs/>
          <w:vertAlign w:val="subscript"/>
        </w:rPr>
        <w:t>сг</w:t>
      </w:r>
      <w:r>
        <w:rPr>
          <w:b/>
          <w:bCs/>
        </w:rPr>
        <w:t>, требующих защиты от вибрации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521"/>
        <w:gridCol w:w="1915"/>
        <w:gridCol w:w="1919"/>
      </w:tblGrid>
      <w:tr>
        <w:trPr>
          <w:tblHeader w:val="true"/>
        </w:trPr>
        <w:tc>
          <w:tcPr>
            <w:tcW w:w="552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Провода, тросы</w:t>
            </w:r>
          </w:p>
        </w:tc>
        <w:tc>
          <w:tcPr>
            <w:tcW w:w="383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Тип местности</w:t>
            </w:r>
          </w:p>
        </w:tc>
      </w:tr>
      <w:tr>
        <w:trPr>
          <w:tblHeader w:val="true"/>
        </w:trPr>
        <w:tc>
          <w:tcPr>
            <w:tcW w:w="552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915" w:type="dxa"/>
            <w:tcBorders>
              <w:left w:val="single" w:sz="8" w:space="0" w:color="000000"/>
              <w:bottom w:val="single" w:sz="8" w:space="0" w:color="000000"/>
              <w:insideH w:val="single" w:sz="8" w:space="0" w:color="000000"/>
            </w:tcBorders>
            <w:shd w:fill="FFFFFF" w:val="clear"/>
            <w:vAlign w:val="center"/>
          </w:tcPr>
          <w:p>
            <w:pPr>
              <w:pStyle w:val="Normal"/>
              <w:jc w:val="center"/>
              <w:rPr>
                <w:i/>
                <w:i/>
                <w:iCs/>
              </w:rPr>
            </w:pPr>
            <w:r>
              <w:rPr>
                <w:i/>
                <w:iCs/>
              </w:rPr>
              <w:t>А</w:t>
            </w:r>
          </w:p>
        </w:tc>
        <w:tc>
          <w:tcPr>
            <w:tcW w:w="19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i/>
                <w:i/>
                <w:iCs/>
              </w:rPr>
            </w:pPr>
            <w:r>
              <w:rPr>
                <w:i/>
                <w:iCs/>
              </w:rPr>
              <w:t>В</w:t>
            </w:r>
          </w:p>
        </w:tc>
      </w:tr>
      <w:tr>
        <w:trPr/>
        <w:tc>
          <w:tcPr>
            <w:tcW w:w="5521" w:type="dxa"/>
            <w:tcBorders>
              <w:left w:val="single" w:sz="8" w:space="0" w:color="000000"/>
            </w:tcBorders>
            <w:shd w:fill="FFFFFF" w:val="clear"/>
          </w:tcPr>
          <w:p>
            <w:pPr>
              <w:pStyle w:val="Normal"/>
              <w:jc w:val="both"/>
              <w:rPr/>
            </w:pPr>
            <w:r>
              <w:rPr/>
              <w:t xml:space="preserve">Сталеалюминиевые марок </w:t>
            </w:r>
            <w:r>
              <w:rPr>
                <w:i/>
                <w:iCs/>
              </w:rPr>
              <w:t>АС</w:t>
            </w:r>
            <w:r>
              <w:rPr/>
              <w:t xml:space="preserve"> при </w:t>
            </w:r>
            <w:r>
              <w:rPr>
                <w:i/>
                <w:iCs/>
              </w:rPr>
              <w:t>А</w:t>
            </w:r>
            <w:r>
              <w:rPr/>
              <w:t>/</w:t>
            </w:r>
            <w:r>
              <w:rPr>
                <w:i/>
                <w:iCs/>
              </w:rPr>
              <w:t>С</w:t>
            </w:r>
            <w:r>
              <w:rPr/>
              <w:t>:</w:t>
            </w:r>
          </w:p>
        </w:tc>
        <w:tc>
          <w:tcPr>
            <w:tcW w:w="1915" w:type="dxa"/>
            <w:tcBorders>
              <w:left w:val="single" w:sz="8" w:space="0" w:color="000000"/>
            </w:tcBorders>
            <w:shd w:fill="FFFFFF" w:val="clear"/>
            <w:tcMar>
              <w:left w:w="0" w:type="dxa"/>
              <w:right w:w="0" w:type="dxa"/>
            </w:tcMar>
          </w:tcPr>
          <w:p>
            <w:pPr>
              <w:pStyle w:val="Normal"/>
              <w:snapToGrid w:val="false"/>
              <w:rPr/>
            </w:pPr>
            <w:r>
              <w:rPr/>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521" w:type="dxa"/>
            <w:tcBorders>
              <w:left w:val="single" w:sz="8" w:space="0" w:color="000000"/>
            </w:tcBorders>
            <w:shd w:fill="FFFFFF" w:val="clear"/>
          </w:tcPr>
          <w:p>
            <w:pPr>
              <w:pStyle w:val="Normal"/>
              <w:jc w:val="both"/>
              <w:rPr/>
            </w:pPr>
            <w:r>
              <w:rPr/>
              <w:t>0,65 - 0,95</w:t>
            </w:r>
          </w:p>
        </w:tc>
        <w:tc>
          <w:tcPr>
            <w:tcW w:w="1915" w:type="dxa"/>
            <w:tcBorders>
              <w:left w:val="single" w:sz="8" w:space="0" w:color="000000"/>
            </w:tcBorders>
            <w:shd w:fill="FFFFFF" w:val="clear"/>
            <w:tcMar>
              <w:left w:w="0" w:type="dxa"/>
              <w:right w:w="0" w:type="dxa"/>
            </w:tcMar>
          </w:tcPr>
          <w:p>
            <w:pPr>
              <w:pStyle w:val="Normal"/>
              <w:jc w:val="center"/>
              <w:rPr/>
            </w:pPr>
            <w:r>
              <w:rPr/>
              <w:t>Более 75</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Более 85</w:t>
            </w:r>
          </w:p>
        </w:tc>
      </w:tr>
      <w:tr>
        <w:trPr/>
        <w:tc>
          <w:tcPr>
            <w:tcW w:w="5521" w:type="dxa"/>
            <w:tcBorders>
              <w:left w:val="single" w:sz="8" w:space="0" w:color="000000"/>
            </w:tcBorders>
            <w:shd w:fill="FFFFFF" w:val="clear"/>
          </w:tcPr>
          <w:p>
            <w:pPr>
              <w:pStyle w:val="Normal"/>
              <w:jc w:val="both"/>
              <w:rPr/>
            </w:pPr>
            <w:r>
              <w:rPr/>
              <w:t>1,46</w:t>
            </w:r>
          </w:p>
        </w:tc>
        <w:tc>
          <w:tcPr>
            <w:tcW w:w="1915" w:type="dxa"/>
            <w:tcBorders>
              <w:left w:val="single" w:sz="8" w:space="0" w:color="000000"/>
            </w:tcBorders>
            <w:shd w:fill="FFFFFF" w:val="clear"/>
            <w:tcMar>
              <w:left w:w="0" w:type="dxa"/>
              <w:right w:w="0" w:type="dxa"/>
            </w:tcMar>
          </w:tcPr>
          <w:p>
            <w:pPr>
              <w:pStyle w:val="Normal"/>
              <w:jc w:val="center"/>
              <w:rPr/>
            </w:pPr>
            <w:r>
              <w:rPr/>
              <w:t>» 65</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70</w:t>
            </w:r>
          </w:p>
        </w:tc>
      </w:tr>
      <w:tr>
        <w:trPr/>
        <w:tc>
          <w:tcPr>
            <w:tcW w:w="5521" w:type="dxa"/>
            <w:tcBorders>
              <w:left w:val="single" w:sz="8" w:space="0" w:color="000000"/>
            </w:tcBorders>
            <w:shd w:fill="FFFFFF" w:val="clear"/>
          </w:tcPr>
          <w:p>
            <w:pPr>
              <w:pStyle w:val="Normal"/>
              <w:jc w:val="both"/>
              <w:rPr/>
            </w:pPr>
            <w:r>
              <w:rPr/>
              <w:t>4,29 - 4,39</w:t>
            </w:r>
          </w:p>
        </w:tc>
        <w:tc>
          <w:tcPr>
            <w:tcW w:w="1915" w:type="dxa"/>
            <w:tcBorders>
              <w:left w:val="single" w:sz="8" w:space="0" w:color="000000"/>
            </w:tcBorders>
            <w:shd w:fill="FFFFFF" w:val="clear"/>
            <w:tcMar>
              <w:left w:w="0" w:type="dxa"/>
              <w:right w:w="0" w:type="dxa"/>
            </w:tcMar>
          </w:tcPr>
          <w:p>
            <w:pPr>
              <w:pStyle w:val="Normal"/>
              <w:jc w:val="center"/>
              <w:rPr/>
            </w:pPr>
            <w:r>
              <w:rPr/>
              <w:t>» 50</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55</w:t>
            </w:r>
          </w:p>
        </w:tc>
      </w:tr>
      <w:tr>
        <w:trPr/>
        <w:tc>
          <w:tcPr>
            <w:tcW w:w="5521" w:type="dxa"/>
            <w:tcBorders>
              <w:left w:val="single" w:sz="8" w:space="0" w:color="000000"/>
            </w:tcBorders>
            <w:shd w:fill="FFFFFF" w:val="clear"/>
          </w:tcPr>
          <w:p>
            <w:pPr>
              <w:pStyle w:val="Normal"/>
              <w:jc w:val="both"/>
              <w:rPr/>
            </w:pPr>
            <w:r>
              <w:rPr/>
              <w:t>6,0 - 8,05</w:t>
            </w:r>
          </w:p>
        </w:tc>
        <w:tc>
          <w:tcPr>
            <w:tcW w:w="1915" w:type="dxa"/>
            <w:tcBorders>
              <w:left w:val="single" w:sz="8" w:space="0" w:color="000000"/>
            </w:tcBorders>
            <w:shd w:fill="FFFFFF" w:val="clear"/>
            <w:tcMar>
              <w:left w:w="0" w:type="dxa"/>
              <w:right w:w="0" w:type="dxa"/>
            </w:tcMar>
          </w:tcPr>
          <w:p>
            <w:pPr>
              <w:pStyle w:val="Normal"/>
              <w:jc w:val="center"/>
              <w:rPr/>
            </w:pPr>
            <w:r>
              <w:rPr/>
              <w:t>» 45</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50</w:t>
            </w:r>
          </w:p>
        </w:tc>
      </w:tr>
      <w:tr>
        <w:trPr/>
        <w:tc>
          <w:tcPr>
            <w:tcW w:w="5521" w:type="dxa"/>
            <w:tcBorders>
              <w:left w:val="single" w:sz="8" w:space="0" w:color="000000"/>
            </w:tcBorders>
            <w:shd w:fill="FFFFFF" w:val="clear"/>
          </w:tcPr>
          <w:p>
            <w:pPr>
              <w:pStyle w:val="Normal"/>
              <w:jc w:val="both"/>
              <w:rPr/>
            </w:pPr>
            <w:r>
              <w:rPr/>
              <w:t>11,5 и более</w:t>
            </w:r>
          </w:p>
        </w:tc>
        <w:tc>
          <w:tcPr>
            <w:tcW w:w="1915" w:type="dxa"/>
            <w:tcBorders>
              <w:left w:val="single" w:sz="8" w:space="0" w:color="000000"/>
            </w:tcBorders>
            <w:shd w:fill="FFFFFF" w:val="clear"/>
            <w:tcMar>
              <w:left w:w="0" w:type="dxa"/>
              <w:right w:w="0" w:type="dxa"/>
            </w:tcMar>
          </w:tcPr>
          <w:p>
            <w:pPr>
              <w:pStyle w:val="Normal"/>
              <w:jc w:val="center"/>
              <w:rPr/>
            </w:pPr>
            <w:r>
              <w:rPr/>
              <w:t>»40</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45</w:t>
            </w:r>
          </w:p>
        </w:tc>
      </w:tr>
      <w:tr>
        <w:trPr/>
        <w:tc>
          <w:tcPr>
            <w:tcW w:w="5521" w:type="dxa"/>
            <w:tcBorders>
              <w:left w:val="single" w:sz="8" w:space="0" w:color="000000"/>
            </w:tcBorders>
            <w:shd w:fill="FFFFFF" w:val="clear"/>
          </w:tcPr>
          <w:p>
            <w:pPr>
              <w:pStyle w:val="Normal"/>
              <w:jc w:val="both"/>
              <w:rPr/>
            </w:pPr>
            <w:r>
              <w:rPr/>
              <w:t>Алюминиевые и из нетермообработанного алюминиевого сплава всех марок</w:t>
            </w:r>
          </w:p>
        </w:tc>
        <w:tc>
          <w:tcPr>
            <w:tcW w:w="1915" w:type="dxa"/>
            <w:tcBorders>
              <w:left w:val="single" w:sz="8" w:space="0" w:color="000000"/>
            </w:tcBorders>
            <w:shd w:fill="FFFFFF" w:val="clear"/>
            <w:tcMar>
              <w:left w:w="0" w:type="dxa"/>
              <w:right w:w="0" w:type="dxa"/>
            </w:tcMar>
          </w:tcPr>
          <w:p>
            <w:pPr>
              <w:pStyle w:val="Normal"/>
              <w:jc w:val="center"/>
              <w:rPr/>
            </w:pPr>
            <w:r>
              <w:rPr/>
              <w:t>» 40</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45</w:t>
            </w:r>
          </w:p>
        </w:tc>
      </w:tr>
      <w:tr>
        <w:trPr/>
        <w:tc>
          <w:tcPr>
            <w:tcW w:w="5521" w:type="dxa"/>
            <w:tcBorders>
              <w:left w:val="single" w:sz="8" w:space="0" w:color="000000"/>
            </w:tcBorders>
            <w:shd w:fill="FFFFFF" w:val="clear"/>
          </w:tcPr>
          <w:p>
            <w:pPr>
              <w:pStyle w:val="Normal"/>
              <w:jc w:val="both"/>
              <w:rPr/>
            </w:pPr>
            <w:r>
              <w:rPr/>
              <w:t>Из термообработанного алюминиевого сплава со стальным сердечником и без него всех марок</w:t>
            </w:r>
          </w:p>
        </w:tc>
        <w:tc>
          <w:tcPr>
            <w:tcW w:w="1915" w:type="dxa"/>
            <w:tcBorders>
              <w:left w:val="single" w:sz="8" w:space="0" w:color="000000"/>
            </w:tcBorders>
            <w:shd w:fill="FFFFFF" w:val="clear"/>
            <w:tcMar>
              <w:left w:w="0" w:type="dxa"/>
              <w:right w:w="0" w:type="dxa"/>
            </w:tcMar>
          </w:tcPr>
          <w:p>
            <w:pPr>
              <w:pStyle w:val="Normal"/>
              <w:jc w:val="center"/>
              <w:rPr/>
            </w:pPr>
            <w:r>
              <w:rPr/>
              <w:t>» 45</w:t>
            </w:r>
          </w:p>
        </w:tc>
        <w:tc>
          <w:tcPr>
            <w:tcW w:w="191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 50</w:t>
            </w:r>
          </w:p>
        </w:tc>
      </w:tr>
      <w:tr>
        <w:trPr/>
        <w:tc>
          <w:tcPr>
            <w:tcW w:w="5521" w:type="dxa"/>
            <w:tcBorders>
              <w:left w:val="single" w:sz="8" w:space="0" w:color="000000"/>
              <w:bottom w:val="single" w:sz="8" w:space="0" w:color="000000"/>
              <w:insideH w:val="single" w:sz="8" w:space="0" w:color="000000"/>
            </w:tcBorders>
            <w:shd w:fill="FFFFFF" w:val="clear"/>
          </w:tcPr>
          <w:p>
            <w:pPr>
              <w:pStyle w:val="Normal"/>
              <w:jc w:val="both"/>
              <w:rPr/>
            </w:pPr>
            <w:r>
              <w:rPr/>
              <w:t>Стальные всех марок</w:t>
            </w:r>
          </w:p>
        </w:tc>
        <w:tc>
          <w:tcPr>
            <w:tcW w:w="19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195</w:t>
            </w:r>
          </w:p>
        </w:tc>
        <w:tc>
          <w:tcPr>
            <w:tcW w:w="19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 215</w:t>
            </w:r>
          </w:p>
        </w:tc>
      </w:tr>
    </w:tbl>
    <w:p>
      <w:pPr>
        <w:pStyle w:val="Normal"/>
        <w:spacing w:before="120" w:after="0"/>
        <w:ind w:firstLine="283"/>
        <w:jc w:val="both"/>
        <w:rPr/>
      </w:pPr>
      <w:r>
        <w:rPr/>
        <w:t>провода расщепленной фазы из трех и более составляющих при длинах пролетов, превышающих 700 м;</w:t>
      </w:r>
    </w:p>
    <w:p>
      <w:pPr>
        <w:pStyle w:val="Normal"/>
        <w:ind w:firstLine="283"/>
        <w:jc w:val="both"/>
        <w:rPr/>
      </w:pPr>
      <w:r>
        <w:rPr/>
        <w:t xml:space="preserve">провода ВЛЗ при прохождении трассы на местности типа </w:t>
      </w:r>
      <w:r>
        <w:rPr>
          <w:i/>
          <w:iCs/>
        </w:rPr>
        <w:t>А</w:t>
      </w:r>
      <w:r>
        <w:rPr/>
        <w:t>, если напряжение в проводе при среднегодовой температуре превышает 40 Н/мм</w:t>
      </w:r>
      <w:r>
        <w:rPr>
          <w:vertAlign w:val="superscript"/>
        </w:rPr>
        <w:t>2</w:t>
      </w:r>
      <w:r>
        <w:rPr/>
        <w:t>.</w:t>
      </w:r>
    </w:p>
    <w:p>
      <w:pPr>
        <w:pStyle w:val="Normal"/>
        <w:ind w:firstLine="283"/>
        <w:jc w:val="both"/>
        <w:rPr/>
      </w:pPr>
      <w:r>
        <w:rPr/>
        <w:t>В табл. 2.5.9, 2.5.10 и 2.5.11 тип местности принимается согласно 2.5.6.</w:t>
      </w:r>
    </w:p>
    <w:p>
      <w:pPr>
        <w:pStyle w:val="Normal"/>
        <w:ind w:firstLine="283"/>
        <w:jc w:val="both"/>
        <w:rPr/>
      </w:pPr>
      <w:r>
        <w:rPr/>
        <w:t xml:space="preserve">При длинах пролетов менее указанных в табл. 2.5.9 и в местности типа </w:t>
      </w:r>
      <w:r>
        <w:rPr>
          <w:i/>
          <w:iCs/>
        </w:rPr>
        <w:t>С</w:t>
      </w:r>
      <w:r>
        <w:rPr/>
        <w:t xml:space="preserve"> защита от вибрации не требуется.</w:t>
      </w:r>
    </w:p>
    <w:p>
      <w:pPr>
        <w:pStyle w:val="Normal"/>
        <w:ind w:firstLine="283"/>
        <w:jc w:val="both"/>
        <w:rPr/>
      </w:pPr>
      <w:r>
        <w:rPr/>
        <w:t>Защищать от вибрации рекомендуется:</w:t>
      </w:r>
    </w:p>
    <w:p>
      <w:pPr>
        <w:pStyle w:val="Normal"/>
        <w:ind w:firstLine="283"/>
        <w:jc w:val="both"/>
        <w:rPr/>
      </w:pPr>
      <w:r>
        <w:rPr/>
        <w:t>провода алюминиевые и из нетермообработанного алюминиевого сплава площадью сечения до 95 мм</w:t>
      </w:r>
      <w:r>
        <w:rPr>
          <w:vertAlign w:val="superscript"/>
        </w:rPr>
        <w:t>2</w:t>
      </w:r>
      <w:r>
        <w:rPr/>
        <w:t>, из термообработанного алюминиевого сплава и сталеалюминиевые провода площадью сечения алюминиевой части до 70 мм</w:t>
      </w:r>
      <w:r>
        <w:rPr>
          <w:vertAlign w:val="superscript"/>
        </w:rPr>
        <w:t>2</w:t>
      </w:r>
      <w:r>
        <w:rPr/>
        <w:t>, стальные тросы площадью сечения до 35 мм</w:t>
      </w:r>
      <w:r>
        <w:rPr>
          <w:vertAlign w:val="superscript"/>
        </w:rPr>
        <w:t>2</w:t>
      </w:r>
      <w:r>
        <w:rPr/>
        <w:t xml:space="preserve"> - гасителями вибрации петлевого типа (демпфирующие петли) или армирующими спиральными прутками, протекторами, спиральными вязками;</w:t>
      </w:r>
    </w:p>
    <w:p>
      <w:pPr>
        <w:pStyle w:val="Normal"/>
        <w:ind w:firstLine="283"/>
        <w:jc w:val="both"/>
        <w:rPr/>
      </w:pPr>
      <w:r>
        <w:rPr/>
        <w:t>провода (тросы) большего сечения - гасителями вибрации типа Стокбриджа;</w:t>
      </w:r>
    </w:p>
    <w:p>
      <w:pPr>
        <w:pStyle w:val="Normal"/>
        <w:ind w:firstLine="283"/>
        <w:jc w:val="both"/>
        <w:rPr/>
      </w:pPr>
      <w:r>
        <w:rPr/>
        <w:t>провода ВЛЗ в местах их крепления к изоляторам - гасителями вибрации спирального типа с полимерным покрытием.</w:t>
      </w:r>
    </w:p>
    <w:p>
      <w:pPr>
        <w:pStyle w:val="Normal"/>
        <w:ind w:firstLine="283"/>
        <w:jc w:val="both"/>
        <w:rPr/>
      </w:pPr>
      <w:r>
        <w:rPr/>
        <w:t>Гасители вибрации следует устанавливать с обеих сторон пролета.</w:t>
      </w:r>
    </w:p>
    <w:p>
      <w:pPr>
        <w:pStyle w:val="Normal"/>
        <w:ind w:firstLine="283"/>
        <w:jc w:val="both"/>
        <w:rPr/>
      </w:pPr>
      <w:r>
        <w:rPr/>
        <w:t xml:space="preserve">Для ВЛ, проходящих в особых условиях (районы Крайнего Севера орографически незащищенные выходы из горных ущелий, отдельные пролеты в местности типа </w:t>
      </w:r>
      <w:r>
        <w:rPr>
          <w:i/>
          <w:iCs/>
        </w:rPr>
        <w:t>С</w:t>
      </w:r>
      <w:r>
        <w:rPr/>
        <w:t xml:space="preserve"> и др.), защита от вибрации должна производиться по специальному проекту.</w:t>
      </w:r>
    </w:p>
    <w:p>
      <w:pPr>
        <w:pStyle w:val="Normal"/>
        <w:ind w:firstLine="283"/>
        <w:jc w:val="both"/>
        <w:rPr/>
      </w:pPr>
      <w:r>
        <w:rPr/>
        <w:t>Защита от вибрации больших переходов выполняется согласно 2.5.163.</w:t>
      </w:r>
    </w:p>
    <w:p>
      <w:pPr>
        <w:pStyle w:val="Heading3"/>
        <w:rPr/>
      </w:pPr>
      <w:r>
        <w:rPr/>
        <w:t>РАСПОЛОЖЕНИЕ ПРОВОДОВ И ТРОСОВ И РАССТОЯНИЯ МЕЖДУ НИМИ</w:t>
      </w:r>
    </w:p>
    <w:p>
      <w:pPr>
        <w:pStyle w:val="Normal"/>
        <w:ind w:firstLine="284"/>
        <w:jc w:val="both"/>
        <w:rPr/>
      </w:pPr>
      <w:r>
        <w:rPr/>
        <w:t>2.5.86. На ВЛ может применяться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гололеду IV и более рекомендуется применять горизонтальное расположение проводов.</w:t>
      </w:r>
    </w:p>
    <w:p>
      <w:pPr>
        <w:pStyle w:val="Normal"/>
        <w:ind w:firstLine="284"/>
        <w:jc w:val="both"/>
        <w:rPr/>
      </w:pPr>
      <w:r>
        <w:rPr/>
        <w:t>2.5.87. Расстояния между проводами ВЛ, а также между проводами и тросами должны выбираться:</w:t>
      </w:r>
    </w:p>
    <w:p>
      <w:pPr>
        <w:pStyle w:val="Normal"/>
        <w:ind w:firstLine="284"/>
        <w:jc w:val="both"/>
        <w:rPr/>
      </w:pPr>
      <w:r>
        <w:rPr/>
        <w:t>1) по условиям работы проводов (тросов) в пролетах согласно 2.5.88 - 2.5.94;</w:t>
      </w:r>
    </w:p>
    <w:p>
      <w:pPr>
        <w:pStyle w:val="Normal"/>
        <w:ind w:firstLine="284"/>
        <w:jc w:val="both"/>
        <w:rPr/>
      </w:pPr>
      <w:r>
        <w:rPr/>
        <w:t>2) по допустимым изоляционным расстояниям: между проводами согласно 2.5.126; между проводами и элементами опоры согласно 2.5.125;</w:t>
      </w:r>
    </w:p>
    <w:p>
      <w:pPr>
        <w:pStyle w:val="Normal"/>
        <w:ind w:firstLine="284"/>
        <w:jc w:val="both"/>
        <w:rPr/>
      </w:pPr>
      <w:r>
        <w:rPr/>
        <w:t>3) по условиям защиты от грозовых перенапряжений согласно 2.5.120 и 2.5.121;</w:t>
      </w:r>
    </w:p>
    <w:p>
      <w:pPr>
        <w:pStyle w:val="Normal"/>
        <w:ind w:firstLine="284"/>
        <w:jc w:val="both"/>
        <w:rPr/>
      </w:pPr>
      <w:r>
        <w:rPr/>
        <w:t>4) по условиям короны и допустимых уровней радиопомех и акустических шумов согласно гл. 1.3, 2.5.81, государственным стандартам, строительным нормам и правилам.</w:t>
      </w:r>
    </w:p>
    <w:p>
      <w:pPr>
        <w:pStyle w:val="Normal"/>
        <w:ind w:firstLine="284"/>
        <w:jc w:val="both"/>
        <w:rPr/>
      </w:pPr>
      <w:r>
        <w:rP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 троса должна быть не более стрелы провеса провода.</w:t>
      </w:r>
    </w:p>
    <w:p>
      <w:pPr>
        <w:pStyle w:val="Normal"/>
        <w:ind w:firstLine="284"/>
        <w:jc w:val="both"/>
        <w:rPr/>
      </w:pPr>
      <w:r>
        <w:rP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не требуется.</w:t>
      </w:r>
    </w:p>
    <w:p>
      <w:pPr>
        <w:pStyle w:val="Normal"/>
        <w:ind w:firstLine="284"/>
        <w:jc w:val="both"/>
        <w:rPr/>
      </w:pPr>
      <w:r>
        <w:rPr/>
        <w:t>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2.5.88 - 2.5.90, 2.5.92 - 2.5.95, 2.5.120 и 2.5.121, при этом допускается не учитывать требования таблиц приложения.</w:t>
      </w:r>
    </w:p>
    <w:p>
      <w:pPr>
        <w:pStyle w:val="Normal"/>
        <w:ind w:firstLine="284"/>
        <w:jc w:val="both"/>
        <w:rPr/>
      </w:pPr>
      <w:r>
        <w:rPr/>
        <w:t xml:space="preserve">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статических отклонениях при нормативном ветровом давлении </w:t>
      </w:r>
      <w:r>
        <w:rPr>
          <w:i/>
          <w:iCs/>
        </w:rPr>
        <w:t>W</w:t>
      </w:r>
      <w:r>
        <w:rPr>
          <w:vertAlign w:val="subscript"/>
        </w:rPr>
        <w:t>0</w:t>
      </w:r>
      <w:r>
        <w:rPr/>
        <w:t>, направленном перпендикулярно оси пролета данной ВЛ. При этом расстояния между проводами или проводами и тросами в свету для условий наибольшего рабочего напряжения должны быть не менее указанных в 2.5.125 и 2.5.126.</w:t>
      </w:r>
    </w:p>
    <w:p>
      <w:pPr>
        <w:pStyle w:val="Normal"/>
        <w:ind w:firstLine="284"/>
        <w:jc w:val="both"/>
        <w:rPr/>
      </w:pPr>
      <w:r>
        <w:rPr/>
        <w:t>2.5.88.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733550" cy="269875"/>
            <wp:effectExtent l="0" t="0" r="0" b="0"/>
            <wp:docPr id="65"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9" descr=""/>
                    <pic:cNvPicPr>
                      <a:picLocks noChangeAspect="1" noChangeArrowheads="1"/>
                    </pic:cNvPicPr>
                  </pic:nvPicPr>
                  <pic:blipFill>
                    <a:blip r:embed="rId73"/>
                    <a:srcRect l="-20" t="-135" r="-20" b="-135"/>
                    <a:stretch>
                      <a:fillRect/>
                    </a:stretch>
                  </pic:blipFill>
                  <pic:spPr bwMode="auto">
                    <a:xfrm>
                      <a:off x="0" y="0"/>
                      <a:ext cx="1733550" cy="269875"/>
                    </a:xfrm>
                    <a:prstGeom prst="rect">
                      <a:avLst/>
                    </a:prstGeom>
                  </pic:spPr>
                </pic:pic>
              </a:graphicData>
            </a:graphic>
          </wp:inline>
        </w:drawing>
      </w:r>
    </w:p>
    <w:p>
      <w:pPr>
        <w:pStyle w:val="Normal"/>
        <w:ind w:firstLine="284"/>
        <w:jc w:val="both"/>
        <w:rPr/>
      </w:pPr>
      <w:r>
        <w:rPr/>
        <w:t xml:space="preserve">где </w:t>
      </w:r>
      <w:r>
        <w:rPr>
          <w:i/>
          <w:iCs/>
        </w:rPr>
        <w:t>d</w:t>
      </w:r>
      <w:r>
        <w:rPr>
          <w:i/>
          <w:iCs/>
          <w:vertAlign w:val="subscript"/>
        </w:rPr>
        <w:t>гор</w:t>
      </w:r>
      <w:r>
        <w:rPr/>
        <w:t xml:space="preserve"> - расстояние по горизонтали между неотклоненными проводами (для расщепленных проводов - между ближайшими проводами разных фаз), м;</w:t>
      </w:r>
    </w:p>
    <w:p>
      <w:pPr>
        <w:pStyle w:val="Normal"/>
        <w:ind w:firstLine="284"/>
        <w:jc w:val="both"/>
        <w:rPr/>
      </w:pPr>
      <w:r>
        <w:rPr>
          <w:i/>
          <w:iCs/>
        </w:rPr>
        <w:t>d</w:t>
      </w:r>
      <w:r>
        <w:rPr>
          <w:i/>
          <w:iCs/>
          <w:vertAlign w:val="subscript"/>
        </w:rPr>
        <w:t>эл</w:t>
      </w:r>
      <w:r>
        <w:rPr/>
        <w:t xml:space="preserve"> - расстояние согласно 2.5.126 для условий внутренних перенапряжений, м;</w:t>
      </w:r>
    </w:p>
    <w:p>
      <w:pPr>
        <w:pStyle w:val="Normal"/>
        <w:ind w:firstLine="284"/>
        <w:jc w:val="both"/>
        <w:rPr/>
      </w:pPr>
      <w:r>
        <w:rPr>
          <w:i/>
          <w:iCs/>
        </w:rPr>
        <w:t>K</w:t>
      </w:r>
      <w:r>
        <w:rPr>
          <w:i/>
          <w:iCs/>
          <w:vertAlign w:val="subscript"/>
        </w:rPr>
        <w:t>в</w:t>
      </w:r>
      <w:r>
        <w:rPr/>
        <w:t xml:space="preserve"> - коэффициент, значение которого принимается по табл. 2.5.12;</w:t>
      </w:r>
    </w:p>
    <w:p>
      <w:pPr>
        <w:pStyle w:val="Normal"/>
        <w:ind w:firstLine="284"/>
        <w:jc w:val="both"/>
        <w:rPr/>
      </w:pPr>
      <w:r>
        <w:rPr>
          <w:i/>
          <w:iCs/>
        </w:rPr>
        <w:t>f</w:t>
      </w:r>
      <w:r>
        <w:rPr/>
        <w:t xml:space="preserve"> - наибольшая стрела провеса при высшей температуре или при гололеде без ветра, соответствующая действительному пролету, м;</w:t>
      </w:r>
    </w:p>
    <w:p>
      <w:pPr>
        <w:pStyle w:val="Normal"/>
        <w:ind w:firstLine="284"/>
        <w:jc w:val="both"/>
        <w:rPr/>
      </w:pPr>
      <w:r>
        <w:rPr>
          <w:i/>
          <w:iCs/>
        </w:rPr>
        <w:t>λ</w:t>
      </w:r>
      <w:r>
        <w:rPr/>
        <w:t xml:space="preserve"> - длина поддерживающей гирлянды изоляторов, м:</w:t>
      </w:r>
    </w:p>
    <w:p>
      <w:pPr>
        <w:pStyle w:val="Normal"/>
        <w:ind w:firstLine="284"/>
        <w:jc w:val="both"/>
        <w:rPr/>
      </w:pPr>
      <w:r>
        <w:rPr/>
        <w:t xml:space="preserve">для пролета, ограниченного анкерными опорами </w:t>
      </w:r>
      <w:r>
        <w:rPr>
          <w:i/>
          <w:iCs/>
        </w:rPr>
        <w:t>λ</w:t>
      </w:r>
      <w:r>
        <w:rPr/>
        <w:t xml:space="preserve"> = 0; для пролетов с комбинированными гирляндами изоляторов </w:t>
      </w:r>
      <w:r>
        <w:rPr>
          <w:i/>
          <w:iCs/>
        </w:rPr>
        <w:t>λ</w:t>
      </w:r>
      <w:r>
        <w:rPr/>
        <w:t xml:space="preserve"> принимается равной ее проекции на вертикальную плоскость;</w:t>
      </w:r>
    </w:p>
    <w:p>
      <w:pPr>
        <w:pStyle w:val="Normal"/>
        <w:ind w:firstLine="284"/>
        <w:jc w:val="both"/>
        <w:rPr/>
      </w:pPr>
      <w:r>
        <w:rPr/>
        <w:t xml:space="preserve">для пролетов с различной конструкцией гирлянд изоляторов </w:t>
      </w:r>
      <w:r>
        <w:rPr>
          <w:i/>
          <w:iCs/>
        </w:rPr>
        <w:t>λ</w:t>
      </w:r>
      <w:r>
        <w:rPr/>
        <w:t xml:space="preserve"> принимается равной полусумме длин гирлянд изоляторов смежных опор;</w:t>
      </w:r>
    </w:p>
    <w:p>
      <w:pPr>
        <w:pStyle w:val="Normal"/>
        <w:ind w:firstLine="284"/>
        <w:jc w:val="both"/>
        <w:rPr/>
      </w:pPr>
      <w:r>
        <w:rPr>
          <w:i/>
          <w:iCs/>
        </w:rPr>
        <w:t>δ</w:t>
      </w:r>
      <w:r>
        <w:rP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Pr>
          <w:i/>
          <w:iCs/>
        </w:rPr>
        <w:t>δ</w:t>
      </w:r>
      <w:r>
        <w:rPr/>
        <w:t xml:space="preserve"> = 0.</w:t>
      </w:r>
    </w:p>
    <w:p>
      <w:pPr>
        <w:pStyle w:val="Normal"/>
        <w:spacing w:before="120" w:after="120"/>
        <w:jc w:val="right"/>
        <w:rPr/>
      </w:pPr>
      <w:r>
        <w:rPr>
          <w:spacing w:val="40"/>
        </w:rPr>
        <w:t>Таблица</w:t>
      </w:r>
      <w:r>
        <w:rPr/>
        <w:t xml:space="preserve"> 2.5.12</w:t>
      </w:r>
    </w:p>
    <w:p>
      <w:pPr>
        <w:pStyle w:val="Normal"/>
        <w:spacing w:before="0" w:after="120"/>
        <w:jc w:val="center"/>
        <w:rPr/>
      </w:pPr>
      <w:r>
        <w:rPr>
          <w:b/>
          <w:bCs/>
        </w:rPr>
        <w:t xml:space="preserve">Значение коэффициента </w:t>
      </w:r>
      <w:r>
        <w:rPr>
          <w:b/>
          <w:bCs/>
          <w:i/>
          <w:iCs/>
        </w:rPr>
        <w:t>K</w:t>
      </w:r>
      <w:r>
        <w:rPr>
          <w:b/>
          <w:bCs/>
          <w:i/>
          <w:iCs/>
          <w:vertAlign w:val="subscript"/>
        </w:rPr>
        <w:t>в</w:t>
      </w:r>
    </w:p>
    <w:tbl>
      <w:tblPr>
        <w:tblW w:w="5000" w:type="pct"/>
        <w:jc w:val="center"/>
        <w:tblInd w:w="0" w:type="dxa"/>
        <w:tblBorders>
          <w:top w:val="single" w:sz="8" w:space="0" w:color="000000"/>
          <w:left w:val="single" w:sz="8" w:space="0" w:color="000000"/>
        </w:tblBorders>
        <w:tblCellMar>
          <w:top w:w="0" w:type="dxa"/>
          <w:left w:w="28" w:type="dxa"/>
          <w:bottom w:w="0" w:type="dxa"/>
          <w:right w:w="28" w:type="dxa"/>
        </w:tblCellMar>
      </w:tblPr>
      <w:tblGrid>
        <w:gridCol w:w="1326"/>
        <w:gridCol w:w="1142"/>
        <w:gridCol w:w="1145"/>
        <w:gridCol w:w="1145"/>
        <w:gridCol w:w="1145"/>
        <w:gridCol w:w="1144"/>
        <w:gridCol w:w="1145"/>
        <w:gridCol w:w="1163"/>
      </w:tblGrid>
      <w:tr>
        <w:trPr/>
        <w:tc>
          <w:tcPr>
            <w:tcW w:w="1326" w:type="dxa"/>
            <w:tcBorders>
              <w:top w:val="single" w:sz="8" w:space="0" w:color="000000"/>
              <w:left w:val="single" w:sz="8" w:space="0" w:color="000000"/>
            </w:tcBorders>
            <w:shd w:fill="FFFFFF" w:val="clear"/>
          </w:tcPr>
          <w:p>
            <w:pPr>
              <w:pStyle w:val="Normal"/>
              <w:jc w:val="center"/>
              <w:rPr/>
            </w:pPr>
            <w:r>
              <w:rPr>
                <w:i/>
                <w:iCs/>
              </w:rPr>
              <w:t>Р</w:t>
            </w:r>
            <w:r>
              <w:rPr>
                <w:i/>
                <w:iCs/>
                <w:vertAlign w:val="subscript"/>
              </w:rPr>
              <w:t>wn</w:t>
            </w:r>
            <w:r>
              <w:rPr/>
              <w:t>/</w:t>
            </w:r>
            <w:r>
              <w:rPr>
                <w:i/>
                <w:iCs/>
              </w:rPr>
              <w:t>P</w:t>
            </w:r>
            <w:r>
              <w:rPr>
                <w:i/>
                <w:iCs/>
                <w:vertAlign w:val="subscript"/>
              </w:rPr>
              <w:t>I</w:t>
            </w:r>
          </w:p>
        </w:tc>
        <w:tc>
          <w:tcPr>
            <w:tcW w:w="1142" w:type="dxa"/>
            <w:tcBorders>
              <w:top w:val="single" w:sz="8" w:space="0" w:color="000000"/>
              <w:left w:val="single" w:sz="8" w:space="0" w:color="000000"/>
            </w:tcBorders>
            <w:shd w:fill="FFFFFF" w:val="clear"/>
            <w:tcMar>
              <w:left w:w="0" w:type="dxa"/>
              <w:right w:w="0" w:type="dxa"/>
            </w:tcMar>
          </w:tcPr>
          <w:p>
            <w:pPr>
              <w:pStyle w:val="Normal"/>
              <w:jc w:val="center"/>
              <w:rPr/>
            </w:pPr>
            <w:r>
              <w:rPr/>
              <w:t>0,5</w:t>
            </w:r>
          </w:p>
        </w:tc>
        <w:tc>
          <w:tcPr>
            <w:tcW w:w="1145" w:type="dxa"/>
            <w:tcBorders>
              <w:top w:val="single" w:sz="8" w:space="0" w:color="000000"/>
              <w:left w:val="single" w:sz="8" w:space="0" w:color="000000"/>
            </w:tcBorders>
            <w:shd w:fill="FFFFFF" w:val="clear"/>
            <w:tcMar>
              <w:left w:w="0" w:type="dxa"/>
              <w:right w:w="0" w:type="dxa"/>
            </w:tcMar>
          </w:tcPr>
          <w:p>
            <w:pPr>
              <w:pStyle w:val="Normal"/>
              <w:jc w:val="center"/>
              <w:rPr/>
            </w:pPr>
            <w:r>
              <w:rPr/>
              <w:t>1</w:t>
            </w:r>
          </w:p>
        </w:tc>
        <w:tc>
          <w:tcPr>
            <w:tcW w:w="1145" w:type="dxa"/>
            <w:tcBorders>
              <w:top w:val="single" w:sz="8" w:space="0" w:color="000000"/>
              <w:left w:val="single" w:sz="8" w:space="0" w:color="000000"/>
            </w:tcBorders>
            <w:shd w:fill="FFFFFF" w:val="clear"/>
            <w:tcMar>
              <w:left w:w="0" w:type="dxa"/>
              <w:right w:w="0" w:type="dxa"/>
            </w:tcMar>
          </w:tcPr>
          <w:p>
            <w:pPr>
              <w:pStyle w:val="Normal"/>
              <w:jc w:val="center"/>
              <w:rPr/>
            </w:pPr>
            <w:r>
              <w:rPr/>
              <w:t>2</w:t>
            </w:r>
          </w:p>
        </w:tc>
        <w:tc>
          <w:tcPr>
            <w:tcW w:w="1145" w:type="dxa"/>
            <w:tcBorders>
              <w:top w:val="single" w:sz="8" w:space="0" w:color="000000"/>
              <w:left w:val="single" w:sz="8" w:space="0" w:color="000000"/>
            </w:tcBorders>
            <w:shd w:fill="FFFFFF" w:val="clear"/>
            <w:tcMar>
              <w:left w:w="0" w:type="dxa"/>
              <w:right w:w="0" w:type="dxa"/>
            </w:tcMar>
          </w:tcPr>
          <w:p>
            <w:pPr>
              <w:pStyle w:val="Normal"/>
              <w:jc w:val="center"/>
              <w:rPr/>
            </w:pPr>
            <w:r>
              <w:rPr/>
              <w:t>3</w:t>
            </w:r>
          </w:p>
        </w:tc>
        <w:tc>
          <w:tcPr>
            <w:tcW w:w="1144" w:type="dxa"/>
            <w:tcBorders>
              <w:top w:val="single" w:sz="8" w:space="0" w:color="000000"/>
              <w:left w:val="single" w:sz="8" w:space="0" w:color="000000"/>
            </w:tcBorders>
            <w:shd w:fill="FFFFFF" w:val="clear"/>
            <w:tcMar>
              <w:left w:w="0" w:type="dxa"/>
              <w:right w:w="0" w:type="dxa"/>
            </w:tcMar>
          </w:tcPr>
          <w:p>
            <w:pPr>
              <w:pStyle w:val="Normal"/>
              <w:jc w:val="center"/>
              <w:rPr/>
            </w:pPr>
            <w:r>
              <w:rPr/>
              <w:t>5</w:t>
            </w:r>
          </w:p>
        </w:tc>
        <w:tc>
          <w:tcPr>
            <w:tcW w:w="1145" w:type="dxa"/>
            <w:tcBorders>
              <w:top w:val="single" w:sz="8" w:space="0" w:color="000000"/>
              <w:left w:val="single" w:sz="8" w:space="0" w:color="000000"/>
            </w:tcBorders>
            <w:shd w:fill="FFFFFF" w:val="clear"/>
            <w:tcMar>
              <w:left w:w="0" w:type="dxa"/>
              <w:right w:w="0" w:type="dxa"/>
            </w:tcMar>
          </w:tcPr>
          <w:p>
            <w:pPr>
              <w:pStyle w:val="Normal"/>
              <w:jc w:val="center"/>
              <w:rPr/>
            </w:pPr>
            <w:r>
              <w:rPr/>
              <w:t>7</w:t>
            </w:r>
          </w:p>
        </w:tc>
        <w:tc>
          <w:tcPr>
            <w:tcW w:w="1163" w:type="dxa"/>
            <w:tcBorders>
              <w:top w:val="single" w:sz="8" w:space="0" w:color="000000"/>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 и более</w:t>
            </w:r>
          </w:p>
        </w:tc>
      </w:tr>
      <w:tr>
        <w:trPr/>
        <w:tc>
          <w:tcPr>
            <w:tcW w:w="1326" w:type="dxa"/>
            <w:tcBorders>
              <w:left w:val="single" w:sz="8" w:space="0" w:color="000000"/>
              <w:bottom w:val="single" w:sz="8" w:space="0" w:color="000000"/>
              <w:insideH w:val="single" w:sz="8" w:space="0" w:color="000000"/>
            </w:tcBorders>
            <w:shd w:fill="FFFFFF" w:val="clear"/>
          </w:tcPr>
          <w:p>
            <w:pPr>
              <w:pStyle w:val="Normal"/>
              <w:jc w:val="center"/>
              <w:rPr/>
            </w:pPr>
            <w:r>
              <w:rPr>
                <w:i/>
                <w:iCs/>
              </w:rPr>
              <w:t>K</w:t>
            </w:r>
            <w:r>
              <w:rPr>
                <w:i/>
                <w:iCs/>
                <w:vertAlign w:val="subscript"/>
              </w:rPr>
              <w:t>в</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0,65</w:t>
            </w:r>
          </w:p>
        </w:tc>
        <w:tc>
          <w:tcPr>
            <w:tcW w:w="114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0,70</w:t>
            </w:r>
          </w:p>
        </w:tc>
        <w:tc>
          <w:tcPr>
            <w:tcW w:w="114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0,73</w:t>
            </w:r>
          </w:p>
        </w:tc>
        <w:tc>
          <w:tcPr>
            <w:tcW w:w="114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0,75</w:t>
            </w:r>
          </w:p>
        </w:tc>
        <w:tc>
          <w:tcPr>
            <w:tcW w:w="11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0,77</w:t>
            </w:r>
          </w:p>
        </w:tc>
        <w:tc>
          <w:tcPr>
            <w:tcW w:w="114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0,775</w:t>
            </w:r>
          </w:p>
        </w:tc>
        <w:tc>
          <w:tcPr>
            <w:tcW w:w="116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0,78</w:t>
            </w:r>
          </w:p>
        </w:tc>
      </w:tr>
    </w:tbl>
    <w:p>
      <w:pPr>
        <w:pStyle w:val="Normal"/>
        <w:spacing w:before="120" w:after="0"/>
        <w:ind w:firstLine="283"/>
        <w:jc w:val="both"/>
        <w:rPr/>
      </w:pPr>
      <w:r>
        <w:rPr>
          <w:i/>
          <w:iCs/>
        </w:rPr>
        <w:t>P</w:t>
      </w:r>
      <w:r>
        <w:rPr>
          <w:i/>
          <w:iCs/>
          <w:vertAlign w:val="subscript"/>
        </w:rPr>
        <w:t>wn</w:t>
      </w:r>
      <w:r>
        <w:rPr/>
        <w:t xml:space="preserve"> - расчетная ветровая нагрузка на провод согласно 2.5.54, Н;</w:t>
      </w:r>
    </w:p>
    <w:p>
      <w:pPr>
        <w:pStyle w:val="Normal"/>
        <w:ind w:firstLine="283"/>
        <w:jc w:val="both"/>
        <w:rPr/>
      </w:pPr>
      <w:r>
        <w:rPr>
          <w:i/>
          <w:iCs/>
        </w:rPr>
        <w:t>P</w:t>
      </w:r>
      <w:r>
        <w:rPr>
          <w:i/>
          <w:iCs/>
          <w:vertAlign w:val="subscript"/>
        </w:rPr>
        <w:t>I</w:t>
      </w:r>
      <w:r>
        <w:rPr/>
        <w:t xml:space="preserve"> - расчетная нагрузка от веса провода, Н.</w:t>
      </w:r>
    </w:p>
    <w:p>
      <w:pPr>
        <w:pStyle w:val="Normal"/>
        <w:ind w:firstLine="283"/>
        <w:jc w:val="both"/>
        <w:rPr/>
      </w:pPr>
      <w:r>
        <w:rPr/>
        <w:t xml:space="preserve">Для промежуточных значений </w:t>
      </w:r>
      <w:r>
        <w:rPr>
          <w:i/>
          <w:iCs/>
        </w:rPr>
        <w:t>Р</w:t>
      </w:r>
      <w:r>
        <w:rPr>
          <w:i/>
          <w:iCs/>
          <w:vertAlign w:val="subscript"/>
        </w:rPr>
        <w:t>wn</w:t>
      </w:r>
      <w:r>
        <w:rPr/>
        <w:t>/</w:t>
      </w:r>
      <w:r>
        <w:rPr>
          <w:i/>
          <w:iCs/>
        </w:rPr>
        <w:t>P</w:t>
      </w:r>
      <w:r>
        <w:rPr>
          <w:i/>
          <w:iCs/>
          <w:vertAlign w:val="subscript"/>
        </w:rPr>
        <w:t>I</w:t>
      </w:r>
      <w:r>
        <w:rPr/>
        <w:t xml:space="preserve">, указанных в табл. 2.5.12, </w:t>
      </w:r>
      <w:r>
        <w:rPr>
          <w:i/>
          <w:iCs/>
        </w:rPr>
        <w:t>K</w:t>
      </w:r>
      <w:r>
        <w:rPr>
          <w:i/>
          <w:iCs/>
          <w:vertAlign w:val="subscript"/>
        </w:rPr>
        <w:t>в</w:t>
      </w:r>
      <w:r>
        <w:rPr/>
        <w:t xml:space="preserve"> определяется линейной интерполяцией.</w:t>
      </w:r>
    </w:p>
    <w:p>
      <w:pPr>
        <w:pStyle w:val="Normal"/>
        <w:ind w:firstLine="283"/>
        <w:jc w:val="both"/>
        <w:rPr/>
      </w:pPr>
      <w:r>
        <w:rPr/>
        <w:t>2.5.89.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2249805" cy="269875"/>
            <wp:effectExtent l="0" t="0" r="0" b="0"/>
            <wp:docPr id="66"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 descr=""/>
                    <pic:cNvPicPr>
                      <a:picLocks noChangeAspect="1" noChangeArrowheads="1"/>
                    </pic:cNvPicPr>
                  </pic:nvPicPr>
                  <pic:blipFill>
                    <a:blip r:embed="rId74"/>
                    <a:srcRect l="-16" t="-135" r="-16" b="-135"/>
                    <a:stretch>
                      <a:fillRect/>
                    </a:stretch>
                  </pic:blipFill>
                  <pic:spPr bwMode="auto">
                    <a:xfrm>
                      <a:off x="0" y="0"/>
                      <a:ext cx="2249805" cy="269875"/>
                    </a:xfrm>
                    <a:prstGeom prst="rect">
                      <a:avLst/>
                    </a:prstGeom>
                  </pic:spPr>
                </pic:pic>
              </a:graphicData>
            </a:graphic>
          </wp:inline>
        </w:drawing>
      </w:r>
    </w:p>
    <w:p>
      <w:pPr>
        <w:pStyle w:val="Normal"/>
        <w:ind w:firstLine="284"/>
        <w:jc w:val="both"/>
        <w:rPr/>
      </w:pPr>
      <w:r>
        <w:rPr/>
        <w:t xml:space="preserve">где </w:t>
      </w:r>
      <w:r>
        <w:rPr>
          <w:i/>
          <w:iCs/>
        </w:rPr>
        <w:t>d</w:t>
      </w:r>
      <w:r>
        <w:rPr>
          <w:i/>
          <w:iCs/>
          <w:vertAlign w:val="subscript"/>
        </w:rPr>
        <w:t>верт</w:t>
      </w:r>
      <w:r>
        <w:rPr/>
        <w:t xml:space="preserve"> - расстояние между неотклоненными проводами (для расщепленных проводов - между ближайшими проводами разноименных фаз) по вертикали, м;</w:t>
      </w:r>
    </w:p>
    <w:p>
      <w:pPr>
        <w:pStyle w:val="Normal"/>
        <w:ind w:firstLine="284"/>
        <w:jc w:val="both"/>
        <w:rPr/>
      </w:pPr>
      <w:r>
        <w:rPr>
          <w:i/>
          <w:iCs/>
        </w:rPr>
        <w:t>d</w:t>
      </w:r>
      <w:r>
        <w:rPr>
          <w:i/>
          <w:iCs/>
          <w:vertAlign w:val="subscript"/>
        </w:rPr>
        <w:t>эл</w:t>
      </w:r>
      <w:r>
        <w:rPr/>
        <w:t xml:space="preserve">, </w:t>
      </w:r>
      <w:r>
        <w:rPr>
          <w:i/>
          <w:iCs/>
        </w:rPr>
        <w:t>f</w:t>
      </w:r>
      <w:r>
        <w:rPr/>
        <w:t xml:space="preserve">, </w:t>
      </w:r>
      <w:r>
        <w:rPr>
          <w:i/>
          <w:iCs/>
        </w:rPr>
        <w:t>λ</w:t>
      </w:r>
      <w:r>
        <w:rPr/>
        <w:t xml:space="preserve">, </w:t>
      </w:r>
      <w:r>
        <w:rPr>
          <w:i/>
          <w:iCs/>
        </w:rPr>
        <w:t>δ</w:t>
      </w:r>
      <w:r>
        <w:rPr/>
        <w:t xml:space="preserve"> - то же, что и в 2.5.88;</w:t>
      </w:r>
    </w:p>
    <w:p>
      <w:pPr>
        <w:pStyle w:val="Normal"/>
        <w:ind w:firstLine="284"/>
        <w:jc w:val="both"/>
        <w:rPr/>
      </w:pPr>
      <w:r>
        <w:rPr>
          <w:i/>
          <w:iCs/>
        </w:rPr>
        <w:t>K</w:t>
      </w:r>
      <w:r>
        <w:rPr>
          <w:i/>
          <w:iCs/>
          <w:vertAlign w:val="subscript"/>
        </w:rPr>
        <w:t>г</w:t>
      </w:r>
      <w:r>
        <w:rPr/>
        <w:t xml:space="preserve"> - коэффициент, значение которого принимается по табл. 2.5.13;</w:t>
      </w:r>
    </w:p>
    <w:p>
      <w:pPr>
        <w:pStyle w:val="Normal"/>
        <w:ind w:firstLine="284"/>
        <w:jc w:val="both"/>
        <w:rPr/>
      </w:pPr>
      <w:r>
        <w:rPr>
          <w:i/>
          <w:iCs/>
        </w:rPr>
        <w:t>θ</w:t>
      </w:r>
      <w:r>
        <w:rPr/>
        <w:t xml:space="preserve"> - угол наклона прямой, соединяющей точки крепления проводов (тросов), к горизонтали; при углах наклона до 10° допускается принимать cos </w:t>
      </w:r>
      <w:r>
        <w:rPr>
          <w:i/>
          <w:iCs/>
        </w:rPr>
        <w:t>θ</w:t>
      </w:r>
      <w:r>
        <w:rPr/>
        <w:t xml:space="preserve"> = 1.</w:t>
      </w:r>
    </w:p>
    <w:p>
      <w:pPr>
        <w:pStyle w:val="Normal"/>
        <w:spacing w:before="120" w:after="120"/>
        <w:jc w:val="right"/>
        <w:rPr/>
      </w:pPr>
      <w:r>
        <w:rPr>
          <w:spacing w:val="40"/>
        </w:rPr>
        <w:t>Таблица</w:t>
      </w:r>
      <w:r>
        <w:rPr/>
        <w:t xml:space="preserve"> 2.5.13</w:t>
      </w:r>
    </w:p>
    <w:p>
      <w:pPr>
        <w:pStyle w:val="Normal"/>
        <w:spacing w:before="0" w:after="120"/>
        <w:jc w:val="center"/>
        <w:rPr/>
      </w:pPr>
      <w:r>
        <w:rPr>
          <w:b/>
          <w:bCs/>
        </w:rPr>
        <w:t xml:space="preserve">Значение коэффициента </w:t>
      </w:r>
      <w:r>
        <w:rPr>
          <w:b/>
          <w:bCs/>
          <w:i/>
          <w:iCs/>
        </w:rPr>
        <w:t>K</w:t>
      </w:r>
      <w:r>
        <w:rPr>
          <w:b/>
          <w:bCs/>
          <w:i/>
          <w:iCs/>
          <w:vertAlign w:val="subscript"/>
        </w:rPr>
        <w:t>г</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465"/>
        <w:gridCol w:w="980"/>
        <w:gridCol w:w="980"/>
        <w:gridCol w:w="980"/>
        <w:gridCol w:w="980"/>
        <w:gridCol w:w="980"/>
        <w:gridCol w:w="980"/>
        <w:gridCol w:w="980"/>
        <w:gridCol w:w="1030"/>
      </w:tblGrid>
      <w:tr>
        <w:trPr/>
        <w:tc>
          <w:tcPr>
            <w:tcW w:w="1465" w:type="dxa"/>
            <w:vMerge w:val="restart"/>
            <w:tcBorders>
              <w:top w:val="single" w:sz="8" w:space="0" w:color="000000"/>
              <w:left w:val="single" w:sz="8" w:space="0" w:color="000000"/>
              <w:bottom w:val="single" w:sz="8" w:space="0" w:color="000000"/>
              <w:insideH w:val="single" w:sz="8" w:space="0" w:color="000000"/>
            </w:tcBorders>
            <w:shd w:fill="FFFFFF" w:val="clear"/>
          </w:tcPr>
          <w:p>
            <w:pPr>
              <w:pStyle w:val="Normal"/>
              <w:jc w:val="center"/>
              <w:rPr/>
            </w:pPr>
            <w:r>
              <w:rPr/>
              <w:t>Значение стрел провеса, м</w:t>
            </w:r>
          </w:p>
        </w:tc>
        <w:tc>
          <w:tcPr>
            <w:tcW w:w="7890"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 xml:space="preserve">Значение коэффициента </w:t>
            </w:r>
            <w:r>
              <w:rPr>
                <w:i/>
                <w:iCs/>
              </w:rPr>
              <w:t>K</w:t>
            </w:r>
            <w:r>
              <w:rPr>
                <w:i/>
                <w:iCs/>
                <w:vertAlign w:val="subscript"/>
              </w:rPr>
              <w:t>г</w:t>
            </w:r>
            <w:r>
              <w:rPr/>
              <w:t xml:space="preserve"> при отношении </w:t>
            </w:r>
            <w:r>
              <w:rPr>
                <w:i/>
                <w:iCs/>
              </w:rPr>
              <w:t>P</w:t>
            </w:r>
            <w:r>
              <w:rPr>
                <w:i/>
                <w:iCs/>
                <w:vertAlign w:val="subscript"/>
              </w:rPr>
              <w:t>г.п</w:t>
            </w:r>
            <w:r>
              <w:rPr/>
              <w:t>/</w:t>
            </w:r>
            <w:r>
              <w:rPr>
                <w:i/>
                <w:iCs/>
              </w:rPr>
              <w:t>P</w:t>
            </w:r>
            <w:r>
              <w:rPr>
                <w:i/>
                <w:iCs/>
                <w:vertAlign w:val="subscript"/>
              </w:rPr>
              <w:t>I</w:t>
            </w:r>
          </w:p>
        </w:tc>
      </w:tr>
      <w:tr>
        <w:trPr/>
        <w:tc>
          <w:tcPr>
            <w:tcW w:w="1465" w:type="dxa"/>
            <w:vMerge w:val="continue"/>
            <w:tcBorders>
              <w:top w:val="single" w:sz="8" w:space="0" w:color="000000"/>
              <w:left w:val="single" w:sz="8" w:space="0" w:color="000000"/>
              <w:bottom w:val="single" w:sz="8" w:space="0" w:color="000000"/>
              <w:insideH w:val="single" w:sz="8" w:space="0" w:color="000000"/>
            </w:tcBorders>
            <w:shd w:fill="FFFFFF" w:val="clear"/>
          </w:tcPr>
          <w:p>
            <w:pPr>
              <w:pStyle w:val="Normal"/>
              <w:snapToGrid w:val="false"/>
              <w:rPr/>
            </w:pPr>
            <w:r>
              <w:rPr/>
            </w:r>
          </w:p>
        </w:tc>
        <w:tc>
          <w:tcPr>
            <w:tcW w:w="980" w:type="dxa"/>
            <w:tcBorders>
              <w:left w:val="single" w:sz="8" w:space="0" w:color="000000"/>
              <w:bottom w:val="single" w:sz="8" w:space="0" w:color="000000"/>
              <w:insideH w:val="single" w:sz="8" w:space="0" w:color="000000"/>
            </w:tcBorders>
            <w:shd w:fill="FFFFFF" w:val="clear"/>
          </w:tcPr>
          <w:p>
            <w:pPr>
              <w:pStyle w:val="Normal"/>
              <w:jc w:val="center"/>
              <w:rPr/>
            </w:pPr>
            <w:r>
              <w:rPr/>
              <w:t>0,5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w:t>
            </w:r>
          </w:p>
        </w:tc>
        <w:tc>
          <w:tcPr>
            <w:tcW w:w="10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 и более</w:t>
            </w:r>
          </w:p>
        </w:tc>
      </w:tr>
      <w:tr>
        <w:trPr/>
        <w:tc>
          <w:tcPr>
            <w:tcW w:w="1465" w:type="dxa"/>
            <w:tcBorders>
              <w:left w:val="single" w:sz="8" w:space="0" w:color="000000"/>
              <w:bottom w:val="single" w:sz="8" w:space="0" w:color="000000"/>
              <w:insideH w:val="single" w:sz="8" w:space="0" w:color="000000"/>
            </w:tcBorders>
            <w:shd w:fill="FFFFFF" w:val="clear"/>
          </w:tcPr>
          <w:p>
            <w:pPr>
              <w:pStyle w:val="Normal"/>
              <w:jc w:val="both"/>
              <w:rPr/>
            </w:pPr>
            <w:r>
              <w:rPr/>
              <w:t>Менее 12</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0,4</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0,9</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w:t>
            </w:r>
          </w:p>
        </w:tc>
        <w:tc>
          <w:tcPr>
            <w:tcW w:w="10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1,4</w:t>
            </w:r>
          </w:p>
        </w:tc>
      </w:tr>
      <w:tr>
        <w:trPr/>
        <w:tc>
          <w:tcPr>
            <w:tcW w:w="1465" w:type="dxa"/>
            <w:tcBorders>
              <w:left w:val="single" w:sz="8" w:space="0" w:color="000000"/>
              <w:bottom w:val="single" w:sz="8" w:space="0" w:color="000000"/>
              <w:insideH w:val="single" w:sz="8" w:space="0" w:color="000000"/>
            </w:tcBorders>
            <w:shd w:fill="FFFFFF" w:val="clear"/>
          </w:tcPr>
          <w:p>
            <w:pPr>
              <w:pStyle w:val="Normal"/>
              <w:jc w:val="both"/>
              <w:rPr/>
            </w:pPr>
            <w:r>
              <w:rPr/>
              <w:t>От 12 до 20</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0,85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1,75</w:t>
            </w:r>
          </w:p>
        </w:tc>
        <w:tc>
          <w:tcPr>
            <w:tcW w:w="10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1,9</w:t>
            </w:r>
          </w:p>
        </w:tc>
      </w:tr>
      <w:tr>
        <w:trPr/>
        <w:tc>
          <w:tcPr>
            <w:tcW w:w="1465" w:type="dxa"/>
            <w:tcBorders>
              <w:left w:val="single" w:sz="8" w:space="0" w:color="000000"/>
              <w:bottom w:val="single" w:sz="8" w:space="0" w:color="000000"/>
              <w:insideH w:val="single" w:sz="8" w:space="0" w:color="000000"/>
            </w:tcBorders>
            <w:shd w:fill="FFFFFF" w:val="clear"/>
          </w:tcPr>
          <w:p>
            <w:pPr>
              <w:pStyle w:val="Normal"/>
              <w:jc w:val="both"/>
              <w:rPr/>
            </w:pPr>
            <w:r>
              <w:rPr/>
              <w:t>Выше 20</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0,95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1,75</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w:t>
            </w:r>
          </w:p>
        </w:tc>
        <w:tc>
          <w:tcPr>
            <w:tcW w:w="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w:t>
            </w:r>
          </w:p>
        </w:tc>
        <w:tc>
          <w:tcPr>
            <w:tcW w:w="10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2,4</w:t>
            </w:r>
          </w:p>
        </w:tc>
      </w:tr>
    </w:tbl>
    <w:p>
      <w:pPr>
        <w:pStyle w:val="Normal"/>
        <w:spacing w:before="120" w:after="0"/>
        <w:ind w:firstLine="283"/>
        <w:jc w:val="both"/>
        <w:rPr/>
      </w:pPr>
      <w:r>
        <w:rPr>
          <w:i/>
          <w:iCs/>
        </w:rPr>
        <w:t>P</w:t>
      </w:r>
      <w:r>
        <w:rPr>
          <w:i/>
          <w:iCs/>
          <w:vertAlign w:val="subscript"/>
        </w:rPr>
        <w:t>г.п</w:t>
      </w:r>
      <w:r>
        <w:rPr/>
        <w:t xml:space="preserve"> - расчетная гололедная нагрузка на провод, Н/м, определяется по 2.5.55;</w:t>
      </w:r>
    </w:p>
    <w:p>
      <w:pPr>
        <w:pStyle w:val="Normal"/>
        <w:ind w:firstLine="283"/>
        <w:jc w:val="both"/>
        <w:rPr/>
      </w:pPr>
      <w:r>
        <w:rPr>
          <w:i/>
          <w:iCs/>
        </w:rPr>
        <w:t>P</w:t>
      </w:r>
      <w:r>
        <w:rPr>
          <w:i/>
          <w:iCs/>
          <w:vertAlign w:val="subscript"/>
        </w:rPr>
        <w:t>I</w:t>
      </w:r>
      <w:r>
        <w:rPr/>
        <w:t xml:space="preserve"> - то же, что и в 2.5.88.</w:t>
      </w:r>
    </w:p>
    <w:p>
      <w:pPr>
        <w:pStyle w:val="Normal"/>
        <w:ind w:firstLine="283"/>
        <w:jc w:val="both"/>
        <w:rPr/>
      </w:pPr>
      <w:r>
        <w:rPr/>
        <w:t xml:space="preserve">Для промежуточных значений </w:t>
      </w:r>
      <w:r>
        <w:rPr>
          <w:i/>
          <w:iCs/>
        </w:rPr>
        <w:t>P</w:t>
      </w:r>
      <w:r>
        <w:rPr>
          <w:i/>
          <w:iCs/>
          <w:vertAlign w:val="subscript"/>
        </w:rPr>
        <w:t>г.п</w:t>
      </w:r>
      <w:r>
        <w:rPr/>
        <w:t>/</w:t>
      </w:r>
      <w:r>
        <w:rPr>
          <w:i/>
          <w:iCs/>
        </w:rPr>
        <w:t>P</w:t>
      </w:r>
      <w:r>
        <w:rPr>
          <w:i/>
          <w:iCs/>
          <w:vertAlign w:val="subscript"/>
        </w:rPr>
        <w:t>I</w:t>
      </w:r>
      <w:r>
        <w:rPr/>
        <w:t xml:space="preserve">, указанных в табл. 2.5.13, </w:t>
      </w:r>
      <w:r>
        <w:rPr>
          <w:i/>
          <w:iCs/>
        </w:rPr>
        <w:t>K</w:t>
      </w:r>
      <w:r>
        <w:rPr>
          <w:i/>
          <w:iCs/>
          <w:vertAlign w:val="subscript"/>
        </w:rPr>
        <w:t>г</w:t>
      </w:r>
      <w:r>
        <w:rPr/>
        <w:t xml:space="preserve"> определяется линейной интерполяцией.</w:t>
      </w:r>
    </w:p>
    <w:p>
      <w:pPr>
        <w:pStyle w:val="Normal"/>
        <w:ind w:firstLine="283"/>
        <w:jc w:val="both"/>
        <w:rPr/>
      </w:pPr>
      <w:r>
        <w:rPr/>
        <w:t xml:space="preserve">2.5.90.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w:t>
      </w:r>
      <w:r>
        <w:rPr>
          <w:i/>
          <w:iCs/>
        </w:rPr>
        <w:t>d</w:t>
      </w:r>
      <w:r>
        <w:rPr>
          <w:i/>
          <w:iCs/>
          <w:vertAlign w:val="subscript"/>
        </w:rPr>
        <w:t>гор</w:t>
      </w:r>
      <w:r>
        <w:rPr/>
        <w:t xml:space="preserve"> (при заданном расстоянии между проводами по вертикали) или минимальное расстояние по вертикали </w:t>
      </w:r>
      <w:r>
        <w:rPr>
          <w:i/>
          <w:iCs/>
        </w:rPr>
        <w:t>d</w:t>
      </w:r>
      <w:r>
        <w:rPr>
          <w:i/>
          <w:iCs/>
          <w:vertAlign w:val="subscript"/>
        </w:rPr>
        <w:t>верт</w:t>
      </w:r>
      <w:r>
        <w:rPr/>
        <w:t xml:space="preserve"> (при заданном смещении по горизонтали) определяется в середине пролета в зависимости от наименьших расстояний между проводами ВЛ </w:t>
      </w:r>
      <w:r>
        <w:rPr>
          <w:i/>
          <w:iCs/>
        </w:rPr>
        <w:t>d</w:t>
      </w:r>
      <w:r>
        <w:rPr>
          <w:i/>
          <w:iCs/>
          <w:vertAlign w:val="subscript"/>
        </w:rPr>
        <w:t>гор</w:t>
      </w:r>
      <w:r>
        <w:rPr/>
        <w:t xml:space="preserve"> и </w:t>
      </w:r>
      <w:r>
        <w:rPr>
          <w:i/>
          <w:iCs/>
        </w:rPr>
        <w:t>d</w:t>
      </w:r>
      <w:r>
        <w:rPr>
          <w:i/>
          <w:iCs/>
          <w:vertAlign w:val="subscript"/>
        </w:rPr>
        <w:t>верт</w:t>
      </w:r>
      <w:r>
        <w:rPr/>
        <w:t xml:space="preserve">, рассчитанных согласно 2.5.88 и 2.5.89 для фактических условий, и принимается в соответствии с табл. 2.5.14 (при </w:t>
      </w:r>
      <w:r>
        <w:rPr>
          <w:i/>
          <w:iCs/>
        </w:rPr>
        <w:t>d</w:t>
      </w:r>
      <w:r>
        <w:rPr>
          <w:i/>
          <w:iCs/>
          <w:vertAlign w:val="subscript"/>
        </w:rPr>
        <w:t>гор</w:t>
      </w:r>
      <w:r>
        <w:rPr/>
        <w:t xml:space="preserve"> &lt; </w:t>
      </w:r>
      <w:r>
        <w:rPr>
          <w:i/>
          <w:iCs/>
        </w:rPr>
        <w:t>d</w:t>
      </w:r>
      <w:r>
        <w:rPr>
          <w:i/>
          <w:iCs/>
          <w:vertAlign w:val="subscript"/>
        </w:rPr>
        <w:t>верт</w:t>
      </w:r>
      <w:r>
        <w:rPr/>
        <w:t xml:space="preserve">) или табл. 2.5.15 (при </w:t>
      </w:r>
      <w:r>
        <w:rPr>
          <w:i/>
          <w:iCs/>
        </w:rPr>
        <w:t>d</w:t>
      </w:r>
      <w:r>
        <w:rPr>
          <w:i/>
          <w:iCs/>
          <w:vertAlign w:val="subscript"/>
        </w:rPr>
        <w:t>гор</w:t>
      </w:r>
      <w:r>
        <w:rPr/>
        <w:t xml:space="preserve"> &gt; </w:t>
      </w:r>
      <w:r>
        <w:rPr>
          <w:i/>
          <w:iCs/>
        </w:rPr>
        <w:t>d</w:t>
      </w:r>
      <w:r>
        <w:rPr>
          <w:i/>
          <w:iCs/>
          <w:vertAlign w:val="subscript"/>
        </w:rPr>
        <w:t>верт</w:t>
      </w:r>
      <w:r>
        <w:rPr/>
        <w:t>).</w:t>
      </w:r>
    </w:p>
    <w:p>
      <w:pPr>
        <w:pStyle w:val="Normal"/>
        <w:spacing w:before="120" w:after="120"/>
        <w:jc w:val="right"/>
        <w:rPr/>
      </w:pPr>
      <w:r>
        <w:rPr>
          <w:spacing w:val="40"/>
        </w:rPr>
        <w:t>Таблица</w:t>
      </w:r>
      <w:r>
        <w:rPr/>
        <w:t xml:space="preserve"> 2.5.14</w:t>
      </w:r>
    </w:p>
    <w:p>
      <w:pPr>
        <w:pStyle w:val="Normal"/>
        <w:spacing w:before="0" w:after="120"/>
        <w:jc w:val="center"/>
        <w:rP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&lt; </w:t>
      </w:r>
      <w:r>
        <w:rPr>
          <w:b/>
          <w:bCs/>
          <w:i/>
          <w:iCs/>
        </w:rPr>
        <w:t>d</w:t>
      </w:r>
      <w:r>
        <w:rPr>
          <w:b/>
          <w:bCs/>
          <w:i/>
          <w:iCs/>
          <w:vertAlign w:val="subscript"/>
        </w:rPr>
        <w:t>верт</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378"/>
        <w:gridCol w:w="1233"/>
        <w:gridCol w:w="1182"/>
        <w:gridCol w:w="1182"/>
        <w:gridCol w:w="1181"/>
        <w:gridCol w:w="1199"/>
      </w:tblGrid>
      <w:tr>
        <w:trPr/>
        <w:tc>
          <w:tcPr>
            <w:tcW w:w="3378" w:type="dxa"/>
            <w:tcBorders>
              <w:top w:val="single" w:sz="8" w:space="0" w:color="000000"/>
              <w:left w:val="single" w:sz="8" w:space="0" w:color="000000"/>
              <w:bottom w:val="single" w:sz="8" w:space="0" w:color="000000"/>
              <w:insideH w:val="single" w:sz="8" w:space="0" w:color="000000"/>
            </w:tcBorders>
            <w:shd w:fill="FFFFFF" w:val="clear"/>
          </w:tcPr>
          <w:p>
            <w:pPr>
              <w:pStyle w:val="Normal"/>
              <w:jc w:val="both"/>
              <w:rPr/>
            </w:pPr>
            <w:r>
              <w:rPr/>
              <w:t>Горизонтальное смещение</w:t>
            </w:r>
          </w:p>
        </w:tc>
        <w:tc>
          <w:tcPr>
            <w:tcW w:w="123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w:t>
            </w:r>
          </w:p>
        </w:tc>
        <w:tc>
          <w:tcPr>
            <w:tcW w:w="1182"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0,25 </w:t>
            </w:r>
            <w:r>
              <w:rPr>
                <w:i/>
                <w:iCs/>
              </w:rPr>
              <w:t>d</w:t>
            </w:r>
            <w:r>
              <w:rPr>
                <w:i/>
                <w:iCs/>
                <w:vertAlign w:val="subscript"/>
              </w:rPr>
              <w:t>гор</w:t>
            </w:r>
          </w:p>
        </w:tc>
        <w:tc>
          <w:tcPr>
            <w:tcW w:w="1182"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0,50 </w:t>
            </w:r>
            <w:r>
              <w:rPr>
                <w:i/>
                <w:iCs/>
              </w:rPr>
              <w:t>d</w:t>
            </w:r>
            <w:r>
              <w:rPr>
                <w:i/>
                <w:iCs/>
                <w:vertAlign w:val="subscript"/>
              </w:rPr>
              <w:t>гор</w:t>
            </w:r>
          </w:p>
        </w:tc>
        <w:tc>
          <w:tcPr>
            <w:tcW w:w="1181"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0,75 </w:t>
            </w:r>
            <w:r>
              <w:rPr>
                <w:i/>
                <w:iCs/>
              </w:rPr>
              <w:t>d</w:t>
            </w:r>
            <w:r>
              <w:rPr>
                <w:i/>
                <w:iCs/>
                <w:vertAlign w:val="subscript"/>
              </w:rPr>
              <w:t>гор</w:t>
            </w:r>
          </w:p>
        </w:tc>
        <w:tc>
          <w:tcPr>
            <w:tcW w:w="119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i/>
                <w:iCs/>
              </w:rPr>
              <w:t>d</w:t>
            </w:r>
            <w:r>
              <w:rPr>
                <w:i/>
                <w:iCs/>
                <w:vertAlign w:val="subscript"/>
              </w:rPr>
              <w:t>гор</w:t>
            </w:r>
          </w:p>
        </w:tc>
      </w:tr>
      <w:tr>
        <w:trPr/>
        <w:tc>
          <w:tcPr>
            <w:tcW w:w="3378" w:type="dxa"/>
            <w:tcBorders>
              <w:left w:val="single" w:sz="8" w:space="0" w:color="000000"/>
              <w:bottom w:val="single" w:sz="8" w:space="0" w:color="000000"/>
              <w:insideH w:val="single" w:sz="8" w:space="0" w:color="000000"/>
            </w:tcBorders>
            <w:shd w:fill="FFFFFF" w:val="clear"/>
          </w:tcPr>
          <w:p>
            <w:pPr>
              <w:pStyle w:val="Normal"/>
              <w:jc w:val="both"/>
              <w:rPr/>
            </w:pPr>
            <w:r>
              <w:rPr/>
              <w:t>Вертикальное расстояние</w:t>
            </w:r>
          </w:p>
        </w:tc>
        <w:tc>
          <w:tcPr>
            <w:tcW w:w="123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d</w:t>
            </w:r>
            <w:r>
              <w:rPr>
                <w:i/>
                <w:iCs/>
                <w:vertAlign w:val="subscript"/>
              </w:rPr>
              <w:t>верт</w:t>
            </w:r>
          </w:p>
        </w:tc>
        <w:tc>
          <w:tcPr>
            <w:tcW w:w="1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0,95 </w:t>
            </w:r>
            <w:r>
              <w:rPr>
                <w:i/>
                <w:iCs/>
              </w:rPr>
              <w:t>d</w:t>
            </w:r>
            <w:r>
              <w:rPr>
                <w:i/>
                <w:iCs/>
                <w:vertAlign w:val="subscript"/>
              </w:rPr>
              <w:t>верт</w:t>
            </w:r>
          </w:p>
        </w:tc>
        <w:tc>
          <w:tcPr>
            <w:tcW w:w="1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0,85 </w:t>
            </w:r>
            <w:r>
              <w:rPr>
                <w:i/>
                <w:iCs/>
              </w:rPr>
              <w:t>d</w:t>
            </w:r>
            <w:r>
              <w:rPr>
                <w:i/>
                <w:iCs/>
                <w:vertAlign w:val="subscript"/>
              </w:rPr>
              <w:t>верт</w:t>
            </w:r>
          </w:p>
        </w:tc>
        <w:tc>
          <w:tcPr>
            <w:tcW w:w="11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xml:space="preserve">0,65 </w:t>
            </w:r>
            <w:r>
              <w:rPr>
                <w:i/>
                <w:iCs/>
              </w:rPr>
              <w:t>d</w:t>
            </w:r>
            <w:r>
              <w:rPr>
                <w:i/>
                <w:iCs/>
                <w:vertAlign w:val="subscript"/>
              </w:rPr>
              <w:t>верт</w:t>
            </w:r>
          </w:p>
        </w:tc>
        <w:tc>
          <w:tcPr>
            <w:tcW w:w="119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w:t>
            </w:r>
          </w:p>
        </w:tc>
      </w:tr>
    </w:tbl>
    <w:p>
      <w:pPr>
        <w:pStyle w:val="Normal"/>
        <w:spacing w:before="120" w:after="120"/>
        <w:jc w:val="right"/>
        <w:rPr/>
      </w:pPr>
      <w:r>
        <w:rPr>
          <w:spacing w:val="40"/>
        </w:rPr>
        <w:t>Таблица</w:t>
      </w:r>
      <w:r>
        <w:rPr/>
        <w:t xml:space="preserve"> 2.5.15</w:t>
      </w:r>
    </w:p>
    <w:p>
      <w:pPr>
        <w:pStyle w:val="Normal"/>
        <w:spacing w:before="0" w:after="120"/>
        <w:jc w:val="center"/>
        <w:rPr/>
      </w:pPr>
      <w:r>
        <w:rPr>
          <w:b/>
          <w:bCs/>
        </w:rPr>
        <w:t xml:space="preserve">Соотношения между горизонтальным и вертикальным смещениями проводов при </w:t>
      </w:r>
      <w:r>
        <w:rPr>
          <w:b/>
          <w:bCs/>
          <w:i/>
          <w:iCs/>
        </w:rPr>
        <w:t>d</w:t>
      </w:r>
      <w:r>
        <w:rPr>
          <w:b/>
          <w:bCs/>
          <w:i/>
          <w:iCs/>
          <w:vertAlign w:val="subscript"/>
        </w:rPr>
        <w:t>гор</w:t>
      </w:r>
      <w:r>
        <w:rPr>
          <w:b/>
          <w:bCs/>
        </w:rPr>
        <w:t xml:space="preserve"> &gt; </w:t>
      </w:r>
      <w:r>
        <w:rPr>
          <w:b/>
          <w:bCs/>
          <w:i/>
          <w:iCs/>
        </w:rPr>
        <w:t>d</w:t>
      </w:r>
      <w:r>
        <w:rPr>
          <w:b/>
          <w:bCs/>
          <w:i/>
          <w:iCs/>
          <w:vertAlign w:val="subscript"/>
        </w:rPr>
        <w:t>верт</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376"/>
        <w:gridCol w:w="1191"/>
        <w:gridCol w:w="1192"/>
        <w:gridCol w:w="1191"/>
        <w:gridCol w:w="1191"/>
        <w:gridCol w:w="1214"/>
      </w:tblGrid>
      <w:tr>
        <w:trPr/>
        <w:tc>
          <w:tcPr>
            <w:tcW w:w="3376" w:type="dxa"/>
            <w:tcBorders>
              <w:top w:val="single" w:sz="8" w:space="0" w:color="000000"/>
              <w:left w:val="single" w:sz="8" w:space="0" w:color="000000"/>
              <w:bottom w:val="single" w:sz="8" w:space="0" w:color="000000"/>
              <w:insideH w:val="single" w:sz="8" w:space="0" w:color="000000"/>
            </w:tcBorders>
            <w:shd w:fill="FFFFFF" w:val="clear"/>
          </w:tcPr>
          <w:p>
            <w:pPr>
              <w:pStyle w:val="Normal"/>
              <w:jc w:val="both"/>
              <w:rPr/>
            </w:pPr>
            <w:r>
              <w:rPr/>
              <w:t>Вертикальное расстояние</w:t>
            </w:r>
          </w:p>
        </w:tc>
        <w:tc>
          <w:tcPr>
            <w:tcW w:w="1191"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0</w:t>
            </w:r>
          </w:p>
        </w:tc>
        <w:tc>
          <w:tcPr>
            <w:tcW w:w="1192"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0,25 </w:t>
            </w:r>
            <w:r>
              <w:rPr>
                <w:i/>
                <w:iCs/>
              </w:rPr>
              <w:t>d</w:t>
            </w:r>
            <w:r>
              <w:rPr>
                <w:i/>
                <w:iCs/>
                <w:vertAlign w:val="subscript"/>
              </w:rPr>
              <w:t>верт</w:t>
            </w:r>
          </w:p>
        </w:tc>
        <w:tc>
          <w:tcPr>
            <w:tcW w:w="1191"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0,50 </w:t>
            </w:r>
            <w:r>
              <w:rPr>
                <w:i/>
                <w:iCs/>
              </w:rPr>
              <w:t>d</w:t>
            </w:r>
            <w:r>
              <w:rPr>
                <w:i/>
                <w:iCs/>
                <w:vertAlign w:val="subscript"/>
              </w:rPr>
              <w:t>верт</w:t>
            </w:r>
          </w:p>
        </w:tc>
        <w:tc>
          <w:tcPr>
            <w:tcW w:w="1191"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0,75 </w:t>
            </w:r>
            <w:r>
              <w:rPr>
                <w:i/>
                <w:iCs/>
              </w:rPr>
              <w:t>d</w:t>
            </w:r>
            <w:r>
              <w:rPr>
                <w:i/>
                <w:iCs/>
                <w:vertAlign w:val="subscript"/>
              </w:rPr>
              <w:t>верт</w:t>
            </w:r>
          </w:p>
        </w:tc>
        <w:tc>
          <w:tcPr>
            <w:tcW w:w="121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i/>
                <w:iCs/>
              </w:rPr>
              <w:t>d</w:t>
            </w:r>
            <w:r>
              <w:rPr>
                <w:i/>
                <w:iCs/>
                <w:vertAlign w:val="subscript"/>
              </w:rPr>
              <w:t>верт</w:t>
            </w:r>
          </w:p>
        </w:tc>
      </w:tr>
      <w:tr>
        <w:trPr/>
        <w:tc>
          <w:tcPr>
            <w:tcW w:w="3376" w:type="dxa"/>
            <w:tcBorders>
              <w:left w:val="single" w:sz="8" w:space="0" w:color="000000"/>
              <w:bottom w:val="single" w:sz="8" w:space="0" w:color="000000"/>
              <w:insideH w:val="single" w:sz="8" w:space="0" w:color="000000"/>
            </w:tcBorders>
            <w:shd w:fill="FFFFFF" w:val="clear"/>
          </w:tcPr>
          <w:p>
            <w:pPr>
              <w:pStyle w:val="Normal"/>
              <w:jc w:val="both"/>
              <w:rPr/>
            </w:pPr>
            <w:r>
              <w:rPr/>
              <w:t>Горизонтальное смещение</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i/>
                <w:iCs/>
              </w:rPr>
              <w:t>d</w:t>
            </w:r>
            <w:r>
              <w:rPr>
                <w:i/>
                <w:iCs/>
                <w:vertAlign w:val="subscript"/>
              </w:rPr>
              <w:t>гор</w:t>
            </w:r>
          </w:p>
        </w:tc>
        <w:tc>
          <w:tcPr>
            <w:tcW w:w="119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0,95 </w:t>
            </w:r>
            <w:r>
              <w:rPr>
                <w:i/>
                <w:iCs/>
              </w:rPr>
              <w:t>d</w:t>
            </w:r>
            <w:r>
              <w:rPr>
                <w:i/>
                <w:iCs/>
                <w:vertAlign w:val="subscript"/>
              </w:rPr>
              <w:t>гор</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0,85 </w:t>
            </w:r>
            <w:r>
              <w:rPr>
                <w:i/>
                <w:iCs/>
              </w:rPr>
              <w:t>d</w:t>
            </w:r>
            <w:r>
              <w:rPr>
                <w:i/>
                <w:iCs/>
                <w:vertAlign w:val="subscript"/>
              </w:rPr>
              <w:t>гор</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0,65 </w:t>
            </w:r>
            <w:r>
              <w:rPr>
                <w:i/>
                <w:iCs/>
              </w:rPr>
              <w:t>d</w:t>
            </w:r>
            <w:r>
              <w:rPr>
                <w:i/>
                <w:iCs/>
                <w:vertAlign w:val="subscript"/>
              </w:rPr>
              <w:t>гор</w:t>
            </w:r>
          </w:p>
        </w:tc>
        <w:tc>
          <w:tcPr>
            <w:tcW w:w="121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0</w:t>
            </w:r>
          </w:p>
        </w:tc>
      </w:tr>
    </w:tbl>
    <w:p>
      <w:pPr>
        <w:pStyle w:val="Normal"/>
        <w:spacing w:before="120" w:after="0"/>
        <w:ind w:firstLine="283"/>
        <w:jc w:val="both"/>
        <w:rPr/>
      </w:pPr>
      <w:r>
        <w:rPr/>
        <w:t>Промежуточные значения смещений и расстояний определяются линейной интерполяцией.</w:t>
      </w:r>
    </w:p>
    <w:p>
      <w:pPr>
        <w:pStyle w:val="Normal"/>
        <w:ind w:firstLine="283"/>
        <w:jc w:val="both"/>
        <w:rPr/>
      </w:pPr>
      <w:r>
        <w:rPr/>
        <w:t>Расстояния, определенные по 2.5.88, 2.5.89, 2.5.90, допускается округлять до 0,1 м для стрел провеса до 4 м, до 0,25 м для стрел провеса 4 - 12 м и до 0,5 м при стрелах более 12 м.</w:t>
      </w:r>
    </w:p>
    <w:p>
      <w:pPr>
        <w:pStyle w:val="Normal"/>
        <w:ind w:firstLine="283"/>
        <w:jc w:val="both"/>
        <w:rPr/>
      </w:pPr>
      <w:r>
        <w:rPr/>
        <w:t>2.5.91. Выбранные согласно 2.5.89, 2.5.90 расстояния между проводами должны быть также проверены на условия пляски (см. табл. П1 - П8 приложения). Из двух расстояний следует принимать наибольшее.</w:t>
      </w:r>
    </w:p>
    <w:p>
      <w:pPr>
        <w:pStyle w:val="Normal"/>
        <w:ind w:firstLine="283"/>
        <w:jc w:val="both"/>
        <w:rPr/>
      </w:pPr>
      <w:r>
        <w:rPr/>
        <w:t>2.5.92. На ВЛ 35 кВ и выше с подвесными изоляторами при непараллельном расположении проводов минимальные расстояния между ними следует определять:</w:t>
      </w:r>
    </w:p>
    <w:p>
      <w:pPr>
        <w:pStyle w:val="Normal"/>
        <w:ind w:firstLine="283"/>
        <w:jc w:val="both"/>
        <w:rPr/>
      </w:pPr>
      <w:r>
        <w:rPr/>
        <w:t>1) в середине пролета - в соответствии с 2.5.88 - 2.5.91;</w:t>
      </w:r>
    </w:p>
    <w:p>
      <w:pPr>
        <w:pStyle w:val="Normal"/>
        <w:ind w:firstLine="283"/>
        <w:jc w:val="both"/>
        <w:rPr/>
      </w:pPr>
      <w:r>
        <w:rPr/>
        <w:t xml:space="preserve">2) на опоре: горизонтальные расстояния </w:t>
      </w:r>
      <w:r>
        <w:rPr>
          <w:i/>
          <w:iCs/>
        </w:rPr>
        <w:t>d</w:t>
      </w:r>
      <w:r>
        <w:rPr>
          <w:i/>
          <w:iCs/>
          <w:vertAlign w:val="subscript"/>
        </w:rPr>
        <w:t>гор</w:t>
      </w:r>
      <w:r>
        <w:rPr/>
        <w:t xml:space="preserve"> - согласно 2.5.88 при стреле провеса провода </w:t>
      </w:r>
      <w:r>
        <w:rPr>
          <w:i/>
          <w:iCs/>
        </w:rPr>
        <w:t>f</w:t>
      </w:r>
      <w:r>
        <w:rPr/>
        <w:t xml:space="preserve">/16, длине поддерживающей гирлянды изоляторов </w:t>
      </w:r>
      <w:r>
        <w:rPr>
          <w:i/>
          <w:iCs/>
        </w:rPr>
        <w:t>λ</w:t>
      </w:r>
      <w:r>
        <w:rPr/>
        <w:t xml:space="preserve">/16 и </w:t>
      </w:r>
      <w:r>
        <w:rPr>
          <w:i/>
          <w:iCs/>
        </w:rPr>
        <w:t>K</w:t>
      </w:r>
      <w:r>
        <w:rPr>
          <w:i/>
          <w:iCs/>
          <w:vertAlign w:val="subscript"/>
        </w:rPr>
        <w:t>в</w:t>
      </w:r>
      <w:r>
        <w:rPr/>
        <w:t xml:space="preserve"> = 1; вертикальные расстояния </w:t>
      </w:r>
      <w:r>
        <w:rPr>
          <w:i/>
          <w:iCs/>
        </w:rPr>
        <w:t>d</w:t>
      </w:r>
      <w:r>
        <w:rPr>
          <w:i/>
          <w:iCs/>
          <w:vertAlign w:val="subscript"/>
        </w:rPr>
        <w:t>верт</w:t>
      </w:r>
      <w:r>
        <w:rPr/>
        <w:t xml:space="preserve"> - согласно 2.5.89 при стреле провеса </w:t>
      </w:r>
      <w:r>
        <w:rPr>
          <w:i/>
          <w:iCs/>
        </w:rPr>
        <w:t>f</w:t>
      </w:r>
      <w:r>
        <w:rPr/>
        <w:t xml:space="preserve"> = 0 и </w:t>
      </w:r>
      <w:r>
        <w:rPr>
          <w:i/>
          <w:iCs/>
        </w:rPr>
        <w:t>K</w:t>
      </w:r>
      <w:r>
        <w:rPr>
          <w:i/>
          <w:iCs/>
          <w:vertAlign w:val="subscript"/>
        </w:rPr>
        <w:t>г</w:t>
      </w:r>
      <w:r>
        <w:rPr/>
        <w:t xml:space="preserve"> = 1.</w:t>
      </w:r>
    </w:p>
    <w:p>
      <w:pPr>
        <w:pStyle w:val="Normal"/>
        <w:ind w:firstLine="283"/>
        <w:jc w:val="both"/>
        <w:rPr/>
      </w:pPr>
      <w:r>
        <w:rPr/>
        <w:t>Расстояния между проводами ВЛ с металлическими и железобетонными опорами должны также удовлетворять требованиям: на одноцепных опорах - 2.5.125, 2.5.126, на двухцепных опорах - 2.5.95, а на ВЛ с деревянными опорами - требованиям 2.5.123;</w:t>
      </w:r>
    </w:p>
    <w:p>
      <w:pPr>
        <w:pStyle w:val="Normal"/>
        <w:ind w:firstLine="283"/>
        <w:jc w:val="both"/>
        <w:rPr/>
      </w:pPr>
      <w:r>
        <w:rPr/>
        <w:t xml:space="preserve">3) на расстоянии от опоры 0,25 длины пролета: горизонтальные расстояния </w:t>
      </w:r>
      <w:r>
        <w:rPr>
          <w:i/>
          <w:iCs/>
        </w:rPr>
        <w:t>d</w:t>
      </w:r>
      <w:r>
        <w:rPr>
          <w:i/>
          <w:iCs/>
          <w:vertAlign w:val="subscript"/>
        </w:rPr>
        <w:t>гор</w:t>
      </w:r>
      <w:r>
        <w:rPr/>
        <w:t xml:space="preserve"> определяются интерполяцией расстояния на опоре и в середине пролета; вертикальные расстояния </w:t>
      </w:r>
      <w:r>
        <w:rPr>
          <w:i/>
          <w:iCs/>
        </w:rPr>
        <w:t>d</w:t>
      </w:r>
      <w:r>
        <w:rPr>
          <w:i/>
          <w:iCs/>
          <w:vertAlign w:val="subscript"/>
        </w:rPr>
        <w:t>верт</w:t>
      </w:r>
      <w:r>
        <w:rPr/>
        <w:t xml:space="preserve"> принимаются как для середины пролета.</w:t>
      </w:r>
    </w:p>
    <w:p>
      <w:pPr>
        <w:pStyle w:val="Normal"/>
        <w:ind w:firstLine="283"/>
        <w:jc w:val="both"/>
        <w:rPr/>
      </w:pPr>
      <w:r>
        <w:rPr/>
        <w:t xml:space="preserve">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Pr>
          <w:i/>
          <w:iCs/>
        </w:rPr>
        <w:t>d</w:t>
      </w:r>
      <w:r>
        <w:rPr>
          <w:i/>
          <w:iCs/>
          <w:vertAlign w:val="subscript"/>
        </w:rPr>
        <w:t>гор</w:t>
      </w:r>
      <w:r>
        <w:rPr/>
        <w:t xml:space="preserve"> или </w:t>
      </w:r>
      <w:r>
        <w:rPr>
          <w:i/>
          <w:iCs/>
        </w:rPr>
        <w:t>d</w:t>
      </w:r>
      <w:r>
        <w:rPr>
          <w:i/>
          <w:iCs/>
          <w:vertAlign w:val="subscript"/>
        </w:rPr>
        <w:t>верт</w:t>
      </w:r>
      <w:r>
        <w:rPr/>
        <w:t>, рассчитанных в точках, ограничивающих первую или вторую четверти пролета от опоры в которой имеется пересечение.</w:t>
      </w:r>
    </w:p>
    <w:p>
      <w:pPr>
        <w:pStyle w:val="Normal"/>
        <w:ind w:firstLine="283"/>
        <w:jc w:val="both"/>
        <w:rPr/>
      </w:pPr>
      <w:r>
        <w:rPr/>
        <w:t>2.5.93. Расстояния между проводами и тросами определяются согласно 2.5.88 - 2.5.90 дважды: по параметрам провода и параметрам троса, и из двух расстояний выбирается наибольшее. При этом допускается определять расстояния по фазному напряжению ВЛ.</w:t>
      </w:r>
    </w:p>
    <w:p>
      <w:pPr>
        <w:pStyle w:val="Normal"/>
        <w:ind w:firstLine="284"/>
        <w:jc w:val="both"/>
        <w:rPr/>
      </w:pPr>
      <w:r>
        <w:rPr/>
        <w:t>Выбор расстояний между проводами и тросами по условиям пляски производится по стрелам провеса провода при среднегодовой температуре (см. приложение).</w:t>
      </w:r>
    </w:p>
    <w:p>
      <w:pPr>
        <w:pStyle w:val="Normal"/>
        <w:ind w:firstLine="284"/>
        <w:jc w:val="both"/>
        <w:rPr/>
      </w:pPr>
      <w:r>
        <w:rPr/>
        <w:t>При двух и более тросах на ВЛ выбор расстояний между ними производится по параметрам тросов.</w:t>
      </w:r>
    </w:p>
    <w:p>
      <w:pPr>
        <w:pStyle w:val="Normal"/>
        <w:ind w:firstLine="284"/>
        <w:jc w:val="both"/>
        <w:rPr/>
      </w:pPr>
      <w:r>
        <w:rPr/>
        <w:t>2.5.94. На ВЛ 35 кВ и ниже со штыревыми и стержневыми изоляторами при любом расположении проводов расстояние между ними по условиям их сближения в пролете должно быть не менее значений, определенных по формуле, м,</w:t>
      </w:r>
    </w:p>
    <w:p>
      <w:pPr>
        <w:pStyle w:val="Normal"/>
        <w:spacing w:before="120" w:after="120"/>
        <w:jc w:val="center"/>
        <w:rPr>
          <w:vertAlign w:val="subscript"/>
        </w:rPr>
      </w:pPr>
      <w:r>
        <w:rPr>
          <w:vertAlign w:val="subscript"/>
        </w:rPr>
        <w:drawing>
          <wp:inline distT="0" distB="0" distL="0" distR="0">
            <wp:extent cx="1009650" cy="229870"/>
            <wp:effectExtent l="0" t="0" r="0" b="0"/>
            <wp:docPr id="67"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1" descr=""/>
                    <pic:cNvPicPr>
                      <a:picLocks noChangeAspect="1" noChangeArrowheads="1"/>
                    </pic:cNvPicPr>
                  </pic:nvPicPr>
                  <pic:blipFill>
                    <a:blip r:embed="rId75"/>
                    <a:srcRect l="-35" t="-157" r="-35" b="-157"/>
                    <a:stretch>
                      <a:fillRect/>
                    </a:stretch>
                  </pic:blipFill>
                  <pic:spPr bwMode="auto">
                    <a:xfrm>
                      <a:off x="0" y="0"/>
                      <a:ext cx="1009650" cy="229870"/>
                    </a:xfrm>
                    <a:prstGeom prst="rect">
                      <a:avLst/>
                    </a:prstGeom>
                  </pic:spPr>
                </pic:pic>
              </a:graphicData>
            </a:graphic>
          </wp:inline>
        </w:drawing>
      </w:r>
    </w:p>
    <w:p>
      <w:pPr>
        <w:pStyle w:val="Normal"/>
        <w:ind w:firstLine="284"/>
        <w:jc w:val="both"/>
        <w:rPr/>
      </w:pPr>
      <w:r>
        <w:rPr/>
        <w:t xml:space="preserve">где </w:t>
      </w:r>
      <w:r>
        <w:rPr>
          <w:i/>
          <w:iCs/>
        </w:rPr>
        <w:t>d</w:t>
      </w:r>
      <w:r>
        <w:rPr>
          <w:i/>
          <w:iCs/>
          <w:vertAlign w:val="subscript"/>
        </w:rPr>
        <w:t>эл</w:t>
      </w:r>
      <w:r>
        <w:rPr/>
        <w:t xml:space="preserve"> - то же, что и в 2.5.88;</w:t>
      </w:r>
    </w:p>
    <w:p>
      <w:pPr>
        <w:pStyle w:val="Normal"/>
        <w:ind w:firstLine="284"/>
        <w:jc w:val="both"/>
        <w:rPr/>
      </w:pPr>
      <w:r>
        <w:rPr>
          <w:i/>
          <w:iCs/>
        </w:rPr>
        <w:t>f</w:t>
      </w:r>
      <w:r>
        <w:rPr/>
        <w:t xml:space="preserve"> - стрела провеса при высшей температуре после вытяжки провода в действительном пролете, м.</w:t>
      </w:r>
    </w:p>
    <w:p>
      <w:pPr>
        <w:pStyle w:val="Normal"/>
        <w:ind w:firstLine="284"/>
        <w:jc w:val="both"/>
        <w:rPr/>
      </w:pPr>
      <w:r>
        <w:rPr/>
        <w:t xml:space="preserve">При </w:t>
      </w:r>
      <w:r>
        <w:rPr>
          <w:i/>
          <w:iCs/>
        </w:rPr>
        <w:t>f</w:t>
      </w:r>
      <w:r>
        <w:rPr/>
        <w:t xml:space="preserve"> &gt; 2 м расстояние </w:t>
      </w:r>
      <w:r>
        <w:rPr>
          <w:i/>
          <w:iCs/>
        </w:rPr>
        <w:t>d</w:t>
      </w:r>
      <w:r>
        <w:rPr/>
        <w:t xml:space="preserve"> допускается определять согласно 2.5.88 и 2.5.89 при </w:t>
      </w:r>
      <w:r>
        <w:rPr>
          <w:i/>
          <w:iCs/>
        </w:rPr>
        <w:t>δ</w:t>
      </w:r>
      <w:r>
        <w:rPr/>
        <w:t xml:space="preserve"> = 0.</w:t>
      </w:r>
    </w:p>
    <w:p>
      <w:pPr>
        <w:pStyle w:val="Normal"/>
        <w:ind w:firstLine="284"/>
        <w:jc w:val="both"/>
        <w:rPr/>
      </w:pPr>
      <w:r>
        <w:rPr/>
        <w:t>Расстояние между проводами на опоре и в пролете ВЛЗ независимо от расположения проводов на опоре и района по гололеду должно быть не менее 0,4 м.</w:t>
      </w:r>
    </w:p>
    <w:p>
      <w:pPr>
        <w:pStyle w:val="Normal"/>
        <w:ind w:firstLine="284"/>
        <w:jc w:val="both"/>
        <w:rPr/>
      </w:pPr>
      <w:r>
        <w:rPr/>
        <w:t>2.5.95. На двухцепных опорах расстояние между ближайшими проводами разных цепей по условию работы проводов в пролете должно удовлетворять требованиям 2.5.88 -2.5.91, 2.5.96; при этом указанные расстояния должны быть не менее: 2 м - для ВЛ до 20 кВ со штыревыми и 2,5 м с подвесными изоляторами; 2,5 м - для ВЛ 35 кВ со штыревыми и 3 м с подвесными изоляторами; 4м - для ВЛ 110 кВ; 5 м - для ВЛ 150 кВ; 6 м - для ВЛ 220 кВ; 7 м - для ВЛ 330 кВ; 8,5 м - для ВЛ 500 кВ и 10 м - для ВЛ 750 кВ.</w:t>
      </w:r>
    </w:p>
    <w:p>
      <w:pPr>
        <w:pStyle w:val="Normal"/>
        <w:ind w:firstLine="284"/>
        <w:jc w:val="both"/>
        <w:rPr/>
      </w:pPr>
      <w:r>
        <w:rPr/>
        <w:t>На двухцепных опорах ВЛЗ расстояние между ближайшими проводами разных цепей должно быть не менее 0,6 м для ВЛЗ со штыревыми изоляторами и 1,5 м - с подвесными изоляторами.</w:t>
      </w:r>
    </w:p>
    <w:p>
      <w:pPr>
        <w:pStyle w:val="Normal"/>
        <w:ind w:firstLine="284"/>
        <w:jc w:val="both"/>
        <w:rPr/>
      </w:pPr>
      <w:r>
        <w:rPr/>
        <w:t>2.5.96. Провода ВЛ разных напряжений выше 1 кВ могут быть подвешены на общих опорах.</w:t>
      </w:r>
    </w:p>
    <w:p>
      <w:pPr>
        <w:pStyle w:val="Normal"/>
        <w:ind w:firstLine="284"/>
        <w:jc w:val="both"/>
        <w:rPr/>
      </w:pPr>
      <w:r>
        <w:rPr/>
        <w:t>Допускается подвеска на общих опорах проводов ВЛ до 10 кВ и ВЛ до 1 кВ при соблюдении следующих условий:</w:t>
      </w:r>
    </w:p>
    <w:p>
      <w:pPr>
        <w:pStyle w:val="Normal"/>
        <w:ind w:firstLine="284"/>
        <w:jc w:val="both"/>
        <w:rPr/>
      </w:pPr>
      <w:r>
        <w:rPr/>
        <w:t>1) ВЛ до 1 кВ должны выполняться по расчетным условиям ВЛ высшего напряжения;</w:t>
      </w:r>
    </w:p>
    <w:p>
      <w:pPr>
        <w:pStyle w:val="Normal"/>
        <w:ind w:firstLine="284"/>
        <w:jc w:val="both"/>
        <w:rPr/>
      </w:pPr>
      <w:r>
        <w:rPr/>
        <w:t>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 °С без ветра должно быть не менее 2 м;</w:t>
      </w:r>
    </w:p>
    <w:p>
      <w:pPr>
        <w:pStyle w:val="Normal"/>
        <w:ind w:firstLine="284"/>
        <w:jc w:val="both"/>
        <w:rPr/>
      </w:pPr>
      <w:r>
        <w:rPr/>
        <w:t>3) крепление проводов высшего напряжения на штыревых изоляторах должно быть двойным.</w:t>
      </w:r>
    </w:p>
    <w:p>
      <w:pPr>
        <w:pStyle w:val="Normal"/>
        <w:ind w:firstLine="284"/>
        <w:jc w:val="both"/>
        <w:rPr/>
      </w:pPr>
      <w:r>
        <w:rP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вызвать смещение нейтрали при нормальном режиме сети более 15 % фазного напряжения.</w:t>
      </w:r>
    </w:p>
    <w:p>
      <w:pPr>
        <w:pStyle w:val="Normal"/>
        <w:ind w:firstLine="284"/>
        <w:jc w:val="both"/>
        <w:rPr/>
      </w:pPr>
      <w:r>
        <w:rP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pPr>
        <w:pStyle w:val="Normal"/>
        <w:ind w:firstLine="284"/>
        <w:jc w:val="both"/>
        <w:rPr/>
      </w:pPr>
      <w:r>
        <w:rPr/>
        <w:t>Провода ВЛЗ могут быть подвешены на общих опорах с проводами ВЛ 6 - 20 кВ, а также с проводами ВЛ и ВЛИ</w:t>
      </w:r>
      <w:r>
        <w:rPr>
          <w:vertAlign w:val="superscript"/>
        </w:rPr>
        <w:t>*</w:t>
      </w:r>
      <w:r>
        <w:rPr/>
        <w:t xml:space="preserve"> до 1 кВ.</w:t>
      </w:r>
    </w:p>
    <w:p>
      <w:pPr>
        <w:pStyle w:val="Normal"/>
        <w:spacing w:before="120" w:after="120"/>
        <w:ind w:firstLine="283"/>
        <w:jc w:val="both"/>
        <w:rPr/>
      </w:pPr>
      <w:r>
        <w:rPr>
          <w:vertAlign w:val="superscript"/>
        </w:rPr>
        <w:t>*</w:t>
      </w:r>
      <w:r>
        <w:rPr/>
        <w:t xml:space="preserve"> Здесь и далее ВЛИ - воздушная линия электропередачи с самонесущими изолированными проводами.</w:t>
      </w:r>
    </w:p>
    <w:p>
      <w:pPr>
        <w:pStyle w:val="Normal"/>
        <w:spacing w:before="120" w:after="0"/>
        <w:ind w:firstLine="284"/>
        <w:jc w:val="both"/>
        <w:rPr/>
      </w:pPr>
      <w:r>
        <w:rPr/>
        <w:t>Расстояние по вертикали между ближайшими проводами ВЛЗ и ВЛ 6 - 20 кВ на общей опоре и в пролете при температуре плюс 15 °С без ветра должно быть не менее 1,5 м.</w:t>
      </w:r>
    </w:p>
    <w:p>
      <w:pPr>
        <w:pStyle w:val="Normal"/>
        <w:ind w:firstLine="284"/>
        <w:jc w:val="both"/>
        <w:rPr/>
      </w:pPr>
      <w:r>
        <w:rPr/>
        <w:t>При подвеске на общих опорах проводов ВЛЗ 6 - 20 кВ и ВЛ до 1 кВ или ВЛИ должны соблюдаться следующие требования:</w:t>
      </w:r>
    </w:p>
    <w:p>
      <w:pPr>
        <w:pStyle w:val="Normal"/>
        <w:ind w:firstLine="284"/>
        <w:jc w:val="both"/>
        <w:rPr/>
      </w:pPr>
      <w:r>
        <w:rPr/>
        <w:t>1) ВЛ до 1 кВ или ВЛИ должны выполняться по расчетным условиям ВЛЗ;</w:t>
      </w:r>
    </w:p>
    <w:p>
      <w:pPr>
        <w:pStyle w:val="Normal"/>
        <w:ind w:firstLine="284"/>
        <w:jc w:val="both"/>
        <w:rPr/>
      </w:pPr>
      <w:r>
        <w:rPr/>
        <w:t>2) провода ВЛЗ 6 - 20 кВ должны располагаться выше проводов ВЛ до 1 кВ или ВЛИ;</w:t>
      </w:r>
    </w:p>
    <w:p>
      <w:pPr>
        <w:pStyle w:val="Normal"/>
        <w:ind w:firstLine="284"/>
        <w:jc w:val="both"/>
        <w:rPr/>
      </w:pPr>
      <w:r>
        <w:rPr/>
        <w:t>3) расстояние по вертикали между ближайшими проводами ВЛЗ 6 - 20 кВ и проводами ВЛ до 1 кВ или ВЛИ на общей опоре и в пролете при температуре плюс 15 °С без ветра должно быть не менее 0,4 м для ВЛИ и 1,5 м для ВЛ;</w:t>
      </w:r>
    </w:p>
    <w:p>
      <w:pPr>
        <w:pStyle w:val="Normal"/>
        <w:ind w:firstLine="284"/>
        <w:jc w:val="both"/>
        <w:rPr/>
      </w:pPr>
      <w:r>
        <w:rPr/>
        <w:t>4) крепление проводов ВЛЗ 6 - 20 кВ на штыревых и подвесных изоляторах должно выполняться усиленным.</w:t>
      </w:r>
    </w:p>
    <w:p>
      <w:pPr>
        <w:pStyle w:val="Heading3"/>
        <w:rPr/>
      </w:pPr>
      <w:r>
        <w:rPr/>
        <w:t>ИЗОЛЯТОРЫ И АРМАТУРА</w:t>
      </w:r>
    </w:p>
    <w:p>
      <w:pPr>
        <w:pStyle w:val="Normal"/>
        <w:ind w:firstLine="284"/>
        <w:jc w:val="both"/>
        <w:rPr/>
      </w:pPr>
      <w:r>
        <w:rPr/>
        <w:t>2.5.97. На ВЛ 110 кВ и выше должны применяться подвесные изоляторы, допускается применение стержневых и опорно-стержневых изоляторов.</w:t>
      </w:r>
    </w:p>
    <w:p>
      <w:pPr>
        <w:pStyle w:val="Normal"/>
        <w:ind w:firstLine="284"/>
        <w:jc w:val="both"/>
        <w:rPr/>
      </w:pPr>
      <w:r>
        <w:rPr/>
        <w:t>На ВЛ 35 кВ должны применяться подвесные или стержневые изоляторы. Допускается применение штыревых изоляторов.</w:t>
      </w:r>
    </w:p>
    <w:p>
      <w:pPr>
        <w:pStyle w:val="Normal"/>
        <w:ind w:firstLine="284"/>
        <w:jc w:val="both"/>
        <w:rPr/>
      </w:pPr>
      <w:r>
        <w:rPr/>
        <w:t>На ВЛ 20 кВ и ниже должны применяться:</w:t>
      </w:r>
    </w:p>
    <w:p>
      <w:pPr>
        <w:pStyle w:val="Normal"/>
        <w:ind w:firstLine="284"/>
        <w:jc w:val="both"/>
        <w:rPr/>
      </w:pPr>
      <w:r>
        <w:rPr/>
        <w:t>1) на промежуточных опорах - любые типы изоляторов;</w:t>
      </w:r>
    </w:p>
    <w:p>
      <w:pPr>
        <w:pStyle w:val="Normal"/>
        <w:ind w:firstLine="284"/>
        <w:jc w:val="both"/>
        <w:rPr/>
      </w:pPr>
      <w:r>
        <w:rPr/>
        <w:t>2) на опорах анкерного типа - подвесные изоляторы, допускается применение штыревых изоляторов в районе по гололеду I и в ненаселенной местности.</w:t>
      </w:r>
    </w:p>
    <w:p>
      <w:pPr>
        <w:pStyle w:val="Normal"/>
        <w:ind w:firstLine="284"/>
        <w:jc w:val="both"/>
        <w:rPr/>
      </w:pPr>
      <w:r>
        <w:rPr/>
        <w:t>2.5.98.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pPr>
        <w:pStyle w:val="Normal"/>
        <w:ind w:firstLine="284"/>
        <w:jc w:val="both"/>
        <w:rPr/>
      </w:pPr>
      <w:r>
        <w:rPr/>
        <w:t>На ВЛ 330 кВ и выше рекомендуется применять, как правило, стеклянные изоляторы; на ВЛ 35 - 220 кВ - стеклянные, полимерные и фарфоровые, преимущество должно отдаваться стеклянным или полимерным изоляторам.</w:t>
      </w:r>
    </w:p>
    <w:p>
      <w:pPr>
        <w:pStyle w:val="Normal"/>
        <w:ind w:firstLine="284"/>
        <w:jc w:val="both"/>
        <w:rPr/>
      </w:pPr>
      <w:r>
        <w:rPr/>
        <w:t>На ВЛ, проходящих в особо сложных для эксплуатации условиях (горы, болота, районы Крайнего Севера и т.п.),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pPr>
        <w:pStyle w:val="Normal"/>
        <w:ind w:firstLine="284"/>
        <w:jc w:val="both"/>
        <w:rPr/>
      </w:pPr>
      <w:r>
        <w:rPr/>
        <w:t>2.5.99. Выбор количества изоляторов в гирляндах производится в соответствии с гл. 1.9.</w:t>
      </w:r>
    </w:p>
    <w:p>
      <w:pPr>
        <w:pStyle w:val="Normal"/>
        <w:ind w:firstLine="284"/>
        <w:jc w:val="both"/>
        <w:rPr/>
      </w:pPr>
      <w:r>
        <w:rPr/>
        <w:t>2.5.100. Изоляторы и арматура выбираются по нагрузкам в нормальных и аварийных режимах работы ВЛ при климатических условиях, указанных в 2.5.71 и 2.5.72 соответственно.</w:t>
      </w:r>
    </w:p>
    <w:p>
      <w:pPr>
        <w:pStyle w:val="Normal"/>
        <w:ind w:firstLine="284"/>
        <w:jc w:val="both"/>
        <w:rPr/>
      </w:pPr>
      <w:r>
        <w:rPr/>
        <w:t xml:space="preserve">Горизонтальная нагрузка в аварийных режимах поддерживающих гирлянд изоляторов определяется согласно </w:t>
      </w:r>
      <w:r>
        <w:rPr>
          <w:color w:val="000000"/>
        </w:rPr>
        <w:t>2.5.141</w:t>
      </w:r>
      <w:r>
        <w:rPr/>
        <w:t>, 2.5.142 и 2.5.143.</w:t>
      </w:r>
    </w:p>
    <w:p>
      <w:pPr>
        <w:pStyle w:val="Normal"/>
        <w:ind w:firstLine="284"/>
        <w:jc w:val="both"/>
        <w:rPr/>
      </w:pPr>
      <w:r>
        <w:rPr/>
        <w:t xml:space="preserve">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r>
        <w:rPr>
          <w:i/>
          <w:iCs/>
        </w:rPr>
        <w:t>γ</w:t>
      </w:r>
      <w:r>
        <w:rPr>
          <w:i/>
          <w:iCs/>
          <w:vertAlign w:val="subscript"/>
        </w:rPr>
        <w:t>м</w:t>
      </w:r>
      <w:r>
        <w:rPr/>
        <w:t>.</w:t>
      </w:r>
    </w:p>
    <w:p>
      <w:pPr>
        <w:pStyle w:val="Normal"/>
        <w:ind w:firstLine="284"/>
        <w:jc w:val="both"/>
        <w:rPr/>
      </w:pPr>
      <w:r>
        <w:rPr/>
        <w:t xml:space="preserve">Для ВЛ, проходящих в районах со среднегодовой температурой минус 10 °С и ниже или в районах с низшей температурой минус 50 °С и ниже, расчетные усилия в изоляторах и арматуре умножаются на коэффициент условий работы </w:t>
      </w:r>
      <w:r>
        <w:rPr>
          <w:i/>
          <w:iCs/>
        </w:rPr>
        <w:t>γ</w:t>
      </w:r>
      <w:r>
        <w:rPr>
          <w:i/>
          <w:iCs/>
          <w:vertAlign w:val="subscript"/>
        </w:rPr>
        <w:t>d</w:t>
      </w:r>
      <w:r>
        <w:rPr/>
        <w:t xml:space="preserve"> = 1,4, для остальных ВЛ </w:t>
      </w:r>
      <w:r>
        <w:rPr>
          <w:i/>
          <w:iCs/>
        </w:rPr>
        <w:t>γ</w:t>
      </w:r>
      <w:r>
        <w:rPr>
          <w:i/>
          <w:iCs/>
          <w:vertAlign w:val="subscript"/>
        </w:rPr>
        <w:t>d</w:t>
      </w:r>
      <w:r>
        <w:rPr/>
        <w:t xml:space="preserve"> = 1,0.</w:t>
      </w:r>
    </w:p>
    <w:p>
      <w:pPr>
        <w:pStyle w:val="Normal"/>
        <w:ind w:firstLine="284"/>
        <w:jc w:val="both"/>
        <w:rPr/>
      </w:pPr>
      <w:r>
        <w:rPr/>
        <w:t>2.5.101. Коэффициенты надежности по материалу ум для изоляторов и арматуры должны быть не менее:</w:t>
      </w:r>
    </w:p>
    <w:p>
      <w:pPr>
        <w:pStyle w:val="Normal"/>
        <w:ind w:firstLine="284"/>
        <w:jc w:val="both"/>
        <w:rPr/>
      </w:pPr>
      <w:r>
        <w:rPr/>
        <w:t>1) в нормальном режиме:</w:t>
      </w:r>
    </w:p>
    <w:p>
      <w:pPr>
        <w:pStyle w:val="Normal"/>
        <w:ind w:firstLine="284"/>
        <w:jc w:val="both"/>
        <w:rPr/>
      </w:pPr>
      <w:r>
        <w:rPr/>
        <w:t>при наибольших нагрузках                                                                        2,5</w:t>
      </w:r>
    </w:p>
    <w:p>
      <w:pPr>
        <w:pStyle w:val="Normal"/>
        <w:ind w:firstLine="284"/>
        <w:jc w:val="both"/>
        <w:rPr/>
      </w:pPr>
      <w:r>
        <w:rPr/>
        <w:t>при среднеэксплуатационных нагрузках для изоляторов</w:t>
      </w:r>
    </w:p>
    <w:p>
      <w:pPr>
        <w:pStyle w:val="Normal"/>
        <w:ind w:firstLine="284"/>
        <w:jc w:val="both"/>
        <w:rPr/>
      </w:pPr>
      <w:r>
        <w:rPr/>
        <w:t>для поддерживающих гирлянд                                                                  5,0</w:t>
      </w:r>
    </w:p>
    <w:p>
      <w:pPr>
        <w:pStyle w:val="Normal"/>
        <w:ind w:firstLine="284"/>
        <w:jc w:val="both"/>
        <w:rPr/>
      </w:pPr>
      <w:r>
        <w:rPr/>
        <w:t>для натяжных гирлянд                                                                               6,0</w:t>
      </w:r>
    </w:p>
    <w:p>
      <w:pPr>
        <w:pStyle w:val="Normal"/>
        <w:ind w:firstLine="284"/>
        <w:jc w:val="both"/>
        <w:rPr/>
      </w:pPr>
      <w:r>
        <w:rPr/>
        <w:t>2) в аварийном режиме:</w:t>
      </w:r>
    </w:p>
    <w:p>
      <w:pPr>
        <w:pStyle w:val="Normal"/>
        <w:ind w:firstLine="284"/>
        <w:jc w:val="both"/>
        <w:rPr/>
      </w:pPr>
      <w:r>
        <w:rPr/>
        <w:t>для ВЛ 500 кВ и 750 кВ                                                                              2,0</w:t>
      </w:r>
    </w:p>
    <w:p>
      <w:pPr>
        <w:pStyle w:val="Normal"/>
        <w:ind w:firstLine="284"/>
        <w:jc w:val="both"/>
        <w:rPr/>
      </w:pPr>
      <w:r>
        <w:rPr/>
        <w:t>для ВЛ 330 кВ и ниже                                                                                1,8</w:t>
      </w:r>
    </w:p>
    <w:p>
      <w:pPr>
        <w:pStyle w:val="Normal"/>
        <w:ind w:firstLine="284"/>
        <w:jc w:val="both"/>
        <w:rPr/>
      </w:pPr>
      <w:r>
        <w:rPr/>
        <w:t>3) в нормальном и аварийных режимах:</w:t>
      </w:r>
    </w:p>
    <w:p>
      <w:pPr>
        <w:pStyle w:val="Normal"/>
        <w:ind w:firstLine="284"/>
        <w:jc w:val="both"/>
        <w:rPr/>
      </w:pPr>
      <w:r>
        <w:rPr/>
        <w:t>для крюков и штырей                                                                                 1,1</w:t>
      </w:r>
    </w:p>
    <w:p>
      <w:pPr>
        <w:pStyle w:val="Normal"/>
        <w:ind w:firstLine="284"/>
        <w:jc w:val="both"/>
        <w:rPr/>
      </w:pPr>
      <w:r>
        <w:rPr/>
        <w:t>2.5.102.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(2.5.111) следует принимать обрыв одной цепи. При этом расчетные нагрузки от проводов и тросов принимаются для климатических условий, указанных в 2.5.71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pPr>
        <w:pStyle w:val="Normal"/>
        <w:ind w:firstLine="284"/>
        <w:jc w:val="both"/>
        <w:rPr/>
      </w:pPr>
      <w:r>
        <w:rPr/>
        <w:t>2.5.103.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p>
      <w:pPr>
        <w:pStyle w:val="Normal"/>
        <w:ind w:firstLine="284"/>
        <w:jc w:val="both"/>
        <w:rPr/>
      </w:pPr>
      <w:r>
        <w:rPr/>
        <w:t>2.5.104. Крепление проводов к подвесным изоляторам и крепление тросов следует производить при помощи глухих поддерживающих или натяжных зажимов.</w:t>
      </w:r>
    </w:p>
    <w:p>
      <w:pPr>
        <w:pStyle w:val="Normal"/>
        <w:ind w:firstLine="284"/>
        <w:jc w:val="both"/>
        <w:rPr/>
      </w:pPr>
      <w:r>
        <w:rPr/>
        <w:t>Крепление проводов к штыревым изоляторам следует производить проволочными вязками или специальными зажимами.</w:t>
      </w:r>
    </w:p>
    <w:p>
      <w:pPr>
        <w:pStyle w:val="Normal"/>
        <w:ind w:firstLine="284"/>
        <w:jc w:val="both"/>
        <w:rPr/>
      </w:pPr>
      <w:r>
        <w:rPr/>
        <w:t>2.5.105.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pPr>
        <w:pStyle w:val="Normal"/>
        <w:ind w:firstLine="284"/>
        <w:jc w:val="both"/>
        <w:rPr/>
      </w:pPr>
      <w:r>
        <w:rPr/>
        <w:t>2.5.106. Поддерживающие гирлянды изоляторов ВЛ 750 кВ должны выполняться двухцепными с раздельным креплением к опоре.</w:t>
      </w:r>
    </w:p>
    <w:p>
      <w:pPr>
        <w:pStyle w:val="Normal"/>
        <w:ind w:firstLine="284"/>
        <w:jc w:val="both"/>
        <w:rPr/>
      </w:pPr>
      <w:r>
        <w:rPr/>
        <w:t>2.5.107. Поддерживающие гирлянды изоляторов для промежуточно-угловых опор ВЛ 330 кВ и выше должны выполняться двухцепными.</w:t>
      </w:r>
    </w:p>
    <w:p>
      <w:pPr>
        <w:pStyle w:val="Normal"/>
        <w:ind w:firstLine="284"/>
        <w:jc w:val="both"/>
        <w:rPr/>
      </w:pPr>
      <w:r>
        <w:rPr/>
        <w:t>2.5.108.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p>
      <w:pPr>
        <w:pStyle w:val="Normal"/>
        <w:ind w:firstLine="284"/>
        <w:jc w:val="both"/>
        <w:rPr/>
      </w:pPr>
      <w:r>
        <w:rPr/>
        <w:t>2.5.109. В двухцепных поддерживающих гирляндах изоляторов цепи следует располагать вдоль оси ВЛ.</w:t>
      </w:r>
    </w:p>
    <w:p>
      <w:pPr>
        <w:pStyle w:val="Normal"/>
        <w:ind w:firstLine="284"/>
        <w:jc w:val="both"/>
        <w:rPr/>
      </w:pPr>
      <w:r>
        <w:rPr/>
        <w:t>2.5.110.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pPr>
        <w:pStyle w:val="Normal"/>
        <w:ind w:firstLine="284"/>
        <w:jc w:val="both"/>
        <w:rPr/>
      </w:pPr>
      <w:r>
        <w:rPr/>
        <w:t>2.5.111.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p>
      <w:pPr>
        <w:pStyle w:val="Normal"/>
        <w:ind w:firstLine="284"/>
        <w:jc w:val="both"/>
        <w:rPr/>
      </w:pPr>
      <w:r>
        <w:rPr/>
        <w:t>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p>
      <w:pPr>
        <w:pStyle w:val="Normal"/>
        <w:ind w:firstLine="284"/>
        <w:jc w:val="both"/>
        <w:rPr/>
      </w:pPr>
      <w:r>
        <w:rPr/>
        <w:t>2.5.112.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p>
      <w:pPr>
        <w:pStyle w:val="Normal"/>
        <w:ind w:firstLine="284"/>
        <w:jc w:val="both"/>
        <w:rPr/>
      </w:pPr>
      <w:r>
        <w:rPr/>
        <w:t>2.5.113. В натяжных гирляндах изоляторов ВЛ 330 кВ и выше со стороны пролета должна быть установлена экранная защитная арматура.</w:t>
      </w:r>
    </w:p>
    <w:p>
      <w:pPr>
        <w:pStyle w:val="Normal"/>
        <w:ind w:firstLine="284"/>
        <w:jc w:val="both"/>
        <w:rPr/>
      </w:pPr>
      <w:r>
        <w:rPr/>
        <w:t>2.5.114. В одном пролете ВЛ допускается не более одного соединения на каждый провод и трос.</w:t>
      </w:r>
    </w:p>
    <w:p>
      <w:pPr>
        <w:pStyle w:val="Normal"/>
        <w:ind w:firstLine="284"/>
        <w:jc w:val="both"/>
        <w:rPr/>
      </w:pPr>
      <w:r>
        <w:rPr/>
        <w:t>В пролетах пересечения ВЛ с улицами (проездами), инженерными сооружениями, перечисленными в 2.5.231 - 2.5.268, 2.5.279, водными пространствами одно соединение на провод (трос) допускается:</w:t>
      </w:r>
    </w:p>
    <w:p>
      <w:pPr>
        <w:pStyle w:val="Normal"/>
        <w:ind w:firstLine="284"/>
        <w:jc w:val="both"/>
        <w:rPr/>
      </w:pPr>
      <w:r>
        <w:rPr/>
        <w:t>при сталеалюминиевых проводах с площадью сечения по алюминию 240 мм</w:t>
      </w:r>
      <w:r>
        <w:rPr>
          <w:vertAlign w:val="superscript"/>
        </w:rPr>
        <w:t>2</w:t>
      </w:r>
      <w:r>
        <w:rPr/>
        <w:t xml:space="preserve"> и более независимо от содержания стали;</w:t>
      </w:r>
    </w:p>
    <w:p>
      <w:pPr>
        <w:pStyle w:val="Normal"/>
        <w:ind w:firstLine="284"/>
        <w:jc w:val="both"/>
        <w:rPr/>
      </w:pPr>
      <w:r>
        <w:rPr/>
        <w:t xml:space="preserve">при сталеалюминиевых проводах с отношениям </w:t>
      </w:r>
      <w:r>
        <w:rPr>
          <w:i/>
          <w:iCs/>
        </w:rPr>
        <w:t>А</w:t>
      </w:r>
      <w:r>
        <w:rPr/>
        <w:t>/</w:t>
      </w:r>
      <w:r>
        <w:rPr>
          <w:i/>
          <w:iCs/>
        </w:rPr>
        <w:t>С</w:t>
      </w:r>
      <w:r>
        <w:rPr/>
        <w:t xml:space="preserve"> ≤ 1,49 для любой площади сечения алюминия;</w:t>
      </w:r>
    </w:p>
    <w:p>
      <w:pPr>
        <w:pStyle w:val="Normal"/>
        <w:ind w:firstLine="284"/>
        <w:jc w:val="both"/>
        <w:rPr/>
      </w:pPr>
      <w:r>
        <w:rPr/>
        <w:t>при стальных тросах с площадью сечения 120 мм</w:t>
      </w:r>
      <w:r>
        <w:rPr>
          <w:vertAlign w:val="superscript"/>
        </w:rPr>
        <w:t>2</w:t>
      </w:r>
      <w:r>
        <w:rPr/>
        <w:t xml:space="preserve"> и более;</w:t>
      </w:r>
    </w:p>
    <w:p>
      <w:pPr>
        <w:pStyle w:val="Normal"/>
        <w:ind w:firstLine="284"/>
        <w:jc w:val="both"/>
        <w:rPr/>
      </w:pPr>
      <w:r>
        <w:rPr/>
        <w:t>при расщеплении фазы на три сталеалюминиевых провода с площадью сечения по алюминию 150 мм</w:t>
      </w:r>
      <w:r>
        <w:rPr>
          <w:vertAlign w:val="superscript"/>
        </w:rPr>
        <w:t>2</w:t>
      </w:r>
      <w:r>
        <w:rPr/>
        <w:t xml:space="preserve"> и более.</w:t>
      </w:r>
    </w:p>
    <w:p>
      <w:pPr>
        <w:pStyle w:val="Normal"/>
        <w:ind w:firstLine="284"/>
        <w:jc w:val="both"/>
        <w:rPr/>
      </w:pPr>
      <w:r>
        <w:rP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газов.</w:t>
      </w:r>
    </w:p>
    <w:p>
      <w:pPr>
        <w:pStyle w:val="Normal"/>
        <w:ind w:firstLine="284"/>
        <w:jc w:val="both"/>
        <w:rPr/>
      </w:pPr>
      <w:r>
        <w:rPr/>
        <w:t>2.5.115.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pPr>
        <w:pStyle w:val="Heading3"/>
        <w:rPr/>
      </w:pPr>
      <w:r>
        <w:rPr/>
        <w:t>ЗАЩИТА ОТ ПЕРЕНАПРЯЖЕНИЙ, ЗАЗЕМЛЕНИЕ</w:t>
      </w:r>
    </w:p>
    <w:p>
      <w:pPr>
        <w:pStyle w:val="Normal"/>
        <w:ind w:firstLine="284"/>
        <w:jc w:val="both"/>
        <w:rPr/>
      </w:pPr>
      <w:r>
        <w:rPr/>
        <w:t>2.5.116. Воздушные линии 110 - 750 кВ с металлическими и железобетонными опорами должны быть защищены от прямых ударов молнии тросами по всей длине.</w:t>
      </w:r>
    </w:p>
    <w:p>
      <w:pPr>
        <w:pStyle w:val="Normal"/>
        <w:ind w:firstLine="284"/>
        <w:jc w:val="both"/>
        <w:rPr/>
      </w:pPr>
      <w:r>
        <w:rPr/>
        <w:t>Сооружение ВЛ 110 - 500 кВ или их участков без тросов допускается:</w:t>
      </w:r>
    </w:p>
    <w:p>
      <w:pPr>
        <w:pStyle w:val="Normal"/>
        <w:ind w:firstLine="284"/>
        <w:jc w:val="both"/>
        <w:rPr/>
      </w:pPr>
      <w:r>
        <w:rPr/>
        <w:t>1) в районах с числом грозовых часов в году менее 20 и в горных районах с плотностью разрядов на землю менее 1,5 на 1 км</w:t>
      </w:r>
      <w:r>
        <w:rPr>
          <w:vertAlign w:val="superscript"/>
        </w:rPr>
        <w:t>2</w:t>
      </w:r>
      <w:r>
        <w:rPr/>
        <w:t xml:space="preserve"> в год;</w:t>
      </w:r>
    </w:p>
    <w:p>
      <w:pPr>
        <w:pStyle w:val="Normal"/>
        <w:ind w:firstLine="284"/>
        <w:jc w:val="both"/>
        <w:rPr/>
      </w:pPr>
      <w:r>
        <w:rPr/>
        <w:t>2) на участках ВЛ в районах с плохо проводящими грунтами (</w:t>
      </w:r>
      <w:r>
        <w:rPr>
          <w:i/>
          <w:iCs/>
        </w:rPr>
        <w:t>ρ</w:t>
      </w:r>
      <w:r>
        <w:rPr/>
        <w:t xml:space="preserve"> &gt; 10</w:t>
      </w:r>
      <w:r>
        <w:rPr>
          <w:vertAlign w:val="superscript"/>
        </w:rPr>
        <w:t>3</w:t>
      </w:r>
      <w:r>
        <w:rPr/>
        <w:t xml:space="preserve"> Ом·м);</w:t>
      </w:r>
    </w:p>
    <w:p>
      <w:pPr>
        <w:pStyle w:val="Normal"/>
        <w:ind w:firstLine="284"/>
        <w:jc w:val="both"/>
        <w:rPr/>
      </w:pPr>
      <w:r>
        <w:rPr/>
        <w:t>3) на участках трассы с расчетной толщиной стенки гололеда более 25 мм;</w:t>
      </w:r>
    </w:p>
    <w:p>
      <w:pPr>
        <w:pStyle w:val="Normal"/>
        <w:ind w:firstLine="284"/>
        <w:jc w:val="both"/>
        <w:rPr/>
      </w:pPr>
      <w:r>
        <w:rPr/>
        <w:t>4) для ВЛ с усиленной изоляцией провода относительно заземленных частей опоры при обеспечении расчетного числа грозовых отключений линии, соответствующего расчетному числу грозовых отключений ВЛ такого же напряжения с тросовой защитой.</w:t>
      </w:r>
    </w:p>
    <w:p>
      <w:pPr>
        <w:pStyle w:val="Normal"/>
        <w:ind w:firstLine="284"/>
        <w:jc w:val="both"/>
        <w:rPr/>
      </w:pPr>
      <w:r>
        <w:rPr/>
        <w:t>Число грозовых отключений линии для случаев, приведенных в пп. 1 - 3, определенное расчетом с учетом опыта эксплуатации, не должно превышать без усиления изоляции трех в год для ВЛ 110 - 330 кВ и одного в год - для ВЛ 500 кВ.</w:t>
      </w:r>
    </w:p>
    <w:p>
      <w:pPr>
        <w:pStyle w:val="Normal"/>
        <w:ind w:firstLine="284"/>
        <w:jc w:val="both"/>
        <w:rPr/>
      </w:pPr>
      <w:r>
        <w:rPr/>
        <w:t>Воздушные линии 110 - 220 кВ, предназначенные для электроснабжения объектов добычи и транспорта нефти и газа, должны быть защищены от прямых ударов молнии тросами по всей длине (независимо от интенсивности грозовой деятельности и удельного эквивалентного сопротивления земли).</w:t>
      </w:r>
    </w:p>
    <w:p>
      <w:pPr>
        <w:pStyle w:val="Normal"/>
        <w:ind w:firstLine="284"/>
        <w:jc w:val="both"/>
        <w:rPr/>
      </w:pPr>
      <w:r>
        <w:rPr/>
        <w:t>2.5.117. Защита подходов ВЛ к подстанциям должна выполняться в соответствии с требованиями гл. 4.2.</w:t>
      </w:r>
    </w:p>
    <w:p>
      <w:pPr>
        <w:pStyle w:val="Normal"/>
        <w:ind w:firstLine="284"/>
        <w:jc w:val="both"/>
        <w:rPr/>
      </w:pPr>
      <w:r>
        <w:rPr/>
        <w:t>2.5.118. Для ВЛ до 35 кВ применение грозозащитных тросов не требуется.</w:t>
      </w:r>
    </w:p>
    <w:p>
      <w:pPr>
        <w:pStyle w:val="Normal"/>
        <w:ind w:firstLine="284"/>
        <w:jc w:val="both"/>
        <w:rPr/>
      </w:pPr>
      <w:r>
        <w:rPr/>
        <w:t>На ВЛЗ 6 - 20 кВ рекомендуется устанавливать устройства защиты изоляции проводов при грозовых перекрытиях.</w:t>
      </w:r>
    </w:p>
    <w:p>
      <w:pPr>
        <w:pStyle w:val="Normal"/>
        <w:ind w:firstLine="284"/>
        <w:jc w:val="both"/>
        <w:rPr/>
      </w:pPr>
      <w:r>
        <w:rPr/>
        <w:t>Воздушные линии 110 кВ на деревянных опорах в районах с числом грозовых часов до 40, как правило, не должны защищаться тросами, а в районах с числом грозовых часов более 40 защита их тросами обязательна.</w:t>
      </w:r>
    </w:p>
    <w:p>
      <w:pPr>
        <w:pStyle w:val="Normal"/>
        <w:ind w:firstLine="284"/>
        <w:jc w:val="both"/>
        <w:rPr/>
      </w:pPr>
      <w:r>
        <w:rPr/>
        <w:t>На ВЛ 6 - 20 кВ на деревянных опорах по условиям молниезащиты применение металлических траверс не рекомендуется.</w:t>
      </w:r>
    </w:p>
    <w:p>
      <w:pPr>
        <w:pStyle w:val="Normal"/>
        <w:ind w:firstLine="284"/>
        <w:jc w:val="both"/>
        <w:rPr/>
      </w:pPr>
      <w:r>
        <w:rPr/>
        <w:t>2.5.119. Гирлянды изоляторов единичных металлических и железобетонных опор, а также крайних 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трубчатые разрядники (РТ) и искровые промежутки (ИП). Устанавливаемые ИП должны соответствовать требованиям, приведенным в гл. 4.2.</w:t>
      </w:r>
    </w:p>
    <w:p>
      <w:pPr>
        <w:pStyle w:val="Normal"/>
        <w:ind w:firstLine="284"/>
        <w:jc w:val="both"/>
        <w:rPr/>
      </w:pPr>
      <w:r>
        <w:rPr/>
        <w:t>2.5.120. При выполнении защиты ВЛ от грозовых перенапряжений тросами необходимо руководствоваться следующим:</w:t>
      </w:r>
    </w:p>
    <w:p>
      <w:pPr>
        <w:pStyle w:val="Normal"/>
        <w:ind w:firstLine="284"/>
        <w:jc w:val="both"/>
        <w:rPr/>
      </w:pPr>
      <w:r>
        <w:rPr/>
        <w:t>1) одностоечные металлические и железобетонные опоры с одним тросом должны иметь угол защиты не более 30°, а опоры с двумя тросами - не более 20°;</w:t>
      </w:r>
    </w:p>
    <w:p>
      <w:pPr>
        <w:pStyle w:val="Normal"/>
        <w:ind w:firstLine="284"/>
        <w:jc w:val="both"/>
        <w:rPr/>
      </w:pPr>
      <w:r>
        <w:rPr/>
        <w:t>2) на металлических опорах с горизонтальным расположением проводов и с двумя тросами угол защиты по отношению к внешним проводам для ВЛ 110 - 330 кВ должен быть не более 20°, для ВЛ 500 кВ - не более 25°, для ВЛ 750 кВ - не более 22°. В районах по гололеду IV и более и в районах с частой и интенсивной пляской проводов для ВЛ 110 - 330 кВ допускается угол защиты до 30°;</w:t>
      </w:r>
    </w:p>
    <w:p>
      <w:pPr>
        <w:pStyle w:val="Normal"/>
        <w:ind w:firstLine="284"/>
        <w:jc w:val="both"/>
        <w:rPr/>
      </w:pPr>
      <w:r>
        <w:rPr/>
        <w:t>3) на железобетонных и деревянных опорах портального типа допускается угол защиты по отношению к крайним проводам не более 30°;</w:t>
      </w:r>
    </w:p>
    <w:p>
      <w:pPr>
        <w:pStyle w:val="Normal"/>
        <w:ind w:firstLine="284"/>
        <w:jc w:val="both"/>
        <w:rPr/>
      </w:pPr>
      <w:r>
        <w:rPr/>
        <w:t xml:space="preserve">4) 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 тросов на опоре более 30 м расстояние между тросами должно быть не более 5-кратного расстояния по вертикали между тросом и проводом на опоре, умноженного на коэффициент, равный </w:t>
      </w:r>
      <w:r>
        <w:rPr>
          <w:vertAlign w:val="subscript"/>
        </w:rPr>
        <w:drawing>
          <wp:inline distT="0" distB="0" distL="0" distR="0">
            <wp:extent cx="492760" cy="246380"/>
            <wp:effectExtent l="0" t="0" r="0" b="0"/>
            <wp:docPr id="68"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 descr=""/>
                    <pic:cNvPicPr>
                      <a:picLocks noChangeAspect="1" noChangeArrowheads="1"/>
                    </pic:cNvPicPr>
                  </pic:nvPicPr>
                  <pic:blipFill>
                    <a:blip r:embed="rId76"/>
                    <a:srcRect l="-72" t="-145" r="-72" b="-145"/>
                    <a:stretch>
                      <a:fillRect/>
                    </a:stretch>
                  </pic:blipFill>
                  <pic:spPr bwMode="auto">
                    <a:xfrm>
                      <a:off x="0" y="0"/>
                      <a:ext cx="492760" cy="246380"/>
                    </a:xfrm>
                    <a:prstGeom prst="rect">
                      <a:avLst/>
                    </a:prstGeom>
                  </pic:spPr>
                </pic:pic>
              </a:graphicData>
            </a:graphic>
          </wp:inline>
        </w:drawing>
      </w:r>
      <w:r>
        <w:rPr/>
        <w:t xml:space="preserve">, где </w:t>
      </w:r>
      <w:r>
        <w:rPr>
          <w:i/>
          <w:iCs/>
        </w:rPr>
        <w:t>h</w:t>
      </w:r>
      <w:r>
        <w:rPr/>
        <w:t xml:space="preserve"> - высота подвеса троса на опоре.</w:t>
      </w:r>
    </w:p>
    <w:p>
      <w:pPr>
        <w:pStyle w:val="Normal"/>
        <w:ind w:firstLine="284"/>
        <w:jc w:val="both"/>
        <w:rPr/>
      </w:pPr>
      <w:r>
        <w:rPr/>
        <w:t>2.5.121.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2.5.16 и не менее расстояния по вертикали между тросом и проводом на опоре.</w:t>
      </w:r>
    </w:p>
    <w:p>
      <w:pPr>
        <w:pStyle w:val="Normal"/>
        <w:ind w:firstLine="284"/>
        <w:jc w:val="both"/>
        <w:rPr/>
      </w:pPr>
      <w:r>
        <w:rPr/>
        <w:t>При промежуточных значениях длин пролетов расстояния определяются интерполяцией.</w:t>
      </w:r>
    </w:p>
    <w:p>
      <w:pPr>
        <w:pStyle w:val="Normal"/>
        <w:ind w:firstLine="284"/>
        <w:jc w:val="both"/>
        <w:rPr/>
      </w:pPr>
      <w:r>
        <w:rPr/>
        <w:t>2.5.122. Крепление тросов на всех опорах ВЛ 220 - 750 кВ должно быть выполнено при помощи изоляторов, шунтированных ИП размером не менее 40 мм.</w:t>
      </w:r>
    </w:p>
    <w:p>
      <w:pPr>
        <w:pStyle w:val="Normal"/>
        <w:ind w:firstLine="284"/>
        <w:jc w:val="both"/>
        <w:rPr/>
      </w:pPr>
      <w:r>
        <w:rPr/>
        <w:t>На каждом анкерном участке длиной до 10 км тросы должны быть заземлены в одной точке 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коротком замыкании (КЗ) на ВЛ, не происходил пробой ИП.</w:t>
      </w:r>
    </w:p>
    <w:p>
      <w:pPr>
        <w:pStyle w:val="Normal"/>
        <w:ind w:firstLine="284"/>
        <w:jc w:val="both"/>
        <w:rPr/>
      </w:pPr>
      <w:r>
        <w:rPr/>
        <w:t>Изолированное крепление троса рекомендуется выполнять стеклянными подвесными изоляторами.</w:t>
      </w:r>
    </w:p>
    <w:p>
      <w:pPr>
        <w:pStyle w:val="Normal"/>
        <w:spacing w:before="120" w:after="120"/>
        <w:jc w:val="right"/>
        <w:rPr/>
      </w:pPr>
      <w:r>
        <w:rPr>
          <w:spacing w:val="40"/>
        </w:rPr>
        <w:t>Таблица</w:t>
      </w:r>
      <w:r>
        <w:rPr/>
        <w:t xml:space="preserve"> 2.5.16</w:t>
      </w:r>
    </w:p>
    <w:p>
      <w:pPr>
        <w:pStyle w:val="Normal"/>
        <w:spacing w:before="0" w:after="120"/>
        <w:jc w:val="center"/>
        <w:rPr>
          <w:b/>
          <w:b/>
          <w:bCs/>
        </w:rPr>
      </w:pPr>
      <w:r>
        <w:rPr>
          <w:b/>
          <w:bCs/>
        </w:rPr>
        <w:t>Наименьшие расстояния между тросом и проводом в середине пролета</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04"/>
        <w:gridCol w:w="3303"/>
        <w:gridCol w:w="1403"/>
        <w:gridCol w:w="3345"/>
      </w:tblGrid>
      <w:tr>
        <w:trPr>
          <w:tblHeader w:val="true"/>
        </w:trPr>
        <w:tc>
          <w:tcPr>
            <w:tcW w:w="1304"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Длина пролета, м</w:t>
            </w:r>
          </w:p>
        </w:tc>
        <w:tc>
          <w:tcPr>
            <w:tcW w:w="330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Наименьшее расстояние между тросом и проводом по вертикали, м</w:t>
            </w:r>
          </w:p>
        </w:tc>
        <w:tc>
          <w:tcPr>
            <w:tcW w:w="1403"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Длина пролета, м</w:t>
            </w:r>
          </w:p>
        </w:tc>
        <w:tc>
          <w:tcPr>
            <w:tcW w:w="334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между тросом и проводом по вертикали, м</w:t>
            </w:r>
          </w:p>
        </w:tc>
      </w:tr>
      <w:tr>
        <w:trPr/>
        <w:tc>
          <w:tcPr>
            <w:tcW w:w="1304" w:type="dxa"/>
            <w:tcBorders>
              <w:left w:val="single" w:sz="8" w:space="0" w:color="000000"/>
            </w:tcBorders>
            <w:shd w:fill="FFFFFF" w:val="clear"/>
          </w:tcPr>
          <w:p>
            <w:pPr>
              <w:pStyle w:val="Normal"/>
              <w:jc w:val="center"/>
              <w:rPr/>
            </w:pPr>
            <w:r>
              <w:rPr/>
              <w:t>100</w:t>
            </w:r>
          </w:p>
        </w:tc>
        <w:tc>
          <w:tcPr>
            <w:tcW w:w="3303" w:type="dxa"/>
            <w:tcBorders>
              <w:left w:val="single" w:sz="8" w:space="0" w:color="000000"/>
            </w:tcBorders>
            <w:shd w:fill="FFFFFF" w:val="clear"/>
            <w:tcMar>
              <w:left w:w="0" w:type="dxa"/>
              <w:right w:w="0" w:type="dxa"/>
            </w:tcMar>
          </w:tcPr>
          <w:p>
            <w:pPr>
              <w:pStyle w:val="Normal"/>
              <w:jc w:val="center"/>
              <w:rPr/>
            </w:pPr>
            <w:r>
              <w:rPr/>
              <w:t>2,0</w:t>
            </w:r>
          </w:p>
        </w:tc>
        <w:tc>
          <w:tcPr>
            <w:tcW w:w="1403" w:type="dxa"/>
            <w:tcBorders>
              <w:left w:val="single" w:sz="8" w:space="0" w:color="000000"/>
            </w:tcBorders>
            <w:shd w:fill="FFFFFF" w:val="clear"/>
            <w:tcMar>
              <w:left w:w="0" w:type="dxa"/>
              <w:right w:w="0" w:type="dxa"/>
            </w:tcMar>
          </w:tcPr>
          <w:p>
            <w:pPr>
              <w:pStyle w:val="Normal"/>
              <w:jc w:val="center"/>
              <w:rPr/>
            </w:pPr>
            <w:r>
              <w:rPr/>
              <w:t>700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1304" w:type="dxa"/>
            <w:tcBorders>
              <w:left w:val="single" w:sz="8" w:space="0" w:color="000000"/>
            </w:tcBorders>
            <w:shd w:fill="FFFFFF" w:val="clear"/>
          </w:tcPr>
          <w:p>
            <w:pPr>
              <w:pStyle w:val="Normal"/>
              <w:jc w:val="center"/>
              <w:rPr/>
            </w:pPr>
            <w:r>
              <w:rPr/>
              <w:t>150</w:t>
            </w:r>
          </w:p>
        </w:tc>
        <w:tc>
          <w:tcPr>
            <w:tcW w:w="3303" w:type="dxa"/>
            <w:tcBorders>
              <w:left w:val="single" w:sz="8" w:space="0" w:color="000000"/>
            </w:tcBorders>
            <w:shd w:fill="FFFFFF" w:val="clear"/>
            <w:tcMar>
              <w:left w:w="0" w:type="dxa"/>
              <w:right w:w="0" w:type="dxa"/>
            </w:tcMar>
          </w:tcPr>
          <w:p>
            <w:pPr>
              <w:pStyle w:val="Normal"/>
              <w:jc w:val="center"/>
              <w:rPr/>
            </w:pPr>
            <w:r>
              <w:rPr/>
              <w:t>3,2</w:t>
            </w:r>
          </w:p>
        </w:tc>
        <w:tc>
          <w:tcPr>
            <w:tcW w:w="1403" w:type="dxa"/>
            <w:tcBorders>
              <w:left w:val="single" w:sz="8" w:space="0" w:color="000000"/>
            </w:tcBorders>
            <w:shd w:fill="FFFFFF" w:val="clear"/>
            <w:tcMar>
              <w:left w:w="0" w:type="dxa"/>
              <w:right w:w="0" w:type="dxa"/>
            </w:tcMar>
          </w:tcPr>
          <w:p>
            <w:pPr>
              <w:pStyle w:val="Normal"/>
              <w:jc w:val="center"/>
              <w:rPr/>
            </w:pPr>
            <w:r>
              <w:rPr/>
              <w:t>800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13,0</w:t>
            </w:r>
          </w:p>
        </w:tc>
      </w:tr>
      <w:tr>
        <w:trPr/>
        <w:tc>
          <w:tcPr>
            <w:tcW w:w="1304" w:type="dxa"/>
            <w:tcBorders>
              <w:left w:val="single" w:sz="8" w:space="0" w:color="000000"/>
            </w:tcBorders>
            <w:shd w:fill="FFFFFF" w:val="clear"/>
          </w:tcPr>
          <w:p>
            <w:pPr>
              <w:pStyle w:val="Normal"/>
              <w:jc w:val="center"/>
              <w:rPr/>
            </w:pPr>
            <w:r>
              <w:rPr/>
              <w:t>200</w:t>
            </w:r>
          </w:p>
        </w:tc>
        <w:tc>
          <w:tcPr>
            <w:tcW w:w="3303" w:type="dxa"/>
            <w:tcBorders>
              <w:left w:val="single" w:sz="8" w:space="0" w:color="000000"/>
            </w:tcBorders>
            <w:shd w:fill="FFFFFF" w:val="clear"/>
            <w:tcMar>
              <w:left w:w="0" w:type="dxa"/>
              <w:right w:w="0" w:type="dxa"/>
            </w:tcMar>
          </w:tcPr>
          <w:p>
            <w:pPr>
              <w:pStyle w:val="Normal"/>
              <w:jc w:val="center"/>
              <w:rPr/>
            </w:pPr>
            <w:r>
              <w:rPr/>
              <w:t>4,0</w:t>
            </w:r>
          </w:p>
        </w:tc>
        <w:tc>
          <w:tcPr>
            <w:tcW w:w="1403" w:type="dxa"/>
            <w:tcBorders>
              <w:left w:val="single" w:sz="8" w:space="0" w:color="000000"/>
            </w:tcBorders>
            <w:shd w:fill="FFFFFF" w:val="clear"/>
            <w:tcMar>
              <w:left w:w="0" w:type="dxa"/>
              <w:right w:w="0" w:type="dxa"/>
            </w:tcMar>
          </w:tcPr>
          <w:p>
            <w:pPr>
              <w:pStyle w:val="Normal"/>
              <w:jc w:val="center"/>
              <w:rPr/>
            </w:pPr>
            <w:r>
              <w:rPr/>
              <w:t>900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14,5</w:t>
            </w:r>
          </w:p>
        </w:tc>
      </w:tr>
      <w:tr>
        <w:trPr/>
        <w:tc>
          <w:tcPr>
            <w:tcW w:w="1304" w:type="dxa"/>
            <w:tcBorders>
              <w:left w:val="single" w:sz="8" w:space="0" w:color="000000"/>
            </w:tcBorders>
            <w:shd w:fill="FFFFFF" w:val="clear"/>
          </w:tcPr>
          <w:p>
            <w:pPr>
              <w:pStyle w:val="Normal"/>
              <w:jc w:val="center"/>
              <w:rPr/>
            </w:pPr>
            <w:r>
              <w:rPr/>
              <w:t>300</w:t>
            </w:r>
          </w:p>
        </w:tc>
        <w:tc>
          <w:tcPr>
            <w:tcW w:w="3303" w:type="dxa"/>
            <w:tcBorders>
              <w:left w:val="single" w:sz="8" w:space="0" w:color="000000"/>
            </w:tcBorders>
            <w:shd w:fill="FFFFFF" w:val="clear"/>
            <w:tcMar>
              <w:left w:w="0" w:type="dxa"/>
              <w:right w:w="0" w:type="dxa"/>
            </w:tcMar>
          </w:tcPr>
          <w:p>
            <w:pPr>
              <w:pStyle w:val="Normal"/>
              <w:jc w:val="center"/>
              <w:rPr/>
            </w:pPr>
            <w:r>
              <w:rPr/>
              <w:t>5,5</w:t>
            </w:r>
          </w:p>
        </w:tc>
        <w:tc>
          <w:tcPr>
            <w:tcW w:w="1403" w:type="dxa"/>
            <w:tcBorders>
              <w:left w:val="single" w:sz="8" w:space="0" w:color="000000"/>
            </w:tcBorders>
            <w:shd w:fill="FFFFFF" w:val="clear"/>
            <w:tcMar>
              <w:left w:w="0" w:type="dxa"/>
              <w:right w:w="0" w:type="dxa"/>
            </w:tcMar>
          </w:tcPr>
          <w:p>
            <w:pPr>
              <w:pStyle w:val="Normal"/>
              <w:jc w:val="center"/>
              <w:rPr/>
            </w:pPr>
            <w:r>
              <w:rPr/>
              <w:t>1000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16,0</w:t>
            </w:r>
          </w:p>
        </w:tc>
      </w:tr>
      <w:tr>
        <w:trPr/>
        <w:tc>
          <w:tcPr>
            <w:tcW w:w="1304" w:type="dxa"/>
            <w:tcBorders>
              <w:left w:val="single" w:sz="8" w:space="0" w:color="000000"/>
            </w:tcBorders>
            <w:shd w:fill="FFFFFF" w:val="clear"/>
          </w:tcPr>
          <w:p>
            <w:pPr>
              <w:pStyle w:val="Normal"/>
              <w:jc w:val="center"/>
              <w:rPr/>
            </w:pPr>
            <w:r>
              <w:rPr/>
              <w:t>400</w:t>
            </w:r>
          </w:p>
        </w:tc>
        <w:tc>
          <w:tcPr>
            <w:tcW w:w="3303" w:type="dxa"/>
            <w:tcBorders>
              <w:left w:val="single" w:sz="8" w:space="0" w:color="000000"/>
            </w:tcBorders>
            <w:shd w:fill="FFFFFF" w:val="clear"/>
            <w:tcMar>
              <w:left w:w="0" w:type="dxa"/>
              <w:right w:w="0" w:type="dxa"/>
            </w:tcMar>
          </w:tcPr>
          <w:p>
            <w:pPr>
              <w:pStyle w:val="Normal"/>
              <w:jc w:val="center"/>
              <w:rPr/>
            </w:pPr>
            <w:r>
              <w:rPr/>
              <w:t>7,0</w:t>
            </w:r>
          </w:p>
        </w:tc>
        <w:tc>
          <w:tcPr>
            <w:tcW w:w="1403" w:type="dxa"/>
            <w:tcBorders>
              <w:left w:val="single" w:sz="8" w:space="0" w:color="000000"/>
            </w:tcBorders>
            <w:shd w:fill="FFFFFF" w:val="clear"/>
            <w:tcMar>
              <w:left w:w="0" w:type="dxa"/>
              <w:right w:w="0" w:type="dxa"/>
            </w:tcMar>
          </w:tcPr>
          <w:p>
            <w:pPr>
              <w:pStyle w:val="Normal"/>
              <w:jc w:val="center"/>
              <w:rPr/>
            </w:pPr>
            <w:r>
              <w:rPr/>
              <w:t>1200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18,0</w:t>
            </w:r>
          </w:p>
        </w:tc>
      </w:tr>
      <w:tr>
        <w:trPr/>
        <w:tc>
          <w:tcPr>
            <w:tcW w:w="1304" w:type="dxa"/>
            <w:tcBorders>
              <w:left w:val="single" w:sz="8" w:space="0" w:color="000000"/>
            </w:tcBorders>
            <w:shd w:fill="FFFFFF" w:val="clear"/>
          </w:tcPr>
          <w:p>
            <w:pPr>
              <w:pStyle w:val="Normal"/>
              <w:jc w:val="center"/>
              <w:rPr/>
            </w:pPr>
            <w:r>
              <w:rPr/>
              <w:t>500</w:t>
            </w:r>
          </w:p>
        </w:tc>
        <w:tc>
          <w:tcPr>
            <w:tcW w:w="3303" w:type="dxa"/>
            <w:tcBorders>
              <w:left w:val="single" w:sz="8" w:space="0" w:color="000000"/>
            </w:tcBorders>
            <w:shd w:fill="FFFFFF" w:val="clear"/>
            <w:tcMar>
              <w:left w:w="0" w:type="dxa"/>
              <w:right w:w="0" w:type="dxa"/>
            </w:tcMar>
          </w:tcPr>
          <w:p>
            <w:pPr>
              <w:pStyle w:val="Normal"/>
              <w:jc w:val="center"/>
              <w:rPr/>
            </w:pPr>
            <w:r>
              <w:rPr/>
              <w:t>8,5</w:t>
            </w:r>
          </w:p>
        </w:tc>
        <w:tc>
          <w:tcPr>
            <w:tcW w:w="1403" w:type="dxa"/>
            <w:tcBorders>
              <w:left w:val="single" w:sz="8" w:space="0" w:color="000000"/>
            </w:tcBorders>
            <w:shd w:fill="FFFFFF" w:val="clear"/>
            <w:tcMar>
              <w:left w:w="0" w:type="dxa"/>
              <w:right w:w="0" w:type="dxa"/>
            </w:tcMar>
          </w:tcPr>
          <w:p>
            <w:pPr>
              <w:pStyle w:val="Normal"/>
              <w:jc w:val="center"/>
              <w:rPr/>
            </w:pPr>
            <w:r>
              <w:rPr/>
              <w:t>1500</w:t>
            </w:r>
          </w:p>
        </w:tc>
        <w:tc>
          <w:tcPr>
            <w:tcW w:w="334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21,0</w:t>
            </w:r>
          </w:p>
        </w:tc>
      </w:tr>
      <w:tr>
        <w:trPr/>
        <w:tc>
          <w:tcPr>
            <w:tcW w:w="1304" w:type="dxa"/>
            <w:tcBorders>
              <w:left w:val="single" w:sz="8" w:space="0" w:color="000000"/>
              <w:bottom w:val="single" w:sz="8" w:space="0" w:color="000000"/>
              <w:insideH w:val="single" w:sz="8" w:space="0" w:color="000000"/>
            </w:tcBorders>
            <w:shd w:fill="FFFFFF" w:val="clear"/>
          </w:tcPr>
          <w:p>
            <w:pPr>
              <w:pStyle w:val="Normal"/>
              <w:jc w:val="center"/>
              <w:rPr/>
            </w:pPr>
            <w:r>
              <w:rPr/>
              <w:t>600</w:t>
            </w:r>
          </w:p>
        </w:tc>
        <w:tc>
          <w:tcPr>
            <w:tcW w:w="33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4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334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napToGrid w:val="false"/>
              <w:rPr/>
            </w:pPr>
            <w:r>
              <w:rPr/>
            </w:r>
          </w:p>
        </w:tc>
      </w:tr>
    </w:tbl>
    <w:p>
      <w:pPr>
        <w:pStyle w:val="Normal"/>
        <w:spacing w:before="120" w:after="0"/>
        <w:ind w:firstLine="283"/>
        <w:jc w:val="both"/>
        <w:rPr/>
      </w:pPr>
      <w:r>
        <w:rPr/>
        <w:t>На подходах ВЛ 220 - 330 кВ к подстанциям на длине 1 - 3 км и на подходах ВЛ 500 - 750 кВ на длине 3 - 5 км, если тросы не используются для емкостного отбора, плавки гололеда или связи, их следует заземлять на каждой опоре (см. также 2.5.192).</w:t>
      </w:r>
    </w:p>
    <w:p>
      <w:pPr>
        <w:pStyle w:val="Normal"/>
        <w:ind w:firstLine="283"/>
        <w:jc w:val="both"/>
        <w:rPr/>
      </w:pPr>
      <w:r>
        <w:rPr/>
        <w:t>На ВЛ 150 кВ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pPr>
        <w:pStyle w:val="Normal"/>
        <w:ind w:firstLine="283"/>
        <w:jc w:val="both"/>
        <w:rPr/>
      </w:pPr>
      <w:r>
        <w:rPr/>
        <w:t>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pPr>
        <w:pStyle w:val="Normal"/>
        <w:ind w:firstLine="283"/>
        <w:jc w:val="both"/>
        <w:rPr/>
      </w:pPr>
      <w:r>
        <w:rPr/>
        <w:t>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p>
      <w:pPr>
        <w:pStyle w:val="Normal"/>
        <w:ind w:firstLine="283"/>
        <w:jc w:val="both"/>
        <w:rPr/>
      </w:pPr>
      <w:r>
        <w:rPr/>
        <w:t>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pPr>
        <w:pStyle w:val="Normal"/>
        <w:ind w:firstLine="283"/>
        <w:jc w:val="both"/>
        <w:rPr/>
      </w:pPr>
      <w:r>
        <w:rPr/>
        <w:t>Изоляторы, на которых подвешен трос, должны быть шунтированы искровым промежутком. Размер ИП выбирается минимально возможным по следующим условиям:</w:t>
      </w:r>
    </w:p>
    <w:p>
      <w:pPr>
        <w:pStyle w:val="Normal"/>
        <w:ind w:firstLine="283"/>
        <w:jc w:val="both"/>
        <w:rPr/>
      </w:pPr>
      <w:r>
        <w:rPr/>
        <w:t>1) разрядное напряжение ИП должно быть ниже разрядного напряжения изолирующего тросового крепления не менее чем на 20 %;</w:t>
      </w:r>
    </w:p>
    <w:p>
      <w:pPr>
        <w:pStyle w:val="Normal"/>
        <w:ind w:firstLine="283"/>
        <w:jc w:val="both"/>
        <w:rPr/>
      </w:pPr>
      <w:r>
        <w:rPr/>
        <w:t>2) ИП не должен перекрываться при однофазном КЗ на землю на других опорах;</w:t>
      </w:r>
    </w:p>
    <w:p>
      <w:pPr>
        <w:pStyle w:val="Normal"/>
        <w:ind w:firstLine="283"/>
        <w:jc w:val="both"/>
        <w:rPr/>
      </w:pPr>
      <w:r>
        <w:rPr/>
        <w:t>3) при перекрытиях ИП от грозовых разрядов должно происходить самопогасание дуги сопровождающего тока промышленной частоты.</w:t>
      </w:r>
    </w:p>
    <w:p>
      <w:pPr>
        <w:pStyle w:val="Normal"/>
        <w:ind w:firstLine="283"/>
        <w:jc w:val="both"/>
        <w:rPr/>
      </w:pPr>
      <w:r>
        <w:rPr/>
        <w:t>На ВЛ 500 - 750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p>
      <w:pPr>
        <w:pStyle w:val="Normal"/>
        <w:ind w:firstLine="284"/>
        <w:jc w:val="both"/>
        <w:rPr/>
      </w:pPr>
      <w:r>
        <w:rP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p>
      <w:pPr>
        <w:pStyle w:val="Normal"/>
        <w:ind w:firstLine="284"/>
        <w:jc w:val="both"/>
        <w:rPr/>
      </w:pPr>
      <w:r>
        <w:rPr/>
        <w:t>2.5.123. На ВЛ с деревянными опорами портального типа расстояние между фазами по дереву должно быть не менее: 3 м - для ВЛ 35 кВ; 4 м - для ВЛ 110 кВ; 4,8 м - для ВЛ 150 кВ; 5 м - для ВЛ 220 кВ.</w:t>
      </w:r>
    </w:p>
    <w:p>
      <w:pPr>
        <w:pStyle w:val="Normal"/>
        <w:ind w:firstLine="284"/>
        <w:jc w:val="both"/>
        <w:rPr/>
      </w:pPr>
      <w:r>
        <w:rPr/>
        <w:t>В отдельных случаях для ВЛ 110 - 220 кВ при наличии обоснований (небольшие токи КЗ, 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ступень ниже.</w:t>
      </w:r>
    </w:p>
    <w:p>
      <w:pPr>
        <w:pStyle w:val="Normal"/>
        <w:ind w:firstLine="284"/>
        <w:jc w:val="both"/>
        <w:rPr/>
      </w:pPr>
      <w:r>
        <w:rPr/>
        <w:t xml:space="preserve">На одностоечных деревянных опорах допускаются следующие расстояния между фазами по дереву: 0,75 м - для ВЛ 3 - 20 кВ; 2,5 м - для ВЛ 35 кВ при условии соблюдения расстояний в пролете согласно </w:t>
      </w:r>
      <w:r>
        <w:rPr>
          <w:color w:val="000000"/>
        </w:rPr>
        <w:t>2.5.94</w:t>
      </w:r>
      <w:r>
        <w:rPr/>
        <w:t>.</w:t>
      </w:r>
    </w:p>
    <w:p>
      <w:pPr>
        <w:pStyle w:val="Normal"/>
        <w:ind w:firstLine="284"/>
        <w:jc w:val="both"/>
        <w:rPr/>
      </w:pPr>
      <w:r>
        <w:rPr/>
        <w:t>2.5.124. Кабельные вставки в ВЛ должны быть защищены по обоим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должен быть соединен с заземлителем отдельным проводником.</w:t>
      </w:r>
    </w:p>
    <w:p>
      <w:pPr>
        <w:pStyle w:val="Normal"/>
        <w:ind w:firstLine="284"/>
        <w:jc w:val="both"/>
        <w:rPr/>
      </w:pPr>
      <w:r>
        <w:rPr/>
        <w:t>Не требуют защиты от грозовых перенапряжений:</w:t>
      </w:r>
    </w:p>
    <w:p>
      <w:pPr>
        <w:pStyle w:val="Normal"/>
        <w:ind w:firstLine="284"/>
        <w:jc w:val="both"/>
        <w:rPr/>
      </w:pPr>
      <w:r>
        <w:rPr/>
        <w:t>1) кабельные вставки 35 - 220 кВ длиной 1,5 км и более в ВЛ, защищенные тросами;</w:t>
      </w:r>
    </w:p>
    <w:p>
      <w:pPr>
        <w:pStyle w:val="Normal"/>
        <w:ind w:firstLine="284"/>
        <w:jc w:val="both"/>
        <w:rPr/>
      </w:pPr>
      <w:r>
        <w:rPr/>
        <w:t>2) кабельные вставки в ВЛ напряжением до 20 кВ, выполненные кабелями с пластмассовой изоляцией и оболочкой, длиной 2,5 км и более и кабелями других конструкций длиной 1,5 км и более.</w:t>
      </w:r>
    </w:p>
    <w:p>
      <w:pPr>
        <w:pStyle w:val="Normal"/>
        <w:ind w:firstLine="284"/>
        <w:jc w:val="both"/>
        <w:rPr/>
      </w:pPr>
      <w:r>
        <w:rPr/>
        <w:t>2.5.125. Для В 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2.5.17. Допускается уменьшение изоляционных расстояний по грозовым перенапряжениям, указанных в табл. 2.5.17, при условии снижения общего уровня грозоупорности ВЛ не более чем на 20 %. Для ВЛ 750 кВ, проходящих на высоте до 500 м над уровнем моря, расстояния, указанные в табл. 2.5.17, могут быть уменьшены на 10 % для промежутка «провод шлейфа - стойка анкерно-угловой опоры», «провод - оттяжка» и на 5 % для остальных промежутков. Наименьшие изоляционные расстояния по внутренним перенапряжениям приведены для следующих значений расчетной кратности: 4,5 - для ВЛ 6 - 10 кВ; 3,5 - для ВЛ 20 - 35 кВ; 3,0 - для ВЛ 110 - 220 кВ; 2,7 - для ВЛ 330 кВ; 2,5 - для ВЛ 500 кВ и 2,1 - для ВЛ 750 кВ.</w:t>
      </w:r>
    </w:p>
    <w:p>
      <w:pPr>
        <w:pStyle w:val="Normal"/>
        <w:spacing w:before="120" w:after="120"/>
        <w:jc w:val="right"/>
        <w:rPr/>
      </w:pPr>
      <w:r>
        <w:rPr>
          <w:spacing w:val="40"/>
        </w:rPr>
        <w:t>Таблица</w:t>
      </w:r>
      <w:r>
        <w:rPr/>
        <w:t xml:space="preserve"> 2.5.17</w:t>
      </w:r>
    </w:p>
    <w:p>
      <w:pPr>
        <w:pStyle w:val="Normal"/>
        <w:spacing w:before="0" w:after="120"/>
        <w:jc w:val="center"/>
        <w:rPr>
          <w:b/>
          <w:b/>
          <w:bCs/>
        </w:rPr>
      </w:pPr>
      <w:r>
        <w:rPr>
          <w:b/>
          <w:bCs/>
        </w:rPr>
        <w:t>Наименьшее изоляционное расстояние по воздуху (в свету) от токоведущих до заземленных частей опоры</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20"/>
        <w:gridCol w:w="693"/>
        <w:gridCol w:w="694"/>
        <w:gridCol w:w="693"/>
        <w:gridCol w:w="694"/>
        <w:gridCol w:w="695"/>
        <w:gridCol w:w="694"/>
        <w:gridCol w:w="694"/>
        <w:gridCol w:w="695"/>
        <w:gridCol w:w="1383"/>
      </w:tblGrid>
      <w:tr>
        <w:trPr>
          <w:tblHeader w:val="true"/>
        </w:trPr>
        <w:tc>
          <w:tcPr>
            <w:tcW w:w="24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Расчетное условие</w:t>
            </w:r>
          </w:p>
        </w:tc>
        <w:tc>
          <w:tcPr>
            <w:tcW w:w="6935" w:type="dxa"/>
            <w:gridSpan w:val="9"/>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изоляционное расстояние, см, при напряжении ВЛ, кВ</w:t>
            </w:r>
          </w:p>
        </w:tc>
      </w:tr>
      <w:tr>
        <w:trPr>
          <w:tblHeader w:val="true"/>
        </w:trPr>
        <w:tc>
          <w:tcPr>
            <w:tcW w:w="24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693"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2420" w:type="dxa"/>
            <w:tcBorders>
              <w:left w:val="single" w:sz="8" w:space="0" w:color="000000"/>
            </w:tcBorders>
            <w:shd w:fill="FFFFFF" w:val="clear"/>
          </w:tcPr>
          <w:p>
            <w:pPr>
              <w:pStyle w:val="Normal"/>
              <w:jc w:val="both"/>
              <w:rPr/>
            </w:pPr>
            <w:r>
              <w:rPr/>
              <w:t>Грозовые перенапряжения для изоляторов:</w:t>
            </w:r>
          </w:p>
        </w:tc>
        <w:tc>
          <w:tcPr>
            <w:tcW w:w="693" w:type="dxa"/>
            <w:tcBorders>
              <w:left w:val="single" w:sz="8" w:space="0" w:color="000000"/>
            </w:tcBorders>
            <w:shd w:fill="FFFFFF" w:val="clear"/>
            <w:tcMar>
              <w:left w:w="0" w:type="dxa"/>
              <w:right w:w="0" w:type="dxa"/>
            </w:tcMar>
          </w:tcPr>
          <w:p>
            <w:pPr>
              <w:pStyle w:val="Normal"/>
              <w:snapToGrid w:val="false"/>
              <w:rPr/>
            </w:pPr>
            <w:r>
              <w:rPr/>
            </w:r>
          </w:p>
        </w:tc>
        <w:tc>
          <w:tcPr>
            <w:tcW w:w="694" w:type="dxa"/>
            <w:tcBorders>
              <w:left w:val="single" w:sz="8" w:space="0" w:color="000000"/>
            </w:tcBorders>
            <w:shd w:fill="FFFFFF" w:val="clear"/>
            <w:tcMar>
              <w:left w:w="0" w:type="dxa"/>
              <w:right w:w="0" w:type="dxa"/>
            </w:tcMar>
          </w:tcPr>
          <w:p>
            <w:pPr>
              <w:pStyle w:val="Normal"/>
              <w:snapToGrid w:val="false"/>
              <w:rPr/>
            </w:pPr>
            <w:r>
              <w:rPr/>
            </w:r>
          </w:p>
        </w:tc>
        <w:tc>
          <w:tcPr>
            <w:tcW w:w="693" w:type="dxa"/>
            <w:tcBorders>
              <w:left w:val="single" w:sz="8" w:space="0" w:color="000000"/>
            </w:tcBorders>
            <w:shd w:fill="FFFFFF" w:val="clear"/>
            <w:tcMar>
              <w:left w:w="0" w:type="dxa"/>
              <w:right w:w="0" w:type="dxa"/>
            </w:tcMar>
          </w:tcPr>
          <w:p>
            <w:pPr>
              <w:pStyle w:val="Normal"/>
              <w:snapToGrid w:val="false"/>
              <w:rPr/>
            </w:pPr>
            <w:r>
              <w:rPr/>
            </w:r>
          </w:p>
        </w:tc>
        <w:tc>
          <w:tcPr>
            <w:tcW w:w="694" w:type="dxa"/>
            <w:tcBorders>
              <w:left w:val="single" w:sz="8" w:space="0" w:color="000000"/>
            </w:tcBorders>
            <w:shd w:fill="FFFFFF" w:val="clear"/>
            <w:tcMar>
              <w:left w:w="0" w:type="dxa"/>
              <w:right w:w="0" w:type="dxa"/>
            </w:tcMar>
          </w:tcPr>
          <w:p>
            <w:pPr>
              <w:pStyle w:val="Normal"/>
              <w:snapToGrid w:val="false"/>
              <w:rPr/>
            </w:pPr>
            <w:r>
              <w:rPr/>
            </w:r>
          </w:p>
        </w:tc>
        <w:tc>
          <w:tcPr>
            <w:tcW w:w="695" w:type="dxa"/>
            <w:tcBorders>
              <w:left w:val="single" w:sz="8" w:space="0" w:color="000000"/>
            </w:tcBorders>
            <w:shd w:fill="FFFFFF" w:val="clear"/>
            <w:tcMar>
              <w:left w:w="0" w:type="dxa"/>
              <w:right w:w="0" w:type="dxa"/>
            </w:tcMar>
          </w:tcPr>
          <w:p>
            <w:pPr>
              <w:pStyle w:val="Normal"/>
              <w:snapToGrid w:val="false"/>
              <w:rPr/>
            </w:pPr>
            <w:r>
              <w:rPr/>
            </w:r>
          </w:p>
        </w:tc>
        <w:tc>
          <w:tcPr>
            <w:tcW w:w="694" w:type="dxa"/>
            <w:tcBorders>
              <w:left w:val="single" w:sz="8" w:space="0" w:color="000000"/>
            </w:tcBorders>
            <w:shd w:fill="FFFFFF" w:val="clear"/>
            <w:tcMar>
              <w:left w:w="0" w:type="dxa"/>
              <w:right w:w="0" w:type="dxa"/>
            </w:tcMar>
          </w:tcPr>
          <w:p>
            <w:pPr>
              <w:pStyle w:val="Normal"/>
              <w:snapToGrid w:val="false"/>
              <w:rPr/>
            </w:pPr>
            <w:r>
              <w:rPr/>
            </w:r>
          </w:p>
        </w:tc>
        <w:tc>
          <w:tcPr>
            <w:tcW w:w="694" w:type="dxa"/>
            <w:tcBorders>
              <w:left w:val="single" w:sz="8" w:space="0" w:color="000000"/>
            </w:tcBorders>
            <w:shd w:fill="FFFFFF" w:val="clear"/>
            <w:tcMar>
              <w:left w:w="0" w:type="dxa"/>
              <w:right w:w="0" w:type="dxa"/>
            </w:tcMar>
          </w:tcPr>
          <w:p>
            <w:pPr>
              <w:pStyle w:val="Normal"/>
              <w:snapToGrid w:val="false"/>
              <w:rPr/>
            </w:pPr>
            <w:r>
              <w:rPr/>
            </w:r>
          </w:p>
        </w:tc>
        <w:tc>
          <w:tcPr>
            <w:tcW w:w="695" w:type="dxa"/>
            <w:tcBorders>
              <w:left w:val="single" w:sz="8" w:space="0" w:color="000000"/>
            </w:tcBorders>
            <w:shd w:fill="FFFFFF" w:val="clear"/>
            <w:tcMar>
              <w:left w:w="0" w:type="dxa"/>
              <w:right w:w="0" w:type="dxa"/>
            </w:tcMar>
          </w:tcPr>
          <w:p>
            <w:pPr>
              <w:pStyle w:val="Normal"/>
              <w:snapToGrid w:val="false"/>
              <w:rPr/>
            </w:pPr>
            <w:r>
              <w:rPr/>
            </w:r>
          </w:p>
        </w:tc>
        <w:tc>
          <w:tcPr>
            <w:tcW w:w="13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2420" w:type="dxa"/>
            <w:tcBorders>
              <w:left w:val="single" w:sz="8" w:space="0" w:color="000000"/>
            </w:tcBorders>
            <w:shd w:fill="FFFFFF" w:val="clear"/>
          </w:tcPr>
          <w:p>
            <w:pPr>
              <w:pStyle w:val="Normal"/>
              <w:jc w:val="both"/>
              <w:rPr/>
            </w:pPr>
            <w:r>
              <w:rPr/>
              <w:t>штыревых</w:t>
            </w:r>
          </w:p>
        </w:tc>
        <w:tc>
          <w:tcPr>
            <w:tcW w:w="693" w:type="dxa"/>
            <w:tcBorders>
              <w:left w:val="single" w:sz="8" w:space="0" w:color="000000"/>
            </w:tcBorders>
            <w:shd w:fill="FFFFFF" w:val="clear"/>
            <w:tcMar>
              <w:left w:w="0" w:type="dxa"/>
              <w:right w:w="0" w:type="dxa"/>
            </w:tcMar>
          </w:tcPr>
          <w:p>
            <w:pPr>
              <w:pStyle w:val="Normal"/>
              <w:jc w:val="center"/>
              <w:rPr/>
            </w:pPr>
            <w:r>
              <w:rPr/>
              <w:t>20</w:t>
            </w:r>
          </w:p>
        </w:tc>
        <w:tc>
          <w:tcPr>
            <w:tcW w:w="694" w:type="dxa"/>
            <w:tcBorders>
              <w:left w:val="single" w:sz="8" w:space="0" w:color="000000"/>
            </w:tcBorders>
            <w:shd w:fill="FFFFFF" w:val="clear"/>
            <w:tcMar>
              <w:left w:w="0" w:type="dxa"/>
              <w:right w:w="0" w:type="dxa"/>
            </w:tcMar>
          </w:tcPr>
          <w:p>
            <w:pPr>
              <w:pStyle w:val="Normal"/>
              <w:jc w:val="center"/>
              <w:rPr/>
            </w:pPr>
            <w:r>
              <w:rPr/>
              <w:t>30</w:t>
            </w:r>
          </w:p>
        </w:tc>
        <w:tc>
          <w:tcPr>
            <w:tcW w:w="693" w:type="dxa"/>
            <w:tcBorders>
              <w:left w:val="single" w:sz="8" w:space="0" w:color="000000"/>
            </w:tcBorders>
            <w:shd w:fill="FFFFFF" w:val="clear"/>
            <w:tcMar>
              <w:left w:w="0" w:type="dxa"/>
              <w:right w:w="0" w:type="dxa"/>
            </w:tcMar>
          </w:tcPr>
          <w:p>
            <w:pPr>
              <w:pStyle w:val="Normal"/>
              <w:jc w:val="center"/>
              <w:rPr/>
            </w:pPr>
            <w:r>
              <w:rPr/>
              <w:t>40</w:t>
            </w:r>
          </w:p>
        </w:tc>
        <w:tc>
          <w:tcPr>
            <w:tcW w:w="694" w:type="dxa"/>
            <w:tcBorders>
              <w:left w:val="single" w:sz="8" w:space="0" w:color="000000"/>
            </w:tcBorders>
            <w:shd w:fill="FFFFFF" w:val="clear"/>
            <w:tcMar>
              <w:left w:w="0" w:type="dxa"/>
              <w:right w:w="0" w:type="dxa"/>
            </w:tcMar>
          </w:tcPr>
          <w:p>
            <w:pPr>
              <w:pStyle w:val="Normal"/>
              <w:jc w:val="center"/>
              <w:rPr/>
            </w:pPr>
            <w:r>
              <w:rPr/>
              <w:t>-</w:t>
            </w:r>
          </w:p>
        </w:tc>
        <w:tc>
          <w:tcPr>
            <w:tcW w:w="695" w:type="dxa"/>
            <w:tcBorders>
              <w:left w:val="single" w:sz="8" w:space="0" w:color="000000"/>
            </w:tcBorders>
            <w:shd w:fill="FFFFFF" w:val="clear"/>
            <w:tcMar>
              <w:left w:w="0" w:type="dxa"/>
              <w:right w:w="0" w:type="dxa"/>
            </w:tcMar>
          </w:tcPr>
          <w:p>
            <w:pPr>
              <w:pStyle w:val="Normal"/>
              <w:jc w:val="center"/>
              <w:rPr/>
            </w:pPr>
            <w:r>
              <w:rPr/>
              <w:t>-</w:t>
            </w:r>
          </w:p>
        </w:tc>
        <w:tc>
          <w:tcPr>
            <w:tcW w:w="694" w:type="dxa"/>
            <w:tcBorders>
              <w:left w:val="single" w:sz="8" w:space="0" w:color="000000"/>
            </w:tcBorders>
            <w:shd w:fill="FFFFFF" w:val="clear"/>
            <w:tcMar>
              <w:left w:w="0" w:type="dxa"/>
              <w:right w:w="0" w:type="dxa"/>
            </w:tcMar>
          </w:tcPr>
          <w:p>
            <w:pPr>
              <w:pStyle w:val="Normal"/>
              <w:jc w:val="center"/>
              <w:rPr/>
            </w:pPr>
            <w:r>
              <w:rPr/>
              <w:t>-</w:t>
            </w:r>
          </w:p>
        </w:tc>
        <w:tc>
          <w:tcPr>
            <w:tcW w:w="694" w:type="dxa"/>
            <w:tcBorders>
              <w:left w:val="single" w:sz="8" w:space="0" w:color="000000"/>
            </w:tcBorders>
            <w:shd w:fill="FFFFFF" w:val="clear"/>
            <w:tcMar>
              <w:left w:w="0" w:type="dxa"/>
              <w:right w:w="0" w:type="dxa"/>
            </w:tcMar>
          </w:tcPr>
          <w:p>
            <w:pPr>
              <w:pStyle w:val="Normal"/>
              <w:jc w:val="center"/>
              <w:rPr/>
            </w:pPr>
            <w:r>
              <w:rPr/>
              <w:t>-</w:t>
            </w:r>
          </w:p>
        </w:tc>
        <w:tc>
          <w:tcPr>
            <w:tcW w:w="695" w:type="dxa"/>
            <w:tcBorders>
              <w:left w:val="single" w:sz="8" w:space="0" w:color="000000"/>
            </w:tcBorders>
            <w:shd w:fill="FFFFFF" w:val="clear"/>
            <w:tcMar>
              <w:left w:w="0" w:type="dxa"/>
              <w:right w:w="0" w:type="dxa"/>
            </w:tcMar>
          </w:tcPr>
          <w:p>
            <w:pPr>
              <w:pStyle w:val="Normal"/>
              <w:jc w:val="center"/>
              <w:rPr/>
            </w:pPr>
            <w:r>
              <w:rPr/>
              <w:t>-</w:t>
            </w:r>
          </w:p>
        </w:tc>
        <w:tc>
          <w:tcPr>
            <w:tcW w:w="13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420" w:type="dxa"/>
            <w:tcBorders>
              <w:left w:val="single" w:sz="8" w:space="0" w:color="000000"/>
              <w:bottom w:val="single" w:sz="8" w:space="0" w:color="000000"/>
              <w:insideH w:val="single" w:sz="8" w:space="0" w:color="000000"/>
            </w:tcBorders>
            <w:shd w:fill="FFFFFF" w:val="clear"/>
          </w:tcPr>
          <w:p>
            <w:pPr>
              <w:pStyle w:val="Normal"/>
              <w:jc w:val="both"/>
              <w:rPr/>
            </w:pPr>
            <w:r>
              <w:rPr/>
              <w:t>подвесных</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260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320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Не нормируется</w:t>
            </w:r>
          </w:p>
        </w:tc>
      </w:tr>
      <w:tr>
        <w:trPr/>
        <w:tc>
          <w:tcPr>
            <w:tcW w:w="2420" w:type="dxa"/>
            <w:tcBorders>
              <w:left w:val="single" w:sz="8" w:space="0" w:color="000000"/>
              <w:bottom w:val="single" w:sz="8" w:space="0" w:color="000000"/>
              <w:insideH w:val="single" w:sz="8" w:space="0" w:color="000000"/>
            </w:tcBorders>
            <w:shd w:fill="FFFFFF" w:val="clear"/>
          </w:tcPr>
          <w:p>
            <w:pPr>
              <w:pStyle w:val="Normal"/>
              <w:jc w:val="both"/>
              <w:rPr/>
            </w:pPr>
            <w:r>
              <w:rPr/>
              <w:t>Внутренние перенапряжения</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215</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450/500</w:t>
            </w:r>
            <w:r>
              <w:rPr>
                <w:vertAlign w:val="superscript"/>
              </w:rPr>
              <w:t>*</w:t>
            </w:r>
          </w:p>
        </w:tc>
      </w:tr>
      <w:tr>
        <w:trPr/>
        <w:tc>
          <w:tcPr>
            <w:tcW w:w="2420" w:type="dxa"/>
            <w:tcBorders>
              <w:left w:val="single" w:sz="8" w:space="0" w:color="000000"/>
              <w:bottom w:val="single" w:sz="8" w:space="0" w:color="000000"/>
              <w:insideH w:val="single" w:sz="8" w:space="0" w:color="000000"/>
            </w:tcBorders>
            <w:shd w:fill="FFFFFF" w:val="clear"/>
          </w:tcPr>
          <w:p>
            <w:pPr>
              <w:pStyle w:val="Normal"/>
              <w:jc w:val="both"/>
              <w:rPr/>
            </w:pPr>
            <w:r>
              <w:rPr/>
              <w:t>Обеспечение безопасного подъема на опору без отключения ВЛ</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540/580</w:t>
            </w:r>
            <w:r>
              <w:rPr>
                <w:vertAlign w:val="superscript"/>
              </w:rPr>
              <w:t>*</w:t>
            </w:r>
          </w:p>
        </w:tc>
      </w:tr>
      <w:tr>
        <w:trPr/>
        <w:tc>
          <w:tcPr>
            <w:tcW w:w="2420" w:type="dxa"/>
            <w:tcBorders>
              <w:left w:val="single" w:sz="8" w:space="0" w:color="000000"/>
              <w:bottom w:val="single" w:sz="8" w:space="0" w:color="000000"/>
              <w:insideH w:val="single" w:sz="8" w:space="0" w:color="000000"/>
            </w:tcBorders>
            <w:shd w:fill="FFFFFF" w:val="clear"/>
          </w:tcPr>
          <w:p>
            <w:pPr>
              <w:pStyle w:val="Normal"/>
              <w:jc w:val="both"/>
              <w:rPr/>
            </w:pPr>
            <w:r>
              <w:rPr/>
              <w:t>Рабочее напряжение</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w:t>
            </w:r>
          </w:p>
        </w:tc>
        <w:tc>
          <w:tcPr>
            <w:tcW w:w="6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6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6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160</w:t>
            </w:r>
          </w:p>
        </w:tc>
      </w:tr>
    </w:tbl>
    <w:p>
      <w:pPr>
        <w:pStyle w:val="Normal"/>
        <w:spacing w:before="120" w:after="0"/>
        <w:ind w:firstLine="283"/>
        <w:jc w:val="both"/>
        <w:rPr/>
      </w:pPr>
      <w:r>
        <w:rPr>
          <w:vertAlign w:val="superscript"/>
        </w:rPr>
        <w:t>*</w:t>
      </w:r>
      <w:r>
        <w:rPr/>
        <w:t xml:space="preserve"> 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480 см.</w:t>
      </w:r>
    </w:p>
    <w:p>
      <w:pPr>
        <w:pStyle w:val="Normal"/>
        <w:spacing w:before="120" w:after="0"/>
        <w:ind w:firstLine="283"/>
        <w:jc w:val="both"/>
        <w:rPr/>
      </w:pPr>
      <w:r>
        <w:rPr/>
        <w:t>При других, более низких значениях расчетной кратности внутренних перенапряжений допустимые изоляционные расстояния по ним пересчитываются пропорционально.</w:t>
      </w:r>
    </w:p>
    <w:p>
      <w:pPr>
        <w:pStyle w:val="Normal"/>
        <w:ind w:firstLine="283"/>
        <w:jc w:val="both"/>
        <w:rPr/>
      </w:pPr>
      <w:r>
        <w:rPr/>
        <w:t>Изоляционные расстояния по воздуху между токоведущими частями и деревянной опорой, не имеющей заземляющих спусков, допускается уменьшать на 10 %, за исключением расстояний, выбираемых по условию безопасного подъема на опору.</w:t>
      </w:r>
    </w:p>
    <w:p>
      <w:pPr>
        <w:pStyle w:val="Normal"/>
        <w:ind w:firstLine="283"/>
        <w:jc w:val="both"/>
        <w:rPr/>
      </w:pPr>
      <w:r>
        <w:rPr/>
        <w:t>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2.5.17 на 1 % на каждые 100 м выше 1000 м над уровнем моря.</w:t>
      </w:r>
    </w:p>
    <w:p>
      <w:pPr>
        <w:pStyle w:val="Normal"/>
        <w:ind w:firstLine="283"/>
        <w:jc w:val="both"/>
        <w:rPr/>
      </w:pPr>
      <w:r>
        <w:rPr/>
        <w:t>2.5.126. 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 не менее приведенных в табл. 2.5.18.</w:t>
      </w:r>
    </w:p>
    <w:p>
      <w:pPr>
        <w:pStyle w:val="Normal"/>
        <w:ind w:firstLine="283"/>
        <w:jc w:val="both"/>
        <w:rPr/>
      </w:pPr>
      <w:r>
        <w:rPr/>
        <w:t>2.5.127.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2.5.229, 2.5.238, 2.5.267.</w:t>
      </w:r>
    </w:p>
    <w:p>
      <w:pPr>
        <w:pStyle w:val="Normal"/>
        <w:spacing w:before="120" w:after="120"/>
        <w:jc w:val="right"/>
        <w:rPr/>
      </w:pPr>
      <w:r>
        <w:rPr>
          <w:spacing w:val="40"/>
        </w:rPr>
        <w:t>Таблица</w:t>
      </w:r>
      <w:r>
        <w:rPr/>
        <w:t xml:space="preserve"> 2.5.18</w:t>
      </w:r>
    </w:p>
    <w:p>
      <w:pPr>
        <w:pStyle w:val="Normal"/>
        <w:spacing w:before="0" w:after="120"/>
        <w:jc w:val="center"/>
        <w:rPr>
          <w:b/>
          <w:b/>
          <w:bCs/>
        </w:rPr>
      </w:pPr>
      <w:r>
        <w:rPr>
          <w:b/>
          <w:bCs/>
        </w:rPr>
        <w:t>Наименьшее расстояние между фазами на опоре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125"/>
        <w:gridCol w:w="605"/>
        <w:gridCol w:w="605"/>
        <w:gridCol w:w="606"/>
        <w:gridCol w:w="606"/>
        <w:gridCol w:w="607"/>
        <w:gridCol w:w="606"/>
        <w:gridCol w:w="606"/>
        <w:gridCol w:w="606"/>
        <w:gridCol w:w="1383"/>
      </w:tblGrid>
      <w:tr>
        <w:trPr>
          <w:tblHeader w:val="true"/>
        </w:trPr>
        <w:tc>
          <w:tcPr>
            <w:tcW w:w="312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Расчетное условие</w:t>
            </w:r>
          </w:p>
        </w:tc>
        <w:tc>
          <w:tcPr>
            <w:tcW w:w="6230" w:type="dxa"/>
            <w:gridSpan w:val="9"/>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изоляционное расстояние, см, при напряжении ВЛ, кВ</w:t>
            </w:r>
          </w:p>
        </w:tc>
      </w:tr>
      <w:tr>
        <w:trPr>
          <w:tblHeader w:val="true"/>
        </w:trPr>
        <w:tc>
          <w:tcPr>
            <w:tcW w:w="312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605"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10</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60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3125" w:type="dxa"/>
            <w:tcBorders>
              <w:left w:val="single" w:sz="8" w:space="0" w:color="000000"/>
              <w:bottom w:val="single" w:sz="8" w:space="0" w:color="000000"/>
              <w:insideH w:val="single" w:sz="8" w:space="0" w:color="000000"/>
            </w:tcBorders>
            <w:shd w:fill="FFFFFF" w:val="clear"/>
          </w:tcPr>
          <w:p>
            <w:pPr>
              <w:pStyle w:val="Normal"/>
              <w:jc w:val="both"/>
              <w:rPr/>
            </w:pPr>
            <w:r>
              <w:rPr/>
              <w:t>Грозовые перенапряжения</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135</w:t>
            </w:r>
          </w:p>
        </w:tc>
        <w:tc>
          <w:tcPr>
            <w:tcW w:w="6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175</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310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Не нормируется</w:t>
            </w:r>
          </w:p>
        </w:tc>
      </w:tr>
      <w:tr>
        <w:trPr/>
        <w:tc>
          <w:tcPr>
            <w:tcW w:w="3125" w:type="dxa"/>
            <w:tcBorders>
              <w:left w:val="single" w:sz="8" w:space="0" w:color="000000"/>
              <w:bottom w:val="single" w:sz="8" w:space="0" w:color="000000"/>
              <w:insideH w:val="single" w:sz="8" w:space="0" w:color="000000"/>
            </w:tcBorders>
            <w:shd w:fill="FFFFFF" w:val="clear"/>
          </w:tcPr>
          <w:p>
            <w:pPr>
              <w:pStyle w:val="Normal"/>
              <w:jc w:val="both"/>
              <w:rPr/>
            </w:pPr>
            <w:r>
              <w:rPr/>
              <w:t>Внутренние перенапряжения</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33</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44</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6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280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420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640</w:t>
            </w:r>
            <w:r>
              <w:rPr>
                <w:vertAlign w:val="superscript"/>
              </w:rPr>
              <w:t>*</w:t>
            </w:r>
          </w:p>
        </w:tc>
      </w:tr>
      <w:tr>
        <w:trPr/>
        <w:tc>
          <w:tcPr>
            <w:tcW w:w="3125" w:type="dxa"/>
            <w:tcBorders>
              <w:left w:val="single" w:sz="8" w:space="0" w:color="000000"/>
              <w:bottom w:val="single" w:sz="8" w:space="0" w:color="000000"/>
              <w:insideH w:val="single" w:sz="8" w:space="0" w:color="000000"/>
            </w:tcBorders>
            <w:shd w:fill="FFFFFF" w:val="clear"/>
          </w:tcPr>
          <w:p>
            <w:pPr>
              <w:pStyle w:val="Normal"/>
              <w:jc w:val="both"/>
              <w:rPr/>
            </w:pPr>
            <w:r>
              <w:rPr/>
              <w:t>Наибольшее рабочее напряжение</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6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140</w:t>
            </w:r>
          </w:p>
        </w:tc>
        <w:tc>
          <w:tcPr>
            <w:tcW w:w="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13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280</w:t>
            </w:r>
          </w:p>
        </w:tc>
      </w:tr>
    </w:tbl>
    <w:p>
      <w:pPr>
        <w:pStyle w:val="Normal"/>
        <w:spacing w:before="120" w:after="0"/>
        <w:ind w:firstLine="283"/>
        <w:jc w:val="both"/>
        <w:rPr/>
      </w:pPr>
      <w:r>
        <w:rPr>
          <w:vertAlign w:val="superscript"/>
        </w:rPr>
        <w:t>*</w:t>
      </w:r>
      <w:r>
        <w:rPr/>
        <w:t xml:space="preserve"> При значениях расчетной кратности внутренних перенапряжений менее 2,1 допустимые изоляционные расстояния пересчитываются пропорционально.</w:t>
      </w:r>
    </w:p>
    <w:p>
      <w:pPr>
        <w:pStyle w:val="Normal"/>
        <w:spacing w:before="120" w:after="0"/>
        <w:ind w:firstLine="283"/>
        <w:jc w:val="both"/>
        <w:rPr/>
      </w:pPr>
      <w:r>
        <w:rPr/>
        <w:t>2.5.128.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20 - 30 % по сравнению с изоляцией другой цепи.</w:t>
      </w:r>
    </w:p>
    <w:p>
      <w:pPr>
        <w:pStyle w:val="Normal"/>
        <w:ind w:firstLine="283"/>
        <w:jc w:val="both"/>
        <w:rPr/>
      </w:pPr>
      <w:r>
        <w:rPr/>
        <w:t>2.5.129. На ВЛ должны быть заземлены:</w:t>
      </w:r>
    </w:p>
    <w:p>
      <w:pPr>
        <w:pStyle w:val="Normal"/>
        <w:ind w:firstLine="283"/>
        <w:jc w:val="both"/>
        <w:rPr/>
      </w:pPr>
      <w:r>
        <w:rPr/>
        <w:t>1) опоры, имеющие грозозащитный трос или другие устройства молниезащиты;</w:t>
      </w:r>
    </w:p>
    <w:p>
      <w:pPr>
        <w:pStyle w:val="Normal"/>
        <w:ind w:firstLine="283"/>
        <w:jc w:val="both"/>
        <w:rPr/>
      </w:pPr>
      <w:r>
        <w:rPr/>
        <w:t>2) железобетонные и металлические опоры ВЛ 3 - 35 кВ;</w:t>
      </w:r>
    </w:p>
    <w:p>
      <w:pPr>
        <w:pStyle w:val="Normal"/>
        <w:ind w:firstLine="283"/>
        <w:jc w:val="both"/>
        <w:rPr/>
      </w:pPr>
      <w:r>
        <w:rPr/>
        <w:t>3) опоры, на которых установлены силовые или измерительные трансформаторы, разъединители, предохранители и другие аппараты;</w:t>
      </w:r>
    </w:p>
    <w:p>
      <w:pPr>
        <w:pStyle w:val="Normal"/>
        <w:ind w:firstLine="283"/>
        <w:jc w:val="both"/>
        <w:rPr/>
      </w:pPr>
      <w:r>
        <w:rPr/>
        <w:t>4) металлические и железобетонные опоры ВЛ 110 - 500 кВ без тросов и других устройств молниезащиты, если это необходимо по условиям обеспечения работы релейной защиты и автоматики.</w:t>
      </w:r>
    </w:p>
    <w:p>
      <w:pPr>
        <w:pStyle w:val="Normal"/>
        <w:ind w:firstLine="283"/>
        <w:jc w:val="both"/>
        <w:rPr/>
      </w:pPr>
      <w:r>
        <w:rPr/>
        <w:t>Деревянные опоры и деревянные опоры с металлическими траверсами ВЛ без грозозащитных тросов или других устройств молниезащиты не заземляются.</w:t>
      </w:r>
    </w:p>
    <w:p>
      <w:pPr>
        <w:pStyle w:val="Normal"/>
        <w:ind w:firstLine="283"/>
        <w:jc w:val="both"/>
        <w:rPr/>
      </w:pPr>
      <w:r>
        <w:rPr/>
        <w:t>Сопротивления заземляющих устройств опор, приведенных в п. 1, при их высоте до 50 м должны быть не более приведенных в табл. 2.5.19; при высоте опор более 50 м - в 2 раза ниже по сравнению с приведенными в табл. 2.5.19. На двухцепных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2.5.19.</w:t>
      </w:r>
    </w:p>
    <w:p>
      <w:pPr>
        <w:pStyle w:val="Normal"/>
        <w:spacing w:before="120" w:after="120"/>
        <w:jc w:val="right"/>
        <w:rPr/>
      </w:pPr>
      <w:r>
        <w:rPr>
          <w:spacing w:val="40"/>
        </w:rPr>
        <w:t>Таблица</w:t>
      </w:r>
      <w:r>
        <w:rPr/>
        <w:t xml:space="preserve"> 2.5.19</w:t>
      </w:r>
    </w:p>
    <w:p>
      <w:pPr>
        <w:pStyle w:val="Normal"/>
        <w:spacing w:before="0" w:after="120"/>
        <w:jc w:val="center"/>
        <w:rPr>
          <w:b/>
          <w:b/>
          <w:bCs/>
        </w:rPr>
      </w:pPr>
      <w:r>
        <w:rPr>
          <w:b/>
          <w:bCs/>
        </w:rPr>
        <w:t>Наибольшее сопротивление заземляющих устройств опор ВЛ</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67"/>
        <w:gridCol w:w="4688"/>
      </w:tblGrid>
      <w:tr>
        <w:trPr>
          <w:tblHeader w:val="true"/>
        </w:trPr>
        <w:tc>
          <w:tcPr>
            <w:tcW w:w="4667"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 xml:space="preserve">Удельное эквивалентное сопротивление грунта </w:t>
            </w:r>
            <w:r>
              <w:rPr>
                <w:i/>
                <w:iCs/>
              </w:rPr>
              <w:t>ρ</w:t>
            </w:r>
            <w:r>
              <w:rPr/>
              <w:t>, Ом·м</w:t>
            </w:r>
          </w:p>
        </w:tc>
        <w:tc>
          <w:tcPr>
            <w:tcW w:w="468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Наибольшее сопротивление заземляющего устройства, Ом</w:t>
            </w:r>
          </w:p>
        </w:tc>
      </w:tr>
      <w:tr>
        <w:trPr/>
        <w:tc>
          <w:tcPr>
            <w:tcW w:w="4667" w:type="dxa"/>
            <w:tcBorders>
              <w:left w:val="single" w:sz="8" w:space="0" w:color="000000"/>
            </w:tcBorders>
            <w:shd w:fill="FFFFFF" w:val="clear"/>
          </w:tcPr>
          <w:p>
            <w:pPr>
              <w:pStyle w:val="Normal"/>
              <w:jc w:val="both"/>
              <w:rPr/>
            </w:pPr>
            <w:r>
              <w:rPr/>
              <w:t>До 100</w:t>
            </w:r>
          </w:p>
        </w:tc>
        <w:tc>
          <w:tcPr>
            <w:tcW w:w="468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4667" w:type="dxa"/>
            <w:tcBorders>
              <w:left w:val="single" w:sz="8" w:space="0" w:color="000000"/>
            </w:tcBorders>
            <w:shd w:fill="FFFFFF" w:val="clear"/>
          </w:tcPr>
          <w:p>
            <w:pPr>
              <w:pStyle w:val="Normal"/>
              <w:jc w:val="both"/>
              <w:rPr/>
            </w:pPr>
            <w:r>
              <w:rPr/>
              <w:t>Более 100 до 500</w:t>
            </w:r>
          </w:p>
        </w:tc>
        <w:tc>
          <w:tcPr>
            <w:tcW w:w="468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4667" w:type="dxa"/>
            <w:tcBorders>
              <w:left w:val="single" w:sz="8" w:space="0" w:color="000000"/>
            </w:tcBorders>
            <w:shd w:fill="FFFFFF" w:val="clear"/>
          </w:tcPr>
          <w:p>
            <w:pPr>
              <w:pStyle w:val="Normal"/>
              <w:jc w:val="both"/>
              <w:rPr/>
            </w:pPr>
            <w:r>
              <w:rPr/>
              <w:t>Более 500 до 1000</w:t>
            </w:r>
          </w:p>
        </w:tc>
        <w:tc>
          <w:tcPr>
            <w:tcW w:w="468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4667" w:type="dxa"/>
            <w:tcBorders>
              <w:left w:val="single" w:sz="8" w:space="0" w:color="000000"/>
            </w:tcBorders>
            <w:shd w:fill="FFFFFF" w:val="clear"/>
          </w:tcPr>
          <w:p>
            <w:pPr>
              <w:pStyle w:val="Normal"/>
              <w:jc w:val="both"/>
              <w:rPr/>
            </w:pPr>
            <w:r>
              <w:rPr/>
              <w:t>Более 1000 до 5000</w:t>
            </w:r>
          </w:p>
        </w:tc>
        <w:tc>
          <w:tcPr>
            <w:tcW w:w="468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4667" w:type="dxa"/>
            <w:tcBorders>
              <w:left w:val="single" w:sz="8" w:space="0" w:color="000000"/>
              <w:bottom w:val="single" w:sz="8" w:space="0" w:color="000000"/>
              <w:insideH w:val="single" w:sz="8" w:space="0" w:color="000000"/>
            </w:tcBorders>
            <w:shd w:fill="FFFFFF" w:val="clear"/>
          </w:tcPr>
          <w:p>
            <w:pPr>
              <w:pStyle w:val="Normal"/>
              <w:jc w:val="both"/>
              <w:rPr/>
            </w:pPr>
            <w:r>
              <w:rPr/>
              <w:t>Более 5000</w:t>
            </w:r>
          </w:p>
        </w:tc>
        <w:tc>
          <w:tcPr>
            <w:tcW w:w="468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 · 10</w:t>
            </w:r>
            <w:r>
              <w:rPr>
                <w:vertAlign w:val="superscript"/>
              </w:rPr>
              <w:t>-3</w:t>
            </w:r>
            <w:r>
              <w:rPr/>
              <w:t xml:space="preserve"> </w:t>
            </w:r>
            <w:r>
              <w:rPr>
                <w:i/>
                <w:iCs/>
              </w:rPr>
              <w:t>ρ</w:t>
            </w:r>
          </w:p>
        </w:tc>
      </w:tr>
    </w:tbl>
    <w:p>
      <w:pPr>
        <w:pStyle w:val="Normal"/>
        <w:spacing w:before="120" w:after="0"/>
        <w:ind w:firstLine="283"/>
        <w:jc w:val="both"/>
        <w:rPr/>
      </w:pPr>
      <w:r>
        <w:rPr/>
        <w:t>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требований табл. 2.5.19 для всех опор ВЛ.</w:t>
      </w:r>
    </w:p>
    <w:p>
      <w:pPr>
        <w:pStyle w:val="Normal"/>
        <w:ind w:firstLine="283"/>
        <w:jc w:val="both"/>
        <w:rPr/>
      </w:pPr>
      <w:r>
        <w:rPr/>
        <w:t xml:space="preserve">Для опор горных ВЛ, расположенных на высотах более 700 м над уровнем моря, указанные в табл. 2.5.19 значения сопротивлений заземления могут быть увеличены в 2 раза. Сопротивления заземляющих устройств опор, указанных в п. 2 для ВЛ 3 - 20 кВ, проходящих в населенной местности, а также всех ВЛ 35 кВ должны быть не более приведенных в табл. 2.5.19: для ВЛ 3 - 20 кВ в ненаселенной местности в грунтах с удельным сопротивлением </w:t>
      </w:r>
      <w:r>
        <w:rPr>
          <w:i/>
          <w:iCs/>
        </w:rPr>
        <w:t>ρ</w:t>
      </w:r>
      <w:r>
        <w:rPr/>
        <w:t xml:space="preserve"> до 100 Ом·м - не более 30 Ом, а в грунтах с </w:t>
      </w:r>
      <w:r>
        <w:rPr>
          <w:i/>
          <w:iCs/>
        </w:rPr>
        <w:t>ρ</w:t>
      </w:r>
      <w:r>
        <w:rPr/>
        <w:t xml:space="preserve"> выше 100 Ом·м - не более 0,3 </w:t>
      </w:r>
      <w:r>
        <w:rPr>
          <w:i/>
          <w:iCs/>
        </w:rPr>
        <w:t>ρ</w:t>
      </w:r>
      <w:r>
        <w:rPr/>
        <w:t xml:space="preserve"> Ом.</w:t>
      </w:r>
    </w:p>
    <w:p>
      <w:pPr>
        <w:pStyle w:val="Normal"/>
        <w:ind w:firstLine="283"/>
        <w:jc w:val="both"/>
        <w:rPr/>
      </w:pPr>
      <w:r>
        <w:rPr/>
        <w:t>Сопротивления заземляющих устройств опор ВЛ 110 кВ и выше, указанных в п. 3, должны быть не более приведенных в табл. 2.5.19, а для ВЛ 3 - 35 кВ не должны превышать 30 Ом.</w:t>
      </w:r>
    </w:p>
    <w:p>
      <w:pPr>
        <w:pStyle w:val="Normal"/>
        <w:ind w:firstLine="283"/>
        <w:jc w:val="both"/>
        <w:rPr/>
      </w:pPr>
      <w:r>
        <w:rPr/>
        <w:t>Сопротивления заземляющих устройств опор, указанных в п. 4, определяются при проектировании ВЛ.</w:t>
      </w:r>
    </w:p>
    <w:p>
      <w:pPr>
        <w:pStyle w:val="Normal"/>
        <w:ind w:firstLine="283"/>
        <w:jc w:val="both"/>
        <w:rPr/>
      </w:pPr>
      <w:r>
        <w:rPr/>
        <w:t>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условиям - при неотсоединенном тросе.</w:t>
      </w:r>
    </w:p>
    <w:p>
      <w:pPr>
        <w:pStyle w:val="Normal"/>
        <w:ind w:firstLine="283"/>
        <w:jc w:val="both"/>
        <w:rPr/>
      </w:pPr>
      <w:r>
        <w:rP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pPr>
        <w:pStyle w:val="Normal"/>
        <w:ind w:firstLine="283"/>
        <w:jc w:val="both"/>
        <w:rPr/>
      </w:pPr>
      <w:r>
        <w:rPr/>
        <w:t>Место присоединения заземляющего устройства к железобетонной опоре должно быть доступно для выполнения измерений.</w:t>
      </w:r>
    </w:p>
    <w:p>
      <w:pPr>
        <w:pStyle w:val="Normal"/>
        <w:ind w:firstLine="284"/>
        <w:jc w:val="both"/>
        <w:rPr/>
      </w:pPr>
      <w:r>
        <w:rPr/>
        <w:t>2.5.130. Железобетонные фундаменты опор ВЛ 110 кВ и выше могут быть использованы в качестве естественных заземлителей (исключение 2.5.131 и 2.5.253) при осуществлении металлической связи между анкерными болтами и арматурой фундамента и отсутствии гидроизоляции железобетона полимерными материалами.</w:t>
      </w:r>
    </w:p>
    <w:p>
      <w:pPr>
        <w:pStyle w:val="Normal"/>
        <w:ind w:firstLine="284"/>
        <w:jc w:val="both"/>
        <w:rPr/>
      </w:pPr>
      <w:r>
        <w:rPr/>
        <w:t>Битумная обмазка на железобетонных опорах и фундаментах не влияет на их использование в качестве естественных заземлителей.</w:t>
      </w:r>
    </w:p>
    <w:p>
      <w:pPr>
        <w:pStyle w:val="Normal"/>
        <w:ind w:firstLine="284"/>
        <w:jc w:val="both"/>
        <w:rPr/>
      </w:pPr>
      <w:r>
        <w:rPr/>
        <w:t xml:space="preserve">2.5.131. При прохождении ВЛ 110 кВ и выше в местности с глинистыми, суглинистыми, супесчаными и тому подобными грунтами с удельным сопротивлением </w:t>
      </w:r>
      <w:r>
        <w:rPr>
          <w:i/>
          <w:iCs/>
        </w:rPr>
        <w:t>ρ</w:t>
      </w:r>
      <w:r>
        <w:rPr/>
        <w:t xml:space="preserve"> ≤ 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pPr>
        <w:pStyle w:val="Normal"/>
        <w:ind w:firstLine="284"/>
        <w:jc w:val="both"/>
        <w:rPr/>
      </w:pPr>
      <w:r>
        <w:rP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pPr>
        <w:pStyle w:val="Normal"/>
        <w:ind w:firstLine="284"/>
        <w:jc w:val="both"/>
        <w:rPr/>
      </w:pPr>
      <w:r>
        <w:rPr/>
        <w:t>2.5.132. 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которых соединены между собой и могут быть присоединены к заземлителю.</w:t>
      </w:r>
    </w:p>
    <w:p>
      <w:pPr>
        <w:pStyle w:val="Normal"/>
        <w:ind w:firstLine="284"/>
        <w:jc w:val="both"/>
        <w:rPr/>
      </w:pPr>
      <w:r>
        <w:rP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 термической стойкости при протекании токов КЗ. За время КЗ стержни должны нагреваться не более чем на 60 °С.</w:t>
      </w:r>
    </w:p>
    <w:p>
      <w:pPr>
        <w:pStyle w:val="Normal"/>
        <w:ind w:firstLine="284"/>
        <w:jc w:val="both"/>
        <w:rPr/>
      </w:pPr>
      <w:r>
        <w:rPr/>
        <w:t>Оттяжки железобетонных опор должны использоваться в качестве заземляющих проводников дополнительно к арматуре.</w:t>
      </w:r>
    </w:p>
    <w:p>
      <w:pPr>
        <w:pStyle w:val="Normal"/>
        <w:ind w:firstLine="284"/>
        <w:jc w:val="both"/>
        <w:rPr/>
      </w:pPr>
      <w:r>
        <w:rPr/>
        <w:t>Тросы, заземляемые согласно 2.5.122,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pPr>
        <w:pStyle w:val="Normal"/>
        <w:ind w:firstLine="284"/>
        <w:jc w:val="both"/>
        <w:rPr/>
      </w:pPr>
      <w:r>
        <w:rPr/>
        <w:t>2.5.133. Сечение каждого из заземляющих спусков на опоре ВЛ должно быть не менее 35 мм</w:t>
      </w:r>
      <w:r>
        <w:rPr>
          <w:vertAlign w:val="superscript"/>
        </w:rPr>
        <w:t>2</w:t>
      </w:r>
      <w:r>
        <w:rPr/>
        <w:t>, а для однопроволочных спусков диаметр должен быть не менее 10 мм (сечение 78,5 мм</w:t>
      </w:r>
      <w:r>
        <w:rPr>
          <w:vertAlign w:val="superscript"/>
        </w:rPr>
        <w:t>2</w:t>
      </w:r>
      <w:r>
        <w:rPr/>
        <w:t>). Количество спусков должно быть не менее двух.</w:t>
      </w:r>
    </w:p>
    <w:p>
      <w:pPr>
        <w:pStyle w:val="Normal"/>
        <w:ind w:firstLine="284"/>
        <w:jc w:val="both"/>
        <w:rPr/>
      </w:pPr>
      <w:r>
        <w:rPr/>
        <w:t>Для районов со среднегодовой относительной влажностью воздуха 60 % и более, а также при средне- и сильноагрессивных степенях воздействия среды заземляющие спуски у места их входа в грунт должны быть защищены от коррозии в соответствии с требованиями строительных норм и правил.</w:t>
      </w:r>
    </w:p>
    <w:p>
      <w:pPr>
        <w:pStyle w:val="Normal"/>
        <w:ind w:firstLine="284"/>
        <w:jc w:val="both"/>
        <w:rPr/>
      </w:pPr>
      <w:r>
        <w:rPr/>
        <w:t>В случае опасности коррозии заземлителей следует увеличивать их сечение или применять оцинкованные заземлители.</w:t>
      </w:r>
    </w:p>
    <w:p>
      <w:pPr>
        <w:pStyle w:val="Normal"/>
        <w:ind w:firstLine="284"/>
        <w:jc w:val="both"/>
        <w:rPr/>
      </w:pPr>
      <w:r>
        <w:rP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pPr>
        <w:pStyle w:val="Normal"/>
        <w:ind w:firstLine="284"/>
        <w:jc w:val="both"/>
        <w:rPr/>
      </w:pPr>
      <w:r>
        <w:rPr/>
        <w:t>2.5.134. Заземлители опор ВЛ, как правило,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p>
      <w:pPr>
        <w:pStyle w:val="Heading3"/>
        <w:rPr/>
      </w:pPr>
      <w:bookmarkStart w:id="13" w:name="_%D0%9E%D0%9F%D0%9E%D0%A0%D0%AB_%D0%98_%"/>
      <w:bookmarkEnd w:id="13"/>
      <w:r>
        <w:rPr/>
        <w:t>ОПОРЫ И ФУНДАМЕНТЫ</w:t>
      </w:r>
    </w:p>
    <w:p>
      <w:pPr>
        <w:pStyle w:val="Normal"/>
        <w:ind w:firstLine="284"/>
        <w:jc w:val="both"/>
        <w:rPr/>
      </w:pPr>
      <w:r>
        <w:rPr/>
        <w:t>2.5.135.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pPr>
        <w:pStyle w:val="Normal"/>
        <w:ind w:firstLine="284"/>
        <w:jc w:val="both"/>
        <w:rPr/>
      </w:pPr>
      <w:r>
        <w:rPr/>
        <w:t>В зависимости от количества подвешиваемых на них цепей опоры разделяются на одноцепные, двухцепные и многоцепные.</w:t>
      </w:r>
    </w:p>
    <w:p>
      <w:pPr>
        <w:pStyle w:val="Normal"/>
        <w:ind w:firstLine="284"/>
        <w:jc w:val="both"/>
        <w:rPr/>
      </w:pPr>
      <w:r>
        <w:rPr/>
        <w:t>Опоры могут выполняться свободностоящими или с оттяжками.</w:t>
      </w:r>
    </w:p>
    <w:p>
      <w:pPr>
        <w:pStyle w:val="Normal"/>
        <w:ind w:firstLine="284"/>
        <w:jc w:val="both"/>
        <w:rPr/>
      </w:pPr>
      <w:r>
        <w:rPr/>
        <w:t>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p>
      <w:pPr>
        <w:pStyle w:val="Normal"/>
        <w:ind w:firstLine="284"/>
        <w:jc w:val="both"/>
        <w:rPr/>
      </w:pPr>
      <w:r>
        <w:rP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p>
      <w:pPr>
        <w:pStyle w:val="Normal"/>
        <w:ind w:firstLine="284"/>
        <w:jc w:val="both"/>
        <w:rPr/>
      </w:pPr>
      <w:r>
        <w:rPr/>
        <w:t>Опоры анкерного типа могут быть нормальной и облегченной конструкции (см. 2.5.145).</w:t>
      </w:r>
    </w:p>
    <w:p>
      <w:pPr>
        <w:pStyle w:val="Normal"/>
        <w:ind w:firstLine="284"/>
        <w:jc w:val="both"/>
        <w:rPr/>
      </w:pPr>
      <w:r>
        <w:rPr/>
        <w:t>2.5.136.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p>
      <w:pPr>
        <w:pStyle w:val="Normal"/>
        <w:ind w:firstLine="284"/>
        <w:jc w:val="both"/>
        <w:rPr/>
      </w:pPr>
      <w:r>
        <w:rPr/>
        <w:t>Требования к применению анкерных опор нормальной конструкции устанавливаются настоящей главой.</w:t>
      </w:r>
    </w:p>
    <w:p>
      <w:pPr>
        <w:pStyle w:val="Normal"/>
        <w:ind w:firstLine="284"/>
        <w:jc w:val="both"/>
        <w:rPr/>
      </w:pPr>
      <w:r>
        <w:rPr/>
        <w:t>На ВЛ 35 кВ и выше расстояние между анкерными опорами должно быть не более 10 км, а на ВЛ, проходящих в труднодоступной местности и в местности с особо сложными природными условиями, - не более 5 км.</w:t>
      </w:r>
    </w:p>
    <w:p>
      <w:pPr>
        <w:pStyle w:val="Normal"/>
        <w:ind w:firstLine="284"/>
        <w:jc w:val="both"/>
        <w:rPr/>
      </w:pPr>
      <w:r>
        <w:rPr/>
        <w:t>На ВЛ 20 кВ и ниже с проводами, закрепленными на штыревых изоляторах, расстояние между анкерными опорами не должно превышать 1,5 км в районах по гололеду I - III и 1 км в районах по гололеду IV и более.</w:t>
      </w:r>
    </w:p>
    <w:p>
      <w:pPr>
        <w:pStyle w:val="Normal"/>
        <w:ind w:firstLine="284"/>
        <w:jc w:val="both"/>
        <w:rPr/>
      </w:pPr>
      <w:r>
        <w:rPr/>
        <w:t>На ВЛ 20 кВ и ниже с подвесными изоляторами расстояние между анкерными опорами не должно превышать 3 км.</w:t>
      </w:r>
    </w:p>
    <w:p>
      <w:pPr>
        <w:pStyle w:val="Normal"/>
        <w:ind w:firstLine="284"/>
        <w:jc w:val="both"/>
        <w:rPr/>
      </w:pPr>
      <w:r>
        <w:rPr/>
        <w:t>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p>
      <w:pPr>
        <w:pStyle w:val="Normal"/>
        <w:ind w:firstLine="284"/>
        <w:jc w:val="both"/>
        <w:rPr/>
      </w:pPr>
      <w:r>
        <w:rPr/>
        <w:t>2.5.137. Предельные состояния, по которым производится расчет опор, фундаментов и оснований ВЛ, подразделяются на две группы.</w:t>
      </w:r>
    </w:p>
    <w:p>
      <w:pPr>
        <w:pStyle w:val="Normal"/>
        <w:ind w:firstLine="284"/>
        <w:jc w:val="both"/>
        <w:rPr/>
      </w:pPr>
      <w:r>
        <w:rP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pPr>
        <w:pStyle w:val="Normal"/>
        <w:ind w:firstLine="284"/>
        <w:jc w:val="both"/>
        <w:rPr/>
      </w:pPr>
      <w:r>
        <w:rPr/>
        <w:t>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pPr>
        <w:pStyle w:val="Normal"/>
        <w:ind w:firstLine="284"/>
        <w:jc w:val="both"/>
        <w:rPr/>
      </w:pPr>
      <w:r>
        <w:rPr/>
        <w:t>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pPr>
        <w:pStyle w:val="Normal"/>
        <w:ind w:firstLine="284"/>
        <w:jc w:val="both"/>
        <w:rPr/>
      </w:pPr>
      <w:r>
        <w:rPr/>
        <w:t>2.5.138.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p>
      <w:pPr>
        <w:pStyle w:val="Normal"/>
        <w:ind w:firstLine="284"/>
        <w:jc w:val="both"/>
        <w:rPr/>
      </w:pPr>
      <w:r>
        <w:rPr/>
        <w:t>К постоянным нагрузкам относятся:</w:t>
      </w:r>
    </w:p>
    <w:p>
      <w:pPr>
        <w:pStyle w:val="Normal"/>
        <w:ind w:firstLine="284"/>
        <w:jc w:val="both"/>
        <w:rPr/>
      </w:pPr>
      <w:r>
        <w:rPr/>
        <w:t>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p>
      <w:pPr>
        <w:pStyle w:val="Normal"/>
        <w:ind w:firstLine="284"/>
        <w:jc w:val="both"/>
        <w:rPr/>
      </w:pPr>
      <w:r>
        <w:rPr/>
        <w:t>К длительным нагрузкам относятся:</w:t>
      </w:r>
    </w:p>
    <w:p>
      <w:pPr>
        <w:pStyle w:val="Normal"/>
        <w:ind w:firstLine="284"/>
        <w:jc w:val="both"/>
        <w:rPr/>
      </w:pPr>
      <w:r>
        <w:rPr/>
        <w:t>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p>
      <w:pPr>
        <w:pStyle w:val="Normal"/>
        <w:ind w:firstLine="284"/>
        <w:jc w:val="both"/>
        <w:rPr/>
      </w:pPr>
      <w:r>
        <w:rPr/>
        <w:t>К кратковременным нагрузкам относятся:</w:t>
      </w:r>
    </w:p>
    <w:p>
      <w:pPr>
        <w:pStyle w:val="Normal"/>
        <w:ind w:firstLine="284"/>
        <w:jc w:val="both"/>
        <w:rPr/>
      </w:pPr>
      <w:r>
        <w:rPr/>
        <w:t>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p>
      <w:pPr>
        <w:pStyle w:val="Normal"/>
        <w:ind w:firstLine="284"/>
        <w:jc w:val="both"/>
        <w:rPr/>
      </w:pPr>
      <w:r>
        <w:rPr/>
        <w:t>К особым нагрузкам относятся:</w:t>
      </w:r>
    </w:p>
    <w:p>
      <w:pPr>
        <w:pStyle w:val="Normal"/>
        <w:ind w:firstLine="284"/>
        <w:jc w:val="both"/>
        <w:rPr/>
      </w:pPr>
      <w:r>
        <w:rPr/>
        <w:t>нагрузки, возникающие при обрыве проводов и тросов, а также нагрузки при сейсмических воздействиях.</w:t>
      </w:r>
    </w:p>
    <w:p>
      <w:pPr>
        <w:pStyle w:val="Normal"/>
        <w:ind w:firstLine="284"/>
        <w:jc w:val="both"/>
        <w:rPr/>
      </w:pPr>
      <w:r>
        <w:rPr/>
        <w:t>2.5.139.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pPr>
        <w:pStyle w:val="Normal"/>
        <w:ind w:firstLine="284"/>
        <w:jc w:val="both"/>
        <w:rPr/>
      </w:pPr>
      <w:r>
        <w:rPr/>
        <w:t>Расчет опор, фундаментов и оснований фундаментов на прочность и устойчивость должен производиться на нагрузки первой группы предельных состояний.</w:t>
      </w:r>
    </w:p>
    <w:p>
      <w:pPr>
        <w:pStyle w:val="Normal"/>
        <w:ind w:firstLine="284"/>
        <w:jc w:val="both"/>
        <w:rPr/>
      </w:pPr>
      <w:r>
        <w:rPr/>
        <w:t>Расчет опор, фундаментов и их элементов на выносливость и по деформациям производится на нагрузки второй группы предельных состояний.</w:t>
      </w:r>
    </w:p>
    <w:p>
      <w:pPr>
        <w:pStyle w:val="Normal"/>
        <w:ind w:firstLine="284"/>
        <w:jc w:val="both"/>
        <w:rPr/>
      </w:pPr>
      <w:r>
        <w:rPr/>
        <w:t>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p>
      <w:pPr>
        <w:pStyle w:val="Normal"/>
        <w:ind w:firstLine="284"/>
        <w:jc w:val="both"/>
        <w:rPr/>
      </w:pPr>
      <w:r>
        <w:rPr/>
        <w:t>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pPr>
        <w:pStyle w:val="Normal"/>
        <w:ind w:firstLine="284"/>
        <w:jc w:val="both"/>
        <w:rPr/>
      </w:pPr>
      <w:r>
        <w:rPr/>
        <w:t>Дополнительно учитывается следующее:</w:t>
      </w:r>
    </w:p>
    <w:p>
      <w:pPr>
        <w:pStyle w:val="Normal"/>
        <w:ind w:firstLine="284"/>
        <w:jc w:val="both"/>
        <w:rPr/>
      </w:pPr>
      <w:r>
        <w:rPr/>
        <w:t>возможность временного усиления отдельных элементов конструкций в монтажных режимах;</w:t>
      </w:r>
    </w:p>
    <w:p>
      <w:pPr>
        <w:pStyle w:val="Normal"/>
        <w:ind w:firstLine="284"/>
        <w:jc w:val="both"/>
        <w:rPr/>
      </w:pPr>
      <w:r>
        <w:rPr/>
        <w:t>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 при использовании опор и фундаментов в условиях агрессивной среды снижение кратковременных нагрузок не производится;</w:t>
      </w:r>
    </w:p>
    <w:p>
      <w:pPr>
        <w:pStyle w:val="Normal"/>
        <w:ind w:firstLine="284"/>
        <w:jc w:val="both"/>
        <w:rPr/>
      </w:pPr>
      <w:r>
        <w:rP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pPr>
        <w:pStyle w:val="Normal"/>
        <w:ind w:firstLine="284"/>
        <w:jc w:val="both"/>
        <w:rPr/>
      </w:pPr>
      <w:r>
        <w:rPr/>
        <w:t>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p>
      <w:pPr>
        <w:pStyle w:val="Normal"/>
        <w:ind w:firstLine="284"/>
        <w:jc w:val="both"/>
        <w:rPr/>
      </w:pPr>
      <w:r>
        <w:rPr/>
        <w:t xml:space="preserve">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i/>
          <w:iCs/>
        </w:rPr>
        <w:t>ψ</w:t>
      </w:r>
      <w:r>
        <w:rPr/>
        <w:t xml:space="preserve"> = 0,8.</w:t>
      </w:r>
    </w:p>
    <w:p>
      <w:pPr>
        <w:pStyle w:val="Normal"/>
        <w:ind w:firstLine="284"/>
        <w:jc w:val="both"/>
        <w:rPr/>
      </w:pPr>
      <w:r>
        <w:rPr/>
        <w:t>2.5.140. Опоры должны рассчитываться в нормальном режиме по первой и второй группам предельных состояний на сочетания условий, указанных в 2.5.71 пп. 4, 5, 6 и в 2.5.73 пп. 1, 2, 3.</w:t>
      </w:r>
    </w:p>
    <w:p>
      <w:pPr>
        <w:pStyle w:val="Normal"/>
        <w:ind w:firstLine="284"/>
        <w:jc w:val="both"/>
        <w:rPr/>
      </w:pPr>
      <w:r>
        <w:rPr/>
        <w:t>Опоры анкерного типа и промежуточные угловые опоры должны рассчитываться также на условия 2.5.71 п. 2, если тяжение проводов или тросов в этом режиме больше, чем в режиме наибольших нагрузок.</w:t>
      </w:r>
    </w:p>
    <w:p>
      <w:pPr>
        <w:pStyle w:val="Normal"/>
        <w:ind w:firstLine="284"/>
        <w:jc w:val="both"/>
        <w:rPr/>
      </w:pPr>
      <w:r>
        <w:rP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p>
      <w:pPr>
        <w:pStyle w:val="Normal"/>
        <w:ind w:firstLine="284"/>
        <w:jc w:val="both"/>
        <w:rPr/>
      </w:pPr>
      <w:r>
        <w:rPr/>
        <w:t>Концевые опоры должны рассчитываться также на одностороннее тяжение всех проводов и тросов.</w:t>
      </w:r>
    </w:p>
    <w:p>
      <w:pPr>
        <w:pStyle w:val="Normal"/>
        <w:ind w:firstLine="284"/>
        <w:jc w:val="both"/>
        <w:rPr/>
      </w:pPr>
      <w:r>
        <w:rPr/>
        <w:t>Двухцепные опоры во всех режимах должны быть рассчитаны также для условий, когда смонтирована только одна цепь.</w:t>
      </w:r>
    </w:p>
    <w:p>
      <w:pPr>
        <w:pStyle w:val="Normal"/>
        <w:ind w:firstLine="284"/>
        <w:jc w:val="both"/>
        <w:rPr/>
      </w:pPr>
      <w:r>
        <w:rPr/>
        <w:t xml:space="preserve">2.5.141.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Pr>
          <w:i/>
          <w:iCs/>
        </w:rPr>
        <w:t>Т</w:t>
      </w:r>
      <w:r>
        <w:rPr>
          <w:i/>
          <w:iCs/>
          <w:vertAlign w:val="subscript"/>
        </w:rPr>
        <w:t>ав</w:t>
      </w:r>
      <w:r>
        <w:rPr/>
        <w:t>.</w:t>
      </w:r>
    </w:p>
    <w:p>
      <w:pPr>
        <w:pStyle w:val="Normal"/>
        <w:ind w:firstLine="284"/>
        <w:jc w:val="both"/>
        <w:rPr/>
      </w:pPr>
      <w:r>
        <w:rPr/>
        <w:t>Расчет производится при следующих условиях:</w:t>
      </w:r>
    </w:p>
    <w:p>
      <w:pPr>
        <w:pStyle w:val="Normal"/>
        <w:ind w:firstLine="284"/>
        <w:jc w:val="both"/>
        <w:rPr/>
      </w:pPr>
      <w:r>
        <w:rPr/>
        <w:t>1) оборваны провод или провода одной фазы одного пролета (при любом числе проводов на опоре), тросы не оборваны;</w:t>
      </w:r>
    </w:p>
    <w:p>
      <w:pPr>
        <w:pStyle w:val="Normal"/>
        <w:ind w:firstLine="284"/>
        <w:jc w:val="both"/>
        <w:rPr/>
      </w:pPr>
      <w:r>
        <w:rPr/>
        <w:t>2) оборван один трос пролета (для расщепленного троса - все его составляющие), провода не оборваны.</w:t>
      </w:r>
    </w:p>
    <w:p>
      <w:pPr>
        <w:pStyle w:val="Normal"/>
        <w:ind w:firstLine="284"/>
        <w:jc w:val="both"/>
        <w:rPr/>
      </w:pPr>
      <w:r>
        <w:rPr/>
        <w:t>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2.5.72 п. 1.</w:t>
      </w:r>
    </w:p>
    <w:p>
      <w:pPr>
        <w:pStyle w:val="Normal"/>
        <w:ind w:firstLine="284"/>
        <w:jc w:val="both"/>
        <w:rPr/>
      </w:pPr>
      <w:r>
        <w:rPr/>
        <w:t xml:space="preserve">2.5.142. Расчетная условная горизонтальная статическая нагрузка </w:t>
      </w:r>
      <w:r>
        <w:rPr>
          <w:i/>
          <w:iCs/>
        </w:rPr>
        <w:t>Т</w:t>
      </w:r>
      <w:r>
        <w:rPr>
          <w:i/>
          <w:iCs/>
          <w:vertAlign w:val="subscript"/>
        </w:rPr>
        <w:t>ав</w:t>
      </w:r>
      <w:r>
        <w:rPr/>
        <w:t xml:space="preserve"> от проводов на опоры принимается равной:</w:t>
      </w:r>
    </w:p>
    <w:p>
      <w:pPr>
        <w:pStyle w:val="Normal"/>
        <w:ind w:firstLine="284"/>
        <w:jc w:val="both"/>
        <w:rPr/>
      </w:pPr>
      <w:r>
        <w:rPr/>
        <w:t>1) на ВЛ с нерасщепленными фазами:</w:t>
      </w:r>
    </w:p>
    <w:p>
      <w:pPr>
        <w:pStyle w:val="Normal"/>
        <w:ind w:firstLine="284"/>
        <w:jc w:val="both"/>
        <w:rPr/>
      </w:pPr>
      <w:r>
        <w:rPr/>
        <w:t>для свободностоящих металлических опор, опор из любого материала на оттяжках, А-образных и других типов жестких опор с проводами площадью сечения алюминиевой части до 185 мм</w:t>
      </w:r>
      <w:r>
        <w:rPr>
          <w:vertAlign w:val="superscript"/>
        </w:rPr>
        <w:t>2</w:t>
      </w:r>
      <w:r>
        <w:rPr/>
        <w:t xml:space="preserve"> - 0,5 </w:t>
      </w:r>
      <w:r>
        <w:rPr>
          <w:i/>
          <w:iCs/>
        </w:rPr>
        <w:t>Т</w:t>
      </w:r>
      <w:r>
        <w:rPr>
          <w:vertAlign w:val="subscript"/>
        </w:rPr>
        <w:t>max</w:t>
      </w:r>
      <w:r>
        <w:rPr/>
        <w:t>, площадью сечения алюминиевой части 205 мм</w:t>
      </w:r>
      <w:r>
        <w:rPr>
          <w:vertAlign w:val="superscript"/>
        </w:rPr>
        <w:t>2</w:t>
      </w:r>
      <w:r>
        <w:rPr/>
        <w:t xml:space="preserve"> и более - 0,4 </w:t>
      </w:r>
      <w:r>
        <w:rPr>
          <w:i/>
          <w:iCs/>
        </w:rPr>
        <w:t>Т</w:t>
      </w:r>
      <w:r>
        <w:rPr>
          <w:vertAlign w:val="subscript"/>
        </w:rPr>
        <w:t>max</w:t>
      </w:r>
      <w:r>
        <w:rPr/>
        <w:t>;</w:t>
      </w:r>
    </w:p>
    <w:p>
      <w:pPr>
        <w:pStyle w:val="Normal"/>
        <w:ind w:firstLine="284"/>
        <w:jc w:val="both"/>
        <w:rPr/>
      </w:pPr>
      <w:r>
        <w:rPr/>
        <w:t>для железобетонных свободностоящих опор с проводами площадью сечения алюминиевой части до 185 мм</w:t>
      </w:r>
      <w:r>
        <w:rPr>
          <w:vertAlign w:val="superscript"/>
        </w:rPr>
        <w:t>2</w:t>
      </w:r>
      <w:r>
        <w:rPr/>
        <w:t xml:space="preserve"> - 0,3 </w:t>
      </w:r>
      <w:r>
        <w:rPr>
          <w:i/>
          <w:iCs/>
        </w:rPr>
        <w:t>Т</w:t>
      </w:r>
      <w:r>
        <w:rPr>
          <w:vertAlign w:val="subscript"/>
        </w:rPr>
        <w:t>max</w:t>
      </w:r>
      <w:r>
        <w:rPr/>
        <w:t>; площадью сечения алюминиевой части 205 мм</w:t>
      </w:r>
      <w:r>
        <w:rPr>
          <w:vertAlign w:val="superscript"/>
        </w:rPr>
        <w:t>2</w:t>
      </w:r>
      <w:r>
        <w:rPr/>
        <w:t xml:space="preserve"> и более - 0,25 </w:t>
      </w:r>
      <w:r>
        <w:rPr>
          <w:i/>
          <w:iCs/>
        </w:rPr>
        <w:t>Т</w:t>
      </w:r>
      <w:r>
        <w:rPr>
          <w:vertAlign w:val="subscript"/>
        </w:rPr>
        <w:t>max</w:t>
      </w:r>
      <w:r>
        <w:rPr/>
        <w:t>;</w:t>
      </w:r>
    </w:p>
    <w:p>
      <w:pPr>
        <w:pStyle w:val="Normal"/>
        <w:ind w:firstLine="284"/>
        <w:jc w:val="both"/>
        <w:rPr/>
      </w:pPr>
      <w:r>
        <w:rPr/>
        <w:t>для деревянных свободностоящих опор с проводами площадью сечения алюминиевой части до 185 мм</w:t>
      </w:r>
      <w:r>
        <w:rPr>
          <w:vertAlign w:val="superscript"/>
        </w:rPr>
        <w:t>2</w:t>
      </w:r>
      <w:r>
        <w:rPr/>
        <w:t xml:space="preserve"> - 0,25 </w:t>
      </w:r>
      <w:r>
        <w:rPr>
          <w:i/>
          <w:iCs/>
        </w:rPr>
        <w:t>Т</w:t>
      </w:r>
      <w:r>
        <w:rPr>
          <w:vertAlign w:val="subscript"/>
        </w:rPr>
        <w:t>max</w:t>
      </w:r>
      <w:r>
        <w:rPr/>
        <w:t>; сечения алюминиевой части 205 мм</w:t>
      </w:r>
      <w:r>
        <w:rPr>
          <w:vertAlign w:val="superscript"/>
        </w:rPr>
        <w:t>2</w:t>
      </w:r>
      <w:r>
        <w:rPr/>
        <w:t xml:space="preserve"> и более 0,2 </w:t>
      </w:r>
      <w:r>
        <w:rPr>
          <w:i/>
          <w:iCs/>
        </w:rPr>
        <w:t>Т</w:t>
      </w:r>
      <w:r>
        <w:rPr>
          <w:vertAlign w:val="subscript"/>
        </w:rPr>
        <w:t>max</w:t>
      </w:r>
      <w:r>
        <w:rPr/>
        <w:t>,</w:t>
      </w:r>
    </w:p>
    <w:p>
      <w:pPr>
        <w:pStyle w:val="Normal"/>
        <w:ind w:firstLine="284"/>
        <w:jc w:val="both"/>
        <w:rPr/>
      </w:pPr>
      <w:r>
        <w:rPr/>
        <w:t xml:space="preserve">где </w:t>
      </w:r>
      <w:r>
        <w:rPr>
          <w:i/>
          <w:iCs/>
        </w:rPr>
        <w:t>Т</w:t>
      </w:r>
      <w:r>
        <w:rPr>
          <w:vertAlign w:val="subscript"/>
        </w:rPr>
        <w:t>max</w:t>
      </w:r>
      <w:r>
        <w:rPr/>
        <w:t xml:space="preserve"> - наибольшая расчетная нагрузка от тяжения проводов (см. 2.5.70);</w:t>
      </w:r>
    </w:p>
    <w:p>
      <w:pPr>
        <w:pStyle w:val="Normal"/>
        <w:ind w:firstLine="284"/>
        <w:jc w:val="both"/>
        <w:rPr/>
      </w:pPr>
      <w:r>
        <w:rPr/>
        <w:t>для других типов опор (опор из новых материалов, металлических гибких опор и т.п.) - в зависимости от гибкости рассчитываемых опор в пределах, указанных выше;</w:t>
      </w:r>
    </w:p>
    <w:p>
      <w:pPr>
        <w:pStyle w:val="Normal"/>
        <w:ind w:firstLine="284"/>
        <w:jc w:val="both"/>
        <w:rPr/>
      </w:pPr>
      <w:r>
        <w:rPr/>
        <w:t>2) на ВЛ напряжением до 330 кВ с расщепленными фазами путем умножения значений, указанных в п. 1 для нерасщепленных фаз, на дополнительные коэффициенты: 0,8 - при расщеплении на два провода; 0,7 - на три провода и 0,6 - на четыре провода.</w:t>
      </w:r>
    </w:p>
    <w:p>
      <w:pPr>
        <w:pStyle w:val="Normal"/>
        <w:ind w:firstLine="284"/>
        <w:jc w:val="both"/>
        <w:rPr/>
      </w:pPr>
      <w:r>
        <w:rPr/>
        <w:t xml:space="preserve">На ВЛ 500 кВ с расщеплением на три и более проводов в фазе - 0,15 </w:t>
      </w:r>
      <w:r>
        <w:rPr>
          <w:i/>
          <w:iCs/>
        </w:rPr>
        <w:t>Т</w:t>
      </w:r>
      <w:r>
        <w:rPr>
          <w:vertAlign w:val="subscript"/>
        </w:rPr>
        <w:t>max</w:t>
      </w:r>
      <w:r>
        <w:rPr/>
        <w:t>, но не менее 18 кН.</w:t>
      </w:r>
    </w:p>
    <w:p>
      <w:pPr>
        <w:pStyle w:val="Normal"/>
        <w:ind w:firstLine="284"/>
        <w:jc w:val="both"/>
        <w:rPr/>
      </w:pPr>
      <w:r>
        <w:rPr/>
        <w:t>На ВЛ 750 кВ с расщеплением на четыре и более проводов в фазе - 27 кН.</w:t>
      </w:r>
    </w:p>
    <w:p>
      <w:pPr>
        <w:pStyle w:val="Normal"/>
        <w:ind w:firstLine="284"/>
        <w:jc w:val="both"/>
        <w:rPr/>
      </w:pPr>
      <w:r>
        <w:rPr/>
        <w:t>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1 настоящего параграфа, а механические напряжения возникающие в поддерживающих проводах и тросах, не должны превышать 70 % их разрывного усилия.</w:t>
      </w:r>
    </w:p>
    <w:p>
      <w:pPr>
        <w:pStyle w:val="Normal"/>
        <w:ind w:firstLine="284"/>
        <w:jc w:val="both"/>
        <w:rPr/>
      </w:pPr>
      <w:r>
        <w:rPr/>
        <w:t>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pPr>
        <w:pStyle w:val="Normal"/>
        <w:ind w:firstLine="284"/>
        <w:jc w:val="both"/>
        <w:rPr/>
      </w:pPr>
      <w:r>
        <w:rPr/>
        <w:t xml:space="preserve">2.5.143. Расчетная условная горизонтальная статическая нагрузка на промежуточные опоры </w:t>
      </w:r>
      <w:r>
        <w:rPr>
          <w:i/>
          <w:iCs/>
        </w:rPr>
        <w:t>Т</w:t>
      </w:r>
      <w:r>
        <w:rPr>
          <w:i/>
          <w:iCs/>
          <w:vertAlign w:val="subscript"/>
        </w:rPr>
        <w:t>ав</w:t>
      </w:r>
      <w:r>
        <w:rPr/>
        <w:t xml:space="preserve"> от тросов принимается равной:</w:t>
      </w:r>
    </w:p>
    <w:p>
      <w:pPr>
        <w:pStyle w:val="Normal"/>
        <w:ind w:firstLine="284"/>
        <w:jc w:val="both"/>
        <w:rPr/>
      </w:pPr>
      <w:r>
        <w:rPr/>
        <w:t xml:space="preserve">1) от одиночного троса - 0,5 </w:t>
      </w:r>
      <w:r>
        <w:rPr>
          <w:i/>
          <w:iCs/>
        </w:rPr>
        <w:t>Т</w:t>
      </w:r>
      <w:r>
        <w:rPr>
          <w:vertAlign w:val="subscript"/>
        </w:rPr>
        <w:t>max</w:t>
      </w:r>
      <w:r>
        <w:rPr/>
        <w:t>;</w:t>
      </w:r>
    </w:p>
    <w:p>
      <w:pPr>
        <w:pStyle w:val="Normal"/>
        <w:ind w:firstLine="284"/>
        <w:jc w:val="both"/>
        <w:rPr/>
      </w:pPr>
      <w:r>
        <w:rPr/>
        <w:t xml:space="preserve">2) от расщепленного троса (из двух составляющих) - 0,4 </w:t>
      </w:r>
      <w:r>
        <w:rPr>
          <w:i/>
          <w:iCs/>
        </w:rPr>
        <w:t>Т</w:t>
      </w:r>
      <w:r>
        <w:rPr>
          <w:vertAlign w:val="subscript"/>
        </w:rPr>
        <w:t>max</w:t>
      </w:r>
      <w:r>
        <w:rPr/>
        <w:t xml:space="preserve">, но не менее 20 кН, где </w:t>
      </w:r>
      <w:r>
        <w:rPr>
          <w:i/>
          <w:iCs/>
        </w:rPr>
        <w:t>Т</w:t>
      </w:r>
      <w:r>
        <w:rPr>
          <w:vertAlign w:val="subscript"/>
        </w:rPr>
        <w:t>max</w:t>
      </w:r>
      <w:r>
        <w:rPr/>
        <w:t xml:space="preserve"> - наибольшая расчетная нагрузка от тяжения тросов (см. 2.5.70).</w:t>
      </w:r>
    </w:p>
    <w:p>
      <w:pPr>
        <w:pStyle w:val="Normal"/>
        <w:ind w:firstLine="284"/>
        <w:jc w:val="both"/>
        <w:rPr/>
      </w:pPr>
      <w:r>
        <w:rPr/>
        <w:t xml:space="preserve">2.5.144.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w:t>
      </w:r>
      <w:r>
        <w:rPr>
          <w:i/>
          <w:iCs/>
        </w:rPr>
        <w:t>Т</w:t>
      </w:r>
      <w:r>
        <w:rPr>
          <w:i/>
          <w:iCs/>
          <w:vertAlign w:val="subscript"/>
        </w:rPr>
        <w:t>ав</w:t>
      </w:r>
      <w:r>
        <w:rPr/>
        <w:t xml:space="preserve"> для стоек и приставок принимается равной 0,3 </w:t>
      </w:r>
      <w:r>
        <w:rPr>
          <w:i/>
          <w:iCs/>
        </w:rPr>
        <w:t>Т</w:t>
      </w:r>
      <w:r>
        <w:rPr>
          <w:vertAlign w:val="subscript"/>
        </w:rPr>
        <w:t>max</w:t>
      </w:r>
      <w:r>
        <w:rPr/>
        <w:t xml:space="preserve">, но не менее 3 кН; для остальных элементов опоры - 0,15 </w:t>
      </w:r>
      <w:r>
        <w:rPr>
          <w:i/>
          <w:iCs/>
        </w:rPr>
        <w:t>Т</w:t>
      </w:r>
      <w:r>
        <w:rPr>
          <w:vertAlign w:val="subscript"/>
        </w:rPr>
        <w:t>max</w:t>
      </w:r>
      <w:r>
        <w:rPr/>
        <w:t xml:space="preserve">, но не менее 1,5 кН, где </w:t>
      </w:r>
      <w:r>
        <w:rPr>
          <w:i/>
          <w:iCs/>
        </w:rPr>
        <w:t>Т</w:t>
      </w:r>
      <w:r>
        <w:rPr>
          <w:vertAlign w:val="subscript"/>
        </w:rPr>
        <w:t>max</w:t>
      </w:r>
      <w:r>
        <w:rPr/>
        <w:t xml:space="preserve"> - то же, что и в 2.5.142.</w:t>
      </w:r>
    </w:p>
    <w:p>
      <w:pPr>
        <w:pStyle w:val="Normal"/>
        <w:ind w:firstLine="284"/>
        <w:jc w:val="both"/>
        <w:rPr/>
      </w:pPr>
      <w:r>
        <w:rPr/>
        <w:t>2.5.145.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p>
      <w:pPr>
        <w:pStyle w:val="Normal"/>
        <w:ind w:firstLine="284"/>
        <w:jc w:val="both"/>
        <w:rPr/>
      </w:pPr>
      <w:r>
        <w:rPr/>
        <w:t>Расчет производится на следующие условия:</w:t>
      </w:r>
    </w:p>
    <w:p>
      <w:pPr>
        <w:pStyle w:val="Normal"/>
        <w:ind w:firstLine="284"/>
        <w:jc w:val="both"/>
        <w:rPr/>
      </w:pPr>
      <w:r>
        <w:rPr/>
        <w:t>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w:t>
      </w:r>
      <w:r>
        <w:rPr>
          <w:vertAlign w:val="superscript"/>
        </w:rPr>
        <w:t>2</w:t>
      </w:r>
      <w:r>
        <w:rPr/>
        <w:t>:</w:t>
      </w:r>
    </w:p>
    <w:p>
      <w:pPr>
        <w:pStyle w:val="Normal"/>
        <w:ind w:firstLine="284"/>
        <w:jc w:val="both"/>
        <w:rPr/>
      </w:pPr>
      <w:r>
        <w:rPr/>
        <w:t>а) оборваны провода двух фаз одного пролета при любом числе цепей на опоре, тросы не оборваны (анкерные нормальные опоры);</w:t>
      </w:r>
    </w:p>
    <w:p>
      <w:pPr>
        <w:pStyle w:val="Normal"/>
        <w:ind w:firstLine="284"/>
        <w:jc w:val="both"/>
        <w:rPr/>
      </w:pPr>
      <w:r>
        <w:rPr/>
        <w:t>б) оборваны провода одной фазы одного пролета при любом числе цепей на опоре, тросы не оборваны (анкерные облегченные и концевые опоры);</w:t>
      </w:r>
    </w:p>
    <w:p>
      <w:pPr>
        <w:pStyle w:val="Normal"/>
        <w:ind w:firstLine="284"/>
        <w:jc w:val="both"/>
        <w:rPr/>
      </w:pPr>
      <w:r>
        <w:rPr/>
        <w:t>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Pr>
          <w:vertAlign w:val="superscript"/>
        </w:rPr>
        <w:t>2</w:t>
      </w:r>
      <w:r>
        <w:rPr/>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p>
      <w:pPr>
        <w:pStyle w:val="Normal"/>
        <w:ind w:firstLine="284"/>
        <w:jc w:val="both"/>
        <w:rPr/>
      </w:pPr>
      <w:r>
        <w:rPr/>
        <w:t>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2.5.72 пп. 2 и 3.</w:t>
      </w:r>
    </w:p>
    <w:p>
      <w:pPr>
        <w:pStyle w:val="Normal"/>
        <w:ind w:firstLine="284"/>
        <w:jc w:val="both"/>
        <w:rPr/>
      </w:pPr>
      <w:r>
        <w:rPr/>
        <w:t>2.5.146. Опоры анкерного типа должны проверяться в монтажном режиме по первой группе предельных состояний на следующие условия:</w:t>
      </w:r>
    </w:p>
    <w:p>
      <w:pPr>
        <w:pStyle w:val="Normal"/>
        <w:ind w:firstLine="284"/>
        <w:jc w:val="both"/>
        <w:rPr/>
      </w:pPr>
      <w:r>
        <w:rPr/>
        <w:t xml:space="preserve">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w:t>
      </w:r>
      <w:r>
        <w:rPr>
          <w:i/>
          <w:iCs/>
        </w:rPr>
        <w:t>Т</w:t>
      </w:r>
      <w:r>
        <w:rPr>
          <w:vertAlign w:val="subscript"/>
        </w:rPr>
        <w:t>max</w:t>
      </w:r>
      <w:r>
        <w:rPr/>
        <w:t xml:space="preserve">, где </w:t>
      </w:r>
      <w:r>
        <w:rPr>
          <w:i/>
          <w:iCs/>
        </w:rPr>
        <w:t>Т</w:t>
      </w:r>
      <w:r>
        <w:rPr>
          <w:vertAlign w:val="subscript"/>
        </w:rPr>
        <w:t>max</w:t>
      </w:r>
      <w:r>
        <w:rPr/>
        <w:t xml:space="preserve"> - наибольшее расчетное горизонтальное тяжение проводов и тросов (см. 2.5.70). При этом сочетания климатических условий принимаются по </w:t>
      </w:r>
      <w:r>
        <w:rPr>
          <w:color w:val="000000"/>
        </w:rPr>
        <w:t>2.5.74</w:t>
      </w:r>
      <w:r>
        <w:rPr/>
        <w:t>.</w:t>
      </w:r>
    </w:p>
    <w:p>
      <w:pPr>
        <w:pStyle w:val="Normal"/>
        <w:ind w:firstLine="284"/>
        <w:jc w:val="both"/>
        <w:rPr/>
      </w:pPr>
      <w:r>
        <w:rPr/>
        <w:t>В этом режиме металлические опоры и их закрепления должны иметь требуемую нормами прочность без установки временных оттяжек;</w:t>
      </w:r>
    </w:p>
    <w:p>
      <w:pPr>
        <w:pStyle w:val="Normal"/>
        <w:ind w:firstLine="284"/>
        <w:jc w:val="both"/>
        <w:rPr/>
      </w:pPr>
      <w:r>
        <w:rPr/>
        <w:t>2) в одном из пролетов при любом числе проводов на опоре последовательно и в любом порядке монтируются провода одной цепи, тросы не смонтированы;</w:t>
      </w:r>
    </w:p>
    <w:p>
      <w:pPr>
        <w:pStyle w:val="Normal"/>
        <w:ind w:firstLine="284"/>
        <w:jc w:val="both"/>
        <w:rPr/>
      </w:pPr>
      <w:r>
        <w:rPr/>
        <w:t>3) в одном из пролетов при любом числе тросов на опоре последовательно и в любом порядке монтируются тросы, провода не смонтированы.</w:t>
      </w:r>
    </w:p>
    <w:p>
      <w:pPr>
        <w:pStyle w:val="Normal"/>
        <w:ind w:firstLine="284"/>
        <w:jc w:val="both"/>
        <w:rPr/>
      </w:pPr>
      <w:r>
        <w:rPr/>
        <w:t>При проверках по пп. 2 и 3 допускается предусматривать временное усиление отдельных элементов опор и установку временных оттяжек.</w:t>
      </w:r>
    </w:p>
    <w:p>
      <w:pPr>
        <w:pStyle w:val="Normal"/>
        <w:ind w:firstLine="284"/>
        <w:jc w:val="both"/>
        <w:rPr/>
      </w:pPr>
      <w:r>
        <w:rPr/>
        <w:t>2.5.147.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p>
      <w:pPr>
        <w:pStyle w:val="Normal"/>
        <w:ind w:firstLine="284"/>
        <w:jc w:val="both"/>
        <w:rPr/>
      </w:pPr>
      <w:r>
        <w:rPr/>
        <w:t>Узел крепления каждого провода (проушина, диафрагма и др.)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pPr>
        <w:pStyle w:val="Normal"/>
        <w:ind w:firstLine="284"/>
        <w:jc w:val="both"/>
        <w:rPr/>
      </w:pPr>
      <w:r>
        <w:rPr/>
        <w:t>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pPr>
        <w:pStyle w:val="Normal"/>
        <w:ind w:firstLine="284"/>
        <w:jc w:val="both"/>
        <w:rPr/>
      </w:pPr>
      <w:r>
        <w:rPr/>
        <w:t>Расчетные нагрузки на опоры от веса монтируемых проводов (тросов) при климатических условиях согласно 2.5.74 и гирлянд изоляторов в условиях равнинной местности рекомендуется принимать:</w:t>
      </w:r>
    </w:p>
    <w:p>
      <w:pPr>
        <w:pStyle w:val="Normal"/>
        <w:ind w:firstLine="284"/>
        <w:jc w:val="both"/>
        <w:rPr/>
      </w:pPr>
      <w:r>
        <w:rPr/>
        <w:t>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p>
      <w:pPr>
        <w:pStyle w:val="Normal"/>
        <w:ind w:firstLine="284"/>
        <w:jc w:val="both"/>
        <w:rPr/>
      </w:pPr>
      <w:r>
        <w:rPr/>
        <w:t xml:space="preserve">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w:t>
      </w:r>
      <w:r>
        <w:rPr>
          <w:i/>
          <w:iCs/>
        </w:rPr>
        <w:t>h</w:t>
      </w:r>
      <w:r>
        <w:rPr/>
        <w:t xml:space="preserve"> от опоры, где </w:t>
      </w:r>
      <w:r>
        <w:rPr>
          <w:i/>
          <w:iCs/>
        </w:rPr>
        <w:t>h</w:t>
      </w:r>
      <w:r>
        <w:rPr/>
        <w:t xml:space="preserve"> - высота подвеса провода средней фазы на опоре.</w:t>
      </w:r>
    </w:p>
    <w:p>
      <w:pPr>
        <w:pStyle w:val="Normal"/>
        <w:ind w:firstLine="284"/>
        <w:jc w:val="both"/>
        <w:rPr/>
      </w:pPr>
      <w:r>
        <w:rPr/>
        <w:t>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p>
      <w:pPr>
        <w:pStyle w:val="Normal"/>
        <w:ind w:firstLine="284"/>
        <w:jc w:val="both"/>
        <w:rPr/>
      </w:pPr>
      <w:r>
        <w:rPr/>
        <w:t>Расчетная вертикальная нагрузка от веса монтера и монтажных приспособлений, прикладываемая в месте крепления гирлянд изоляторов, для опор ВЛ 500 - 750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p>
      <w:pPr>
        <w:pStyle w:val="Normal"/>
        <w:ind w:firstLine="284"/>
        <w:jc w:val="both"/>
        <w:rPr/>
      </w:pPr>
      <w:r>
        <w:rPr/>
        <w:t>2.5.148. Конструкции опор должны обеспечивать на отключенной ВЛ, а на ВЛ 110 кВ и выше и при наличии на ней напряжения:</w:t>
      </w:r>
    </w:p>
    <w:p>
      <w:pPr>
        <w:pStyle w:val="Normal"/>
        <w:ind w:firstLine="284"/>
        <w:jc w:val="both"/>
        <w:rPr/>
      </w:pPr>
      <w:r>
        <w:rPr/>
        <w:t>1) производство их технического обслуживания и ремонтных работ;</w:t>
      </w:r>
    </w:p>
    <w:p>
      <w:pPr>
        <w:pStyle w:val="Normal"/>
        <w:ind w:firstLine="284"/>
        <w:jc w:val="both"/>
        <w:rPr/>
      </w:pPr>
      <w:r>
        <w:rPr/>
        <w:t>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pPr>
        <w:pStyle w:val="Normal"/>
        <w:ind w:firstLine="284"/>
        <w:jc w:val="both"/>
        <w:rPr/>
      </w:pPr>
      <w:r>
        <w:rPr/>
        <w:t>2.5.149. Для подъема персонала на опору должны быть предусмотрены следующие мероприятия:</w:t>
      </w:r>
    </w:p>
    <w:p>
      <w:pPr>
        <w:pStyle w:val="Normal"/>
        <w:ind w:firstLine="284"/>
        <w:jc w:val="both"/>
        <w:rPr/>
      </w:pPr>
      <w:r>
        <w:rPr/>
        <w:t>1) на каждой стойке металлических опор высотой до вершины до 20 м при расстояниях между точками крепления решетки к поясам стойки (ствола) более 0,6 м или при наклоне решетки к горизонтали более 30°, а для опор высотой более 20 и менее 50 м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pPr>
        <w:pStyle w:val="Normal"/>
        <w:ind w:firstLine="284"/>
        <w:jc w:val="both"/>
        <w:rPr/>
      </w:pPr>
      <w:r>
        <w:rPr/>
        <w:t>Конструкция тросостойки на этих опорах должна обеспечивать удобный подъем или иметь специальные ступеньки (степ-болты);</w:t>
      </w:r>
    </w:p>
    <w:p>
      <w:pPr>
        <w:pStyle w:val="Normal"/>
        <w:ind w:firstLine="284"/>
        <w:jc w:val="both"/>
        <w:rPr/>
      </w:pPr>
      <w:r>
        <w:rPr/>
        <w:t>2) 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p>
      <w:pPr>
        <w:pStyle w:val="Normal"/>
        <w:ind w:firstLine="284"/>
        <w:jc w:val="both"/>
        <w:rPr/>
      </w:pPr>
      <w:r>
        <w:rPr/>
        <w:t>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35 - 750 кВ должны быть предусмотрены стационарные лазы (лестницы без ограждений и т.п.).</w:t>
      </w:r>
    </w:p>
    <w:p>
      <w:pPr>
        <w:pStyle w:val="Normal"/>
        <w:ind w:firstLine="284"/>
        <w:jc w:val="both"/>
        <w:rPr/>
      </w:pPr>
      <w:r>
        <w:rPr/>
        <w:t>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p>
      <w:pPr>
        <w:pStyle w:val="Normal"/>
        <w:ind w:firstLine="284"/>
        <w:jc w:val="both"/>
        <w:rPr/>
      </w:pPr>
      <w:r>
        <w:rPr/>
        <w:t>Удобный подъем на тросостойки и металлические вертикальные части стоек железобетонных опор ВЛ 35 - 750 кВ должны обеспечивать их конструкция или специальные ступеньки (степ-болты);</w:t>
      </w:r>
    </w:p>
    <w:p>
      <w:pPr>
        <w:pStyle w:val="Normal"/>
        <w:ind w:firstLine="284"/>
        <w:jc w:val="both"/>
        <w:rPr/>
      </w:pPr>
      <w:r>
        <w:rPr/>
        <w:t>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ограждений, доходящими до нижней траверсы.</w:t>
      </w:r>
    </w:p>
    <w:p>
      <w:pPr>
        <w:pStyle w:val="Normal"/>
        <w:ind w:firstLine="284"/>
        <w:jc w:val="both"/>
        <w:rPr/>
      </w:pPr>
      <w:r>
        <w:rPr/>
        <w:t>Выше нижней траверсы должны быть выполнены устройства, указанные в первом абзаце п. 3).</w:t>
      </w:r>
    </w:p>
    <w:p>
      <w:pPr>
        <w:pStyle w:val="Heading3"/>
        <w:rPr/>
      </w:pPr>
      <w:r>
        <w:rPr/>
        <w:t>БОЛЬШИЕ ПЕРЕХОДЫ</w:t>
      </w:r>
    </w:p>
    <w:p>
      <w:pPr>
        <w:pStyle w:val="Normal"/>
        <w:ind w:firstLine="284"/>
        <w:jc w:val="both"/>
        <w:rPr/>
      </w:pPr>
      <w:r>
        <w:rPr/>
        <w:t>2.5.150. Участок большого перехода должен быть ограничен концевыми опорами (концевыми устройствами в виде бетонных якорей и др.), выделяющими большой переход в самостоятельную часть ВЛ, прочность и устойчивость которой не зависят от влияния смежных участков ВЛ.</w:t>
      </w:r>
    </w:p>
    <w:p>
      <w:pPr>
        <w:pStyle w:val="Normal"/>
        <w:ind w:firstLine="284"/>
        <w:jc w:val="both"/>
        <w:rPr/>
      </w:pPr>
      <w:r>
        <w:rPr/>
        <w:t>2.5.151. В зависимости от типа крепления проводов опоры, устанавливаемые между концевыми (К) опорами (устройствами), могут быть:</w:t>
      </w:r>
    </w:p>
    <w:p>
      <w:pPr>
        <w:pStyle w:val="Normal"/>
        <w:ind w:firstLine="284"/>
        <w:jc w:val="both"/>
        <w:rPr/>
      </w:pPr>
      <w:r>
        <w:rPr/>
        <w:t>1) промежуточными (П) - с креплением всех проводов на опоре с помощью поддерживающих гирлянд изоляторов;</w:t>
      </w:r>
    </w:p>
    <w:p>
      <w:pPr>
        <w:pStyle w:val="Normal"/>
        <w:ind w:firstLine="284"/>
        <w:jc w:val="both"/>
        <w:rPr/>
      </w:pPr>
      <w:r>
        <w:rPr/>
        <w:t>2) анкерными (А) - с креплением всех проводов на опоре с помощью натяжных гирлянд изоляторов;</w:t>
      </w:r>
    </w:p>
    <w:p>
      <w:pPr>
        <w:pStyle w:val="Normal"/>
        <w:ind w:firstLine="284"/>
        <w:jc w:val="both"/>
        <w:rPr/>
      </w:pPr>
      <w:r>
        <w:rPr/>
        <w:t>3) комбинированными (ПА) - со смешанным креплением проводов на опоре с помощью как поддерживающих, так и натяжных гирлянд изоляторов.</w:t>
      </w:r>
    </w:p>
    <w:p>
      <w:pPr>
        <w:pStyle w:val="Normal"/>
        <w:ind w:firstLine="284"/>
        <w:jc w:val="both"/>
        <w:rPr/>
      </w:pPr>
      <w:r>
        <w:rPr/>
        <w:t>2.5.152.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w:t>
      </w:r>
      <w:r>
        <w:rPr>
          <w:vertAlign w:val="superscript"/>
        </w:rPr>
        <w:t>2</w:t>
      </w:r>
      <w:r>
        <w:rPr/>
        <w:t xml:space="preserve"> и более или стальными канатами типа ТК в качестве проводов с сечением канатов 50 мм</w:t>
      </w:r>
      <w:r>
        <w:rPr>
          <w:vertAlign w:val="superscript"/>
        </w:rPr>
        <w:t>2</w:t>
      </w:r>
      <w:r>
        <w:rPr/>
        <w:t xml:space="preserve"> и более. При этом количество промежуточных опор между концевыми опорами должно соответствовать требованиям 2.5.153.</w:t>
      </w:r>
    </w:p>
    <w:p>
      <w:pPr>
        <w:pStyle w:val="Normal"/>
        <w:ind w:firstLine="284"/>
        <w:jc w:val="both"/>
        <w:rPr/>
      </w:pPr>
      <w:r>
        <w:rPr/>
        <w:t>2.5.153. В зависимости от конкретных условий могут применяться следующие схемы переходов:</w:t>
      </w:r>
    </w:p>
    <w:p>
      <w:pPr>
        <w:pStyle w:val="Normal"/>
        <w:ind w:firstLine="284"/>
        <w:jc w:val="both"/>
        <w:rPr/>
      </w:pPr>
      <w:r>
        <w:rPr/>
        <w:t>1) однопролетные на концевых опорах К-К;</w:t>
      </w:r>
    </w:p>
    <w:p>
      <w:pPr>
        <w:pStyle w:val="Normal"/>
        <w:ind w:firstLine="284"/>
        <w:jc w:val="both"/>
        <w:rPr/>
      </w:pPr>
      <w:r>
        <w:rPr/>
        <w:t>2) двухпролетные с опорами К-П-К, К-ПА-К;</w:t>
      </w:r>
    </w:p>
    <w:p>
      <w:pPr>
        <w:pStyle w:val="Normal"/>
        <w:ind w:firstLine="284"/>
        <w:jc w:val="both"/>
        <w:rPr/>
      </w:pPr>
      <w:r>
        <w:rPr/>
        <w:t>3) трехпролетные с опорами К-П-П-К, К-ПА-ПА-К;</w:t>
      </w:r>
    </w:p>
    <w:p>
      <w:pPr>
        <w:pStyle w:val="Normal"/>
        <w:ind w:firstLine="284"/>
        <w:jc w:val="both"/>
        <w:rPr/>
      </w:pPr>
      <w:r>
        <w:rPr/>
        <w:t>4) четырехпролетные с опорами К-П-П-П-К, К-ПА-ПА-ПА-К (только для нормативной толщины стенки гололеда 15 мм и менее и длин переходных пролетов не более 1100 м);</w:t>
      </w:r>
    </w:p>
    <w:p>
      <w:pPr>
        <w:pStyle w:val="Normal"/>
        <w:ind w:firstLine="284"/>
        <w:jc w:val="both"/>
        <w:rPr/>
      </w:pPr>
      <w:r>
        <w:rPr/>
        <w:t>5) многопролетные с опорами К-А ... А-К;</w:t>
      </w:r>
    </w:p>
    <w:p>
      <w:pPr>
        <w:pStyle w:val="Normal"/>
        <w:ind w:firstLine="284"/>
        <w:jc w:val="both"/>
        <w:rPr/>
      </w:pPr>
      <w:r>
        <w:rPr/>
        <w:t>6) при применении опор П или ПА переход должен быть разделен опорами А на участки с числом опор П или ПА на каждом участке не более двух, т.е. К-П-П-А ... А-П-П-К, К-ПА-ПА-А ... А-ПА-ПА-К (или не более трех по п. 4).</w:t>
      </w:r>
    </w:p>
    <w:p>
      <w:pPr>
        <w:pStyle w:val="Normal"/>
        <w:ind w:firstLine="284"/>
        <w:jc w:val="both"/>
        <w:rPr/>
      </w:pPr>
      <w:r>
        <w:rPr/>
        <w:t>2.5.154. Ветровое давление на провода и тросы больших переходов через водные пространства определяется согласно 2.5.44, но с учетом следующих дополнительных требований.</w:t>
      </w:r>
    </w:p>
    <w:p>
      <w:pPr>
        <w:pStyle w:val="Normal"/>
        <w:ind w:firstLine="284"/>
        <w:jc w:val="both"/>
        <w:rPr/>
      </w:pPr>
      <w:r>
        <w:rPr/>
        <w:t>1. Для перехода, состоящего из одного пролета, высота расположения приведенного центра тяжести проводов или тросов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47800" cy="400050"/>
            <wp:effectExtent l="0" t="0" r="0" b="0"/>
            <wp:docPr id="69" name="image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063" descr=""/>
                    <pic:cNvPicPr>
                      <a:picLocks noChangeAspect="1" noChangeArrowheads="1"/>
                    </pic:cNvPicPr>
                  </pic:nvPicPr>
                  <pic:blipFill>
                    <a:blip r:embed="rId77"/>
                    <a:srcRect l="-24" t="-90" r="-24" b="-90"/>
                    <a:stretch>
                      <a:fillRect/>
                    </a:stretch>
                  </pic:blipFill>
                  <pic:spPr bwMode="auto">
                    <a:xfrm>
                      <a:off x="0" y="0"/>
                      <a:ext cx="1447800" cy="400050"/>
                    </a:xfrm>
                    <a:prstGeom prst="rect">
                      <a:avLst/>
                    </a:prstGeom>
                  </pic:spPr>
                </pic:pic>
              </a:graphicData>
            </a:graphic>
          </wp:inline>
        </w:drawing>
      </w:r>
    </w:p>
    <w:p>
      <w:pPr>
        <w:pStyle w:val="Normal"/>
        <w:ind w:firstLine="284"/>
        <w:jc w:val="both"/>
        <w:rPr/>
      </w:pPr>
      <w:r>
        <w:rPr/>
        <w:t xml:space="preserve">где </w:t>
      </w:r>
      <w:r>
        <w:rPr>
          <w:i/>
          <w:iCs/>
        </w:rPr>
        <w:t>h</w:t>
      </w:r>
      <w:r>
        <w:rPr>
          <w:i/>
          <w:iCs/>
          <w:vertAlign w:val="subscript"/>
        </w:rPr>
        <w:t>cp</w:t>
      </w:r>
      <w:r>
        <w:rPr>
          <w:vertAlign w:val="subscript"/>
        </w:rPr>
        <w:t>1</w:t>
      </w:r>
      <w:r>
        <w:rPr/>
        <w:t xml:space="preserve">, </w:t>
      </w:r>
      <w:r>
        <w:rPr>
          <w:i/>
          <w:iCs/>
        </w:rPr>
        <w:t>h</w:t>
      </w:r>
      <w:r>
        <w:rPr>
          <w:i/>
          <w:iCs/>
          <w:vertAlign w:val="subscript"/>
        </w:rPr>
        <w:t>cp</w:t>
      </w:r>
      <w:r>
        <w:rPr>
          <w:vertAlign w:val="subscript"/>
        </w:rPr>
        <w:t>2</w:t>
      </w:r>
      <w:r>
        <w:rPr/>
        <w:t xml:space="preserve">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p>
      <w:pPr>
        <w:pStyle w:val="Normal"/>
        <w:ind w:firstLine="284"/>
        <w:jc w:val="both"/>
        <w:rPr/>
      </w:pPr>
      <w:r>
        <w:rPr>
          <w:i/>
          <w:iCs/>
        </w:rPr>
        <w:t>f</w:t>
      </w:r>
      <w:r>
        <w:rPr/>
        <w:t xml:space="preserve"> - стрела провеса провода или троса при высшей температуре в середине пролета, м.</w:t>
      </w:r>
    </w:p>
    <w:p>
      <w:pPr>
        <w:pStyle w:val="Normal"/>
        <w:ind w:firstLine="284"/>
        <w:jc w:val="both"/>
        <w:rPr/>
      </w:pPr>
      <w:r>
        <w:rPr/>
        <w:t xml:space="preserve">2. Для перехода, состоящего из нескольких пролетов, ветровое давление на провода или тросы определяется для высоты </w:t>
      </w:r>
      <w:r>
        <w:rPr>
          <w:i/>
          <w:iCs/>
        </w:rPr>
        <w:t>h</w:t>
      </w:r>
      <w:r>
        <w:rPr>
          <w:i/>
          <w:iCs/>
          <w:vertAlign w:val="subscript"/>
        </w:rPr>
        <w:t>np</w:t>
      </w:r>
      <w:r>
        <w:rPr/>
        <w:t>, соответствующей средневзвешенной высоте приведенных центров тяжести проводов или тросов во всех пролетах и вычисляемой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2095500" cy="457200"/>
            <wp:effectExtent l="0" t="0" r="0" b="0"/>
            <wp:docPr id="70" name="image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064" descr=""/>
                    <pic:cNvPicPr>
                      <a:picLocks noChangeAspect="1" noChangeArrowheads="1"/>
                    </pic:cNvPicPr>
                  </pic:nvPicPr>
                  <pic:blipFill>
                    <a:blip r:embed="rId78"/>
                    <a:srcRect l="-17" t="-78" r="-17" b="-78"/>
                    <a:stretch>
                      <a:fillRect/>
                    </a:stretch>
                  </pic:blipFill>
                  <pic:spPr bwMode="auto">
                    <a:xfrm>
                      <a:off x="0" y="0"/>
                      <a:ext cx="2095500" cy="457200"/>
                    </a:xfrm>
                    <a:prstGeom prst="rect">
                      <a:avLst/>
                    </a:prstGeom>
                  </pic:spPr>
                </pic:pic>
              </a:graphicData>
            </a:graphic>
          </wp:inline>
        </w:drawing>
      </w:r>
    </w:p>
    <w:p>
      <w:pPr>
        <w:pStyle w:val="Normal"/>
        <w:ind w:firstLine="284"/>
        <w:jc w:val="both"/>
        <w:rPr/>
      </w:pPr>
      <w:r>
        <w:rPr/>
        <w:t xml:space="preserve">где </w:t>
      </w:r>
      <w:r>
        <w:rPr>
          <w:i/>
          <w:iCs/>
        </w:rPr>
        <w:t>h</w:t>
      </w:r>
      <w:r>
        <w:rPr>
          <w:i/>
          <w:iCs/>
          <w:vertAlign w:val="subscript"/>
        </w:rPr>
        <w:t>np</w:t>
      </w:r>
      <w:r>
        <w:rPr>
          <w:vertAlign w:val="subscript"/>
        </w:rPr>
        <w:t>1</w:t>
      </w:r>
      <w:r>
        <w:rPr/>
        <w:t xml:space="preserve">, </w:t>
      </w:r>
      <w:r>
        <w:rPr>
          <w:i/>
          <w:iCs/>
        </w:rPr>
        <w:t>h</w:t>
      </w:r>
      <w:r>
        <w:rPr>
          <w:i/>
          <w:iCs/>
          <w:vertAlign w:val="subscript"/>
        </w:rPr>
        <w:t>np</w:t>
      </w:r>
      <w:r>
        <w:rPr>
          <w:vertAlign w:val="subscript"/>
        </w:rPr>
        <w:t>2</w:t>
      </w:r>
      <w:r>
        <w:rPr/>
        <w:t xml:space="preserve">, ..., </w:t>
      </w:r>
      <w:r>
        <w:rPr>
          <w:i/>
          <w:iCs/>
        </w:rPr>
        <w:t>h</w:t>
      </w:r>
      <w:r>
        <w:rPr>
          <w:i/>
          <w:iCs/>
          <w:vertAlign w:val="subscript"/>
        </w:rPr>
        <w:t>npn</w:t>
      </w:r>
      <w:r>
        <w:rPr/>
        <w:t xml:space="preserve">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p>
      <w:pPr>
        <w:pStyle w:val="Normal"/>
        <w:ind w:firstLine="284"/>
        <w:jc w:val="both"/>
        <w:rPr/>
      </w:pPr>
      <w:r>
        <w:rP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p>
      <w:pPr>
        <w:pStyle w:val="Normal"/>
        <w:ind w:firstLine="284"/>
        <w:jc w:val="both"/>
        <w:rPr/>
      </w:pPr>
      <w:r>
        <w:rPr>
          <w:i/>
          <w:iCs/>
        </w:rPr>
        <w:t>l</w:t>
      </w:r>
      <w:r>
        <w:rPr>
          <w:vertAlign w:val="subscript"/>
        </w:rPr>
        <w:t>1</w:t>
      </w:r>
      <w:r>
        <w:rPr/>
        <w:t xml:space="preserve">, </w:t>
      </w:r>
      <w:r>
        <w:rPr>
          <w:i/>
          <w:iCs/>
        </w:rPr>
        <w:t>l</w:t>
      </w:r>
      <w:r>
        <w:rPr>
          <w:vertAlign w:val="subscript"/>
        </w:rPr>
        <w:t>2</w:t>
      </w:r>
      <w:r>
        <w:rPr/>
        <w:t xml:space="preserve">, </w:t>
      </w:r>
      <w:r>
        <w:rPr>
          <w:i/>
          <w:iCs/>
        </w:rPr>
        <w:t>l</w:t>
      </w:r>
      <w:r>
        <w:rPr>
          <w:i/>
          <w:iCs/>
          <w:vertAlign w:val="subscript"/>
        </w:rPr>
        <w:t>n</w:t>
      </w:r>
      <w:r>
        <w:rPr/>
        <w:t xml:space="preserve"> - длины пролетов, входящих в переход, м.</w:t>
      </w:r>
    </w:p>
    <w:p>
      <w:pPr>
        <w:pStyle w:val="Normal"/>
        <w:ind w:firstLine="284"/>
        <w:jc w:val="both"/>
        <w:rPr/>
      </w:pPr>
      <w:r>
        <w:rPr/>
        <w:t>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p>
      <w:pPr>
        <w:pStyle w:val="Normal"/>
        <w:ind w:firstLine="284"/>
        <w:jc w:val="both"/>
        <w:rPr/>
      </w:pPr>
      <w:r>
        <w:rPr/>
        <w:t>2.5.155. Переходы могут выполняться одноцепными и двухцепными.</w:t>
      </w:r>
    </w:p>
    <w:p>
      <w:pPr>
        <w:pStyle w:val="Normal"/>
        <w:ind w:firstLine="284"/>
        <w:jc w:val="both"/>
        <w:rPr/>
      </w:pPr>
      <w:r>
        <w:rPr/>
        <w:t>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p>
      <w:pPr>
        <w:pStyle w:val="Normal"/>
        <w:ind w:firstLine="284"/>
        <w:jc w:val="both"/>
        <w:rPr/>
      </w:pPr>
      <w:r>
        <w:rPr/>
        <w:t>2.5.156. На одноцепных переходах для ВЛ 330 кВ и ниже рекомендуется применять треугольное расположение фаз, допускается горизонтальное расположение фаз; для ВЛ 500 - 750 кВ следует, как правило, применять горизонтальное расположение фаз.</w:t>
      </w:r>
    </w:p>
    <w:p>
      <w:pPr>
        <w:pStyle w:val="Normal"/>
        <w:ind w:firstLine="284"/>
        <w:jc w:val="both"/>
        <w:rPr/>
      </w:pPr>
      <w:r>
        <w:rPr/>
        <w:t>2.5.157.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p>
      <w:pPr>
        <w:pStyle w:val="Normal"/>
        <w:ind w:firstLine="284"/>
        <w:jc w:val="both"/>
        <w:rPr/>
      </w:pPr>
      <w:r>
        <w:rPr/>
        <w:t>2.5.158. Расстояния между проводами, а также между проводами и тросами из условий работы в пролете должны выбираться в соответствии с 2.5.88 - 2.5.92 с учетом дополнительных требований:</w:t>
      </w:r>
    </w:p>
    <w:p>
      <w:pPr>
        <w:pStyle w:val="Normal"/>
        <w:ind w:firstLine="284"/>
        <w:jc w:val="both"/>
        <w:rPr/>
      </w:pPr>
      <w:r>
        <w:rPr/>
        <w:t xml:space="preserve">1) значение коэффициента </w:t>
      </w:r>
      <w:r>
        <w:rPr>
          <w:i/>
          <w:iCs/>
        </w:rPr>
        <w:t>K</w:t>
      </w:r>
      <w:r>
        <w:rPr>
          <w:i/>
          <w:iCs/>
          <w:vertAlign w:val="subscript"/>
        </w:rPr>
        <w:t>г</w:t>
      </w:r>
      <w:r>
        <w:rPr/>
        <w:t xml:space="preserve"> в табл. 2.5.13 необходимо увеличивать на: 0,2 - при отношении нагрузок </w:t>
      </w:r>
      <w:r>
        <w:rPr>
          <w:i/>
          <w:iCs/>
        </w:rPr>
        <w:t>Р</w:t>
      </w:r>
      <w:r>
        <w:rPr>
          <w:i/>
          <w:iCs/>
          <w:vertAlign w:val="subscript"/>
        </w:rPr>
        <w:t>г.п</w:t>
      </w:r>
      <w:r>
        <w:rPr/>
        <w:t>/</w:t>
      </w:r>
      <w:r>
        <w:rPr>
          <w:i/>
          <w:iCs/>
        </w:rPr>
        <w:t>Р</w:t>
      </w:r>
      <w:r>
        <w:rPr>
          <w:i/>
          <w:iCs/>
          <w:vertAlign w:val="subscript"/>
        </w:rPr>
        <w:t>I</w:t>
      </w:r>
      <w:r>
        <w:rPr/>
        <w:t xml:space="preserve"> в интервале от 2 до 6,99; 0,4 - при отношении нагрузок </w:t>
      </w:r>
      <w:r>
        <w:rPr>
          <w:i/>
          <w:iCs/>
        </w:rPr>
        <w:t>Р</w:t>
      </w:r>
      <w:r>
        <w:rPr>
          <w:i/>
          <w:iCs/>
          <w:vertAlign w:val="subscript"/>
        </w:rPr>
        <w:t>г.п</w:t>
      </w:r>
      <w:r>
        <w:rPr/>
        <w:t>/</w:t>
      </w:r>
      <w:r>
        <w:rPr>
          <w:i/>
          <w:iCs/>
        </w:rPr>
        <w:t>Р</w:t>
      </w:r>
      <w:r>
        <w:rPr>
          <w:i/>
          <w:iCs/>
          <w:vertAlign w:val="subscript"/>
        </w:rPr>
        <w:t>I</w:t>
      </w:r>
      <w:r>
        <w:rPr/>
        <w:t xml:space="preserve"> равном 7 и более;</w:t>
      </w:r>
    </w:p>
    <w:p>
      <w:pPr>
        <w:pStyle w:val="Normal"/>
        <w:ind w:firstLine="284"/>
        <w:jc w:val="both"/>
        <w:rPr/>
      </w:pPr>
      <w:r>
        <w:rPr/>
        <w:t>2) расстояния между ближайшими фазами одноцепных и двухцепных ВЛ должны также удовлетворять требованиям 2.5.159, 2.5.160.</w:t>
      </w:r>
    </w:p>
    <w:p>
      <w:pPr>
        <w:pStyle w:val="Normal"/>
        <w:spacing w:before="0" w:after="120"/>
        <w:ind w:firstLine="284"/>
        <w:jc w:val="both"/>
        <w:rPr/>
      </w:pPr>
      <w:r>
        <w:rPr/>
        <w:t>2.5.159.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смещение по горизонтали должны быть:</w:t>
      </w:r>
    </w:p>
    <w:tbl>
      <w:tblPr>
        <w:tblW w:w="5000" w:type="pct"/>
        <w:jc w:val="left"/>
        <w:tblInd w:w="-33" w:type="dxa"/>
        <w:tblBorders>
          <w:top w:val="single" w:sz="4" w:space="0" w:color="000000"/>
          <w:left w:val="single" w:sz="4" w:space="0" w:color="000000"/>
          <w:bottom w:val="single" w:sz="4" w:space="0" w:color="000000"/>
          <w:insideH w:val="single" w:sz="4" w:space="0" w:color="000000"/>
        </w:tblBorders>
        <w:tblCellMar>
          <w:top w:w="0" w:type="dxa"/>
          <w:left w:w="28" w:type="dxa"/>
          <w:bottom w:w="0" w:type="dxa"/>
          <w:right w:w="28" w:type="dxa"/>
        </w:tblCellMar>
      </w:tblPr>
      <w:tblGrid>
        <w:gridCol w:w="3542"/>
        <w:gridCol w:w="968"/>
        <w:gridCol w:w="968"/>
        <w:gridCol w:w="968"/>
        <w:gridCol w:w="968"/>
        <w:gridCol w:w="968"/>
        <w:gridCol w:w="973"/>
      </w:tblGrid>
      <w:tr>
        <w:trPr/>
        <w:tc>
          <w:tcPr>
            <w:tcW w:w="354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Расстояния, м, не менее</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7,5</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8</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9</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11</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14</w:t>
            </w:r>
          </w:p>
        </w:tc>
        <w:tc>
          <w:tcPr>
            <w:tcW w:w="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18</w:t>
            </w:r>
          </w:p>
        </w:tc>
      </w:tr>
      <w:tr>
        <w:trPr/>
        <w:tc>
          <w:tcPr>
            <w:tcW w:w="354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Смещение по горизонтали, м, не менее</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2,5</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3,5</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5</w:t>
            </w:r>
          </w:p>
        </w:tc>
        <w:tc>
          <w:tcPr>
            <w:tcW w:w="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7</w:t>
            </w:r>
          </w:p>
        </w:tc>
      </w:tr>
      <w:tr>
        <w:trPr/>
        <w:tc>
          <w:tcPr>
            <w:tcW w:w="354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ВЛ натяжением, кВ</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35 - 110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150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220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330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500</w:t>
            </w:r>
          </w:p>
        </w:tc>
        <w:tc>
          <w:tcPr>
            <w:tcW w:w="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750</w:t>
            </w:r>
          </w:p>
        </w:tc>
      </w:tr>
    </w:tbl>
    <w:p>
      <w:pPr>
        <w:pStyle w:val="Normal"/>
        <w:spacing w:before="120" w:after="120"/>
        <w:ind w:firstLine="284"/>
        <w:jc w:val="both"/>
        <w:rPr/>
      </w:pPr>
      <w:r>
        <w:rPr/>
        <w:t>2.5.160. На двухцепных опорах расстояние между осями фаз разных цепей должно быть не менее указанных ниже:</w:t>
      </w:r>
    </w:p>
    <w:tbl>
      <w:tblPr>
        <w:tblW w:w="5000" w:type="pct"/>
        <w:jc w:val="left"/>
        <w:tblInd w:w="-33" w:type="dxa"/>
        <w:tblBorders>
          <w:top w:val="single" w:sz="4" w:space="0" w:color="000000"/>
          <w:left w:val="single" w:sz="4" w:space="0" w:color="000000"/>
          <w:bottom w:val="single" w:sz="4" w:space="0" w:color="000000"/>
          <w:insideH w:val="single" w:sz="4" w:space="0" w:color="000000"/>
        </w:tblBorders>
        <w:tblCellMar>
          <w:top w:w="0" w:type="dxa"/>
          <w:left w:w="28" w:type="dxa"/>
          <w:bottom w:w="0" w:type="dxa"/>
          <w:right w:w="28" w:type="dxa"/>
        </w:tblCellMar>
      </w:tblPr>
      <w:tblGrid>
        <w:gridCol w:w="3542"/>
        <w:gridCol w:w="968"/>
        <w:gridCol w:w="968"/>
        <w:gridCol w:w="968"/>
        <w:gridCol w:w="968"/>
        <w:gridCol w:w="968"/>
        <w:gridCol w:w="973"/>
      </w:tblGrid>
      <w:tr>
        <w:trPr/>
        <w:tc>
          <w:tcPr>
            <w:tcW w:w="354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Расстояние между осями фаз, м</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8</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9</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12</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15</w:t>
            </w:r>
          </w:p>
        </w:tc>
        <w:tc>
          <w:tcPr>
            <w:tcW w:w="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19</w:t>
            </w:r>
          </w:p>
        </w:tc>
      </w:tr>
      <w:tr>
        <w:trPr/>
        <w:tc>
          <w:tcPr>
            <w:tcW w:w="3542" w:type="dxa"/>
            <w:tcBorders>
              <w:top w:val="single" w:sz="4" w:space="0" w:color="000000"/>
              <w:left w:val="single" w:sz="4" w:space="0" w:color="000000"/>
              <w:bottom w:val="single" w:sz="4" w:space="0" w:color="000000"/>
              <w:insideH w:val="single" w:sz="4" w:space="0" w:color="000000"/>
            </w:tcBorders>
            <w:shd w:fill="auto" w:val="clear"/>
          </w:tcPr>
          <w:p>
            <w:pPr>
              <w:pStyle w:val="Normal"/>
              <w:jc w:val="both"/>
              <w:rPr/>
            </w:pPr>
            <w:r>
              <w:rPr/>
              <w:t>ВЛ напряжением, кВ</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35 - 110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150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220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330</w:t>
            </w:r>
          </w:p>
        </w:tc>
        <w:tc>
          <w:tcPr>
            <w:tcW w:w="968" w:type="dxa"/>
            <w:tcBorders>
              <w:top w:val="single" w:sz="4" w:space="0" w:color="000000"/>
              <w:left w:val="single" w:sz="4" w:space="0" w:color="000000"/>
              <w:bottom w:val="single" w:sz="4" w:space="0" w:color="000000"/>
              <w:insideH w:val="single" w:sz="4" w:space="0" w:color="000000"/>
            </w:tcBorders>
            <w:shd w:fill="auto" w:val="clear"/>
            <w:tcMar>
              <w:left w:w="0" w:type="dxa"/>
              <w:right w:w="0" w:type="dxa"/>
            </w:tcMar>
          </w:tcPr>
          <w:p>
            <w:pPr>
              <w:pStyle w:val="Normal"/>
              <w:jc w:val="center"/>
              <w:rPr/>
            </w:pPr>
            <w:r>
              <w:rPr/>
              <w:t>500</w:t>
            </w:r>
          </w:p>
        </w:tc>
        <w:tc>
          <w:tcPr>
            <w:tcW w:w="9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0" w:type="dxa"/>
              <w:right w:w="0" w:type="dxa"/>
            </w:tcMar>
          </w:tcPr>
          <w:p>
            <w:pPr>
              <w:pStyle w:val="Normal"/>
              <w:jc w:val="center"/>
              <w:rPr/>
            </w:pPr>
            <w:r>
              <w:rPr/>
              <w:t>750</w:t>
            </w:r>
          </w:p>
        </w:tc>
      </w:tr>
    </w:tbl>
    <w:p>
      <w:pPr>
        <w:pStyle w:val="Normal"/>
        <w:spacing w:before="120" w:after="0"/>
        <w:ind w:firstLine="284"/>
        <w:jc w:val="both"/>
        <w:rPr/>
      </w:pPr>
      <w:r>
        <w:rPr/>
        <w:t>2.5.161.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pPr>
        <w:pStyle w:val="Normal"/>
        <w:ind w:firstLine="284"/>
        <w:jc w:val="both"/>
        <w:rPr/>
      </w:pPr>
      <w:r>
        <w:rPr/>
        <w:t>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p>
      <w:pPr>
        <w:pStyle w:val="Normal"/>
        <w:ind w:firstLine="284"/>
        <w:jc w:val="both"/>
        <w:rPr/>
      </w:pPr>
      <w:r>
        <w:rPr/>
        <w:t xml:space="preserve">2.5.162. В качестве грозозащитных тросов следует применять стальные канаты и сталеалюминиевые провода по </w:t>
      </w:r>
      <w:r>
        <w:rPr>
          <w:color w:val="000000"/>
        </w:rPr>
        <w:t>2.5.79</w:t>
      </w:r>
      <w:r>
        <w:rPr/>
        <w:t>.</w:t>
      </w:r>
    </w:p>
    <w:p>
      <w:pPr>
        <w:pStyle w:val="Normal"/>
        <w:ind w:firstLine="284"/>
        <w:jc w:val="both"/>
        <w:rPr/>
      </w:pPr>
      <w:r>
        <w:rPr/>
        <w:t>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pPr>
        <w:pStyle w:val="Normal"/>
        <w:ind w:firstLine="284"/>
        <w:jc w:val="both"/>
        <w:rPr/>
      </w:pPr>
      <w:r>
        <w:rPr/>
        <w:t>2.5.163. Одиночные и расщепленные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каждом проводе и тросе.</w:t>
      </w:r>
    </w:p>
    <w:p>
      <w:pPr>
        <w:pStyle w:val="Normal"/>
        <w:ind w:firstLine="284"/>
        <w:jc w:val="both"/>
        <w:rPr/>
      </w:pPr>
      <w:r>
        <w:rPr/>
        <w:t>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при среднегодовой температуре более 180 кН должна производиться по специальному проекту.</w:t>
      </w:r>
    </w:p>
    <w:p>
      <w:pPr>
        <w:pStyle w:val="Normal"/>
        <w:ind w:firstLine="284"/>
        <w:jc w:val="both"/>
        <w:rPr/>
      </w:pPr>
      <w:r>
        <w:rPr/>
        <w:t>2.5.164. На переходах ВЛ должны применяться, как правило, стеклянные изоляторы.</w:t>
      </w:r>
    </w:p>
    <w:p>
      <w:pPr>
        <w:pStyle w:val="Normal"/>
        <w:ind w:firstLine="284"/>
        <w:jc w:val="both"/>
        <w:rPr/>
      </w:pPr>
      <w:r>
        <w:rPr/>
        <w:t>2.5.165. Количество изоляторов в гирляндах переходных опор определяется в соответствии с гл. 1.9.</w:t>
      </w:r>
    </w:p>
    <w:p>
      <w:pPr>
        <w:pStyle w:val="Normal"/>
        <w:ind w:firstLine="284"/>
        <w:jc w:val="both"/>
        <w:rPr/>
      </w:pPr>
      <w:r>
        <w:rPr/>
        <w:t>2.5.166.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p>
      <w:pPr>
        <w:pStyle w:val="Normal"/>
        <w:ind w:firstLine="284"/>
        <w:jc w:val="both"/>
        <w:rPr/>
      </w:pPr>
      <w:r>
        <w:rPr/>
        <w:t>2.5.167. Конструкция гирлянд изоляторов расщепленных фаз и крепление их к опоре должны, по возможности, обеспечивать раздельный монтаж и демонтаж каждого из проводов, входящих в расщепленную фазу.</w:t>
      </w:r>
    </w:p>
    <w:p>
      <w:pPr>
        <w:pStyle w:val="Normal"/>
        <w:ind w:firstLine="284"/>
        <w:jc w:val="both"/>
        <w:rPr/>
      </w:pPr>
      <w:r>
        <w:rPr/>
        <w:t>2.5.168.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p>
      <w:pPr>
        <w:pStyle w:val="Normal"/>
        <w:ind w:firstLine="284"/>
        <w:jc w:val="both"/>
        <w:rPr/>
      </w:pPr>
      <w:r>
        <w:rPr/>
        <w:t>2.5.169. При выполнении защиты переходов ВЛ 110 - 750 кВ от грозовых перенапряжений необходимо руководствоваться следующим:</w:t>
      </w:r>
    </w:p>
    <w:p>
      <w:pPr>
        <w:pStyle w:val="Normal"/>
        <w:ind w:firstLine="284"/>
        <w:jc w:val="both"/>
        <w:rPr/>
      </w:pPr>
      <w:r>
        <w:rPr/>
        <w:t>1) все переходы следует защищать от прямых ударов молнии тросами;</w:t>
      </w:r>
    </w:p>
    <w:p>
      <w:pPr>
        <w:pStyle w:val="Normal"/>
        <w:ind w:firstLine="284"/>
        <w:jc w:val="both"/>
        <w:rPr/>
      </w:pPr>
      <w:r>
        <w:rPr/>
        <w:t>2) количество тросов должно быть не менее двух с углом защиты по отношению к крайним проводам не более 20°.</w:t>
      </w:r>
    </w:p>
    <w:p>
      <w:pPr>
        <w:pStyle w:val="Normal"/>
        <w:ind w:firstLine="284"/>
        <w:jc w:val="both"/>
        <w:rPr/>
      </w:pPr>
      <w:r>
        <w:rPr/>
        <w:t>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p>
      <w:pPr>
        <w:pStyle w:val="Normal"/>
        <w:ind w:firstLine="284"/>
        <w:jc w:val="both"/>
        <w:rPr/>
      </w:pPr>
      <w:r>
        <w:rPr/>
        <w:t>3) рекомендуется установка защитных аппаратов (2.5.119) на переходах с пролетами длиной выше 1000 м или с высотой опор выше 100 м;</w:t>
      </w:r>
    </w:p>
    <w:p>
      <w:pPr>
        <w:pStyle w:val="Normal"/>
        <w:ind w:firstLine="284"/>
        <w:jc w:val="both"/>
        <w:rPr/>
      </w:pPr>
      <w:r>
        <w:rPr/>
        <w:t>4) горизонтальное смещение троса от центра крайней фазы должно быть не менее: 1,5 м -для ВЛ 110 кВ; 2 м - для ВЛ 150 кВ; 2,5 м - для ВЛ 220 кВ; 3,5 м - для ВЛ 330 кВ и 4 м - для ВЛ 500 - 750 кВ;</w:t>
      </w:r>
    </w:p>
    <w:p>
      <w:pPr>
        <w:pStyle w:val="Normal"/>
        <w:ind w:firstLine="284"/>
        <w:jc w:val="both"/>
        <w:rPr/>
      </w:pPr>
      <w:r>
        <w:rPr/>
        <w:t>5) выбор расстояния между тросами производится согласно 2.5.93 и 2.5.120 п. 4.</w:t>
      </w:r>
    </w:p>
    <w:p>
      <w:pPr>
        <w:pStyle w:val="Normal"/>
        <w:ind w:firstLine="284"/>
        <w:jc w:val="both"/>
        <w:rPr/>
      </w:pPr>
      <w:r>
        <w:rPr/>
        <w:t>2.5.170. Крепление тросов на всех опорах перехода должно быть выполнено при помощи изоляторов с разрушающей механической нагрузкой не менее 120 кН.</w:t>
      </w:r>
    </w:p>
    <w:p>
      <w:pPr>
        <w:pStyle w:val="Normal"/>
        <w:ind w:firstLine="284"/>
        <w:jc w:val="both"/>
        <w:rPr/>
      </w:pPr>
      <w:r>
        <w:rPr/>
        <w:t>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p>
      <w:pPr>
        <w:pStyle w:val="Normal"/>
        <w:ind w:firstLine="284"/>
        <w:jc w:val="both"/>
        <w:rPr/>
      </w:pPr>
      <w:r>
        <w:rP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p>
      <w:pPr>
        <w:pStyle w:val="Normal"/>
        <w:ind w:firstLine="284"/>
        <w:jc w:val="both"/>
        <w:rPr/>
      </w:pPr>
      <w:r>
        <w:rPr/>
        <w:t>Изоляторы, на которых подвешен трос, должны быть шунтированы искровым промежутком, размер которого выбирается в соответствии с 2.5.122 без учета установки дополнительных изоляторов.</w:t>
      </w:r>
    </w:p>
    <w:p>
      <w:pPr>
        <w:pStyle w:val="Normal"/>
        <w:ind w:firstLine="284"/>
        <w:jc w:val="both"/>
        <w:rPr/>
      </w:pPr>
      <w:r>
        <w:rPr/>
        <w:t>2.5.171.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p>
      <w:pPr>
        <w:pStyle w:val="Normal"/>
        <w:ind w:firstLine="284"/>
        <w:jc w:val="both"/>
        <w:rPr/>
      </w:pPr>
      <w:r>
        <w:rPr/>
        <w:t>2.5.172. Для обеспечения безопасного перемещения обслуживающего персонала по траверсам переходных опор высотой более 50 м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3,3 м - для ВЛ до 110 кВ; 3,8 м - для ВЛ 150 кВ; 4,3 м - для ВЛ 220 кВ; 5,3 м - для ВЛ 330 кВ; 6,3 м - для ВЛ 500 кВ; 7,6 м - для ВЛ 750 кВ.</w:t>
      </w:r>
    </w:p>
    <w:p>
      <w:pPr>
        <w:pStyle w:val="Normal"/>
        <w:ind w:firstLine="284"/>
        <w:jc w:val="both"/>
        <w:rPr/>
      </w:pPr>
      <w:r>
        <w:rPr/>
        <w:t>2.5.173. Сопротивление заземляющих устройств опор должно выбираться в соответствии с табл. 2.5.19 и 2.5.129.</w:t>
      </w:r>
    </w:p>
    <w:p>
      <w:pPr>
        <w:pStyle w:val="Normal"/>
        <w:ind w:firstLine="284"/>
        <w:jc w:val="both"/>
        <w:rPr/>
      </w:pPr>
      <w:r>
        <w:rPr/>
        <w:t>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p>
      <w:pPr>
        <w:pStyle w:val="Normal"/>
        <w:ind w:firstLine="284"/>
        <w:jc w:val="both"/>
        <w:rPr/>
      </w:pPr>
      <w:r>
        <w:rPr/>
        <w:t>2.5.174. При проектировании переходов через водные пространства необходимо провести следующие расчеты по гидрологии поймы реки:</w:t>
      </w:r>
    </w:p>
    <w:p>
      <w:pPr>
        <w:pStyle w:val="Normal"/>
        <w:ind w:firstLine="284"/>
        <w:jc w:val="both"/>
        <w:rPr/>
      </w:pPr>
      <w:r>
        <w:rPr/>
        <w:t>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p>
      <w:pPr>
        <w:pStyle w:val="Normal"/>
        <w:ind w:firstLine="284"/>
        <w:jc w:val="both"/>
        <w:rPr/>
      </w:pPr>
      <w:r>
        <w:rPr/>
        <w:t>2) русловой расчет, устанавливающий размер отверстия перехода и глубины после размыва у опор перехода;</w:t>
      </w:r>
    </w:p>
    <w:p>
      <w:pPr>
        <w:pStyle w:val="Normal"/>
        <w:ind w:firstLine="284"/>
        <w:jc w:val="both"/>
        <w:rPr/>
      </w:pPr>
      <w:r>
        <w:rPr/>
        <w:t>3) гидравлический расчет, устанавливающий уровень воды перед переходом, струенаправляющими дамбами и насыпями, высоту волн на поймах;</w:t>
      </w:r>
    </w:p>
    <w:p>
      <w:pPr>
        <w:pStyle w:val="Normal"/>
        <w:ind w:firstLine="284"/>
        <w:jc w:val="both"/>
        <w:rPr/>
      </w:pPr>
      <w:r>
        <w:rPr/>
        <w:t>4) расчет нагрузок на фундаменты, находящиеся в русле и пойме реки с учетом воздействия давления льда и навалов судов.</w:t>
      </w:r>
    </w:p>
    <w:p>
      <w:pPr>
        <w:pStyle w:val="Normal"/>
        <w:ind w:firstLine="284"/>
        <w:jc w:val="both"/>
        <w:rPr/>
      </w:pPr>
      <w:r>
        <w:rPr/>
        <w:t>Высота фундаментов опор, находящихся в русле и пойме реки, должна превышать уровень ледохода на 0,5 м.</w:t>
      </w:r>
    </w:p>
    <w:p>
      <w:pPr>
        <w:pStyle w:val="Normal"/>
        <w:ind w:firstLine="284"/>
        <w:jc w:val="both"/>
        <w:rPr/>
      </w:pPr>
      <w:r>
        <w:rPr/>
        <w:t>Заглубление фундаментов опор переходов мелкого и глубокого заложения при возможности размыва грунта должно быть не менее 2,5 м (считая от отметки грунта после размыва). Глубина погружения свай в грунт при свайном основании должна быть не менее 4 м от уровня размыва.</w:t>
      </w:r>
    </w:p>
    <w:p>
      <w:pPr>
        <w:pStyle w:val="Normal"/>
        <w:ind w:firstLine="284"/>
        <w:jc w:val="both"/>
        <w:rPr/>
      </w:pPr>
      <w:r>
        <w:rPr/>
        <w:t>2.5.175.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p>
      <w:pPr>
        <w:pStyle w:val="Normal"/>
        <w:ind w:firstLine="284"/>
        <w:jc w:val="both"/>
        <w:rPr/>
      </w:pPr>
      <w:r>
        <w:rPr/>
        <w:t>1) оборваны одиночный провод или все провода одной фазы одного пролета, тросы не оборваны (одноцепные опоры);</w:t>
      </w:r>
    </w:p>
    <w:p>
      <w:pPr>
        <w:pStyle w:val="Normal"/>
        <w:ind w:firstLine="284"/>
        <w:jc w:val="both"/>
        <w:rPr/>
      </w:pPr>
      <w:r>
        <w:rPr/>
        <w:t>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rPr/>
        <w:t>);</w:t>
      </w:r>
    </w:p>
    <w:p>
      <w:pPr>
        <w:pStyle w:val="Normal"/>
        <w:ind w:firstLine="284"/>
        <w:jc w:val="both"/>
        <w:rPr/>
      </w:pPr>
      <w:r>
        <w:rPr/>
        <w:t>3) оборван один трос одного пролета (при расщеплении троса - все его составляющие), провода независимо от марок и сечений не оборваны.</w:t>
      </w:r>
    </w:p>
    <w:p>
      <w:pPr>
        <w:pStyle w:val="Normal"/>
        <w:ind w:firstLine="284"/>
        <w:jc w:val="both"/>
        <w:rPr/>
      </w:pPr>
      <w:r>
        <w:rPr/>
        <w:t>В расчетах опор расчетная горизонтальная статическая нагрузка от проводов принимается равной:</w:t>
      </w:r>
    </w:p>
    <w:p>
      <w:pPr>
        <w:pStyle w:val="Normal"/>
        <w:ind w:firstLine="284"/>
        <w:jc w:val="both"/>
        <w:rPr/>
      </w:pPr>
      <w:r>
        <w:rPr/>
        <w:t>а) при нерасщепленной фазе и креплении ее в глухом зажиме - редуцированному тяжению, возникающему при обрыве фазы. При этом принимаются сочетания условий согласно 2.5.72 п. 3.</w:t>
      </w:r>
    </w:p>
    <w:p>
      <w:pPr>
        <w:pStyle w:val="Normal"/>
        <w:ind w:firstLine="284"/>
        <w:jc w:val="both"/>
        <w:rPr/>
      </w:pPr>
      <w:r>
        <w:rP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p>
      <w:pPr>
        <w:pStyle w:val="Normal"/>
        <w:ind w:firstLine="284"/>
        <w:jc w:val="both"/>
        <w:rPr/>
      </w:pPr>
      <w:r>
        <w:rPr/>
        <w:t>б)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p>
      <w:pPr>
        <w:pStyle w:val="Normal"/>
        <w:ind w:firstLine="284"/>
        <w:jc w:val="both"/>
        <w:rPr/>
      </w:pPr>
      <w:r>
        <w:rPr/>
        <w:t>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2.5.72 п. 3.</w:t>
      </w:r>
    </w:p>
    <w:p>
      <w:pPr>
        <w:pStyle w:val="Normal"/>
        <w:ind w:firstLine="284"/>
        <w:jc w:val="both"/>
        <w:rPr/>
      </w:pPr>
      <w:r>
        <w:rPr/>
        <w:t>При этом для тросов, расщепленных на две составляющие, тяжение следует умножать на 0,8.</w:t>
      </w:r>
    </w:p>
    <w:p>
      <w:pPr>
        <w:pStyle w:val="Normal"/>
        <w:ind w:firstLine="284"/>
        <w:jc w:val="both"/>
        <w:rPr/>
      </w:pPr>
      <w:r>
        <w:rPr/>
        <w:t>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p>
      <w:pPr>
        <w:pStyle w:val="Normal"/>
        <w:ind w:firstLine="284"/>
        <w:jc w:val="both"/>
        <w:rPr/>
      </w:pPr>
      <w:r>
        <w:rPr/>
        <w:t>2.5.176.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p>
      <w:pPr>
        <w:pStyle w:val="Normal"/>
        <w:ind w:firstLine="284"/>
        <w:jc w:val="both"/>
        <w:rPr/>
      </w:pPr>
      <w:r>
        <w:rPr/>
        <w:t>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w:t>
      </w:r>
      <w:r>
        <w:rPr>
          <w:vertAlign w:val="superscript"/>
        </w:rPr>
        <w:t>2</w:t>
      </w:r>
      <w:r>
        <w:rPr/>
        <w:t xml:space="preserve"> и более, а также со стальными канатами типа ТК всех сечений, используемыми в качестве проводов);</w:t>
      </w:r>
    </w:p>
    <w:p>
      <w:pPr>
        <w:pStyle w:val="Normal"/>
        <w:ind w:firstLine="284"/>
        <w:jc w:val="both"/>
        <w:rPr/>
      </w:pPr>
      <w:r>
        <w:rPr/>
        <w:t>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vertAlign w:val="superscript"/>
        </w:rPr>
        <w:t>2</w:t>
      </w:r>
      <w:r>
        <w:rPr/>
        <w:t>);</w:t>
      </w:r>
    </w:p>
    <w:p>
      <w:pPr>
        <w:pStyle w:val="Normal"/>
        <w:ind w:firstLine="284"/>
        <w:jc w:val="both"/>
        <w:rPr/>
      </w:pPr>
      <w:r>
        <w:rPr/>
        <w:t>3) оборван один трос одного пролета (при расщеплении троса - все его составляющие), провода независимо от марок и сечений не оборваны.</w:t>
      </w:r>
    </w:p>
    <w:p>
      <w:pPr>
        <w:pStyle w:val="Normal"/>
        <w:ind w:firstLine="284"/>
        <w:jc w:val="both"/>
        <w:rPr/>
      </w:pPr>
      <w:r>
        <w:rPr/>
        <w:t>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2.5.72 пп. 2 и 3.</w:t>
      </w:r>
    </w:p>
    <w:p>
      <w:pPr>
        <w:pStyle w:val="Normal"/>
        <w:ind w:firstLine="284"/>
        <w:jc w:val="both"/>
        <w:rPr/>
      </w:pPr>
      <w:r>
        <w:rPr/>
        <w:t>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pPr>
        <w:pStyle w:val="Normal"/>
        <w:ind w:firstLine="284"/>
        <w:jc w:val="both"/>
        <w:rPr/>
      </w:pPr>
      <w:r>
        <w:rPr/>
        <w:t>2.5.177. Опоры большого перехода должны иметь дневную маркировку (окраску) и сигнальное освещение в соответствии с 2.5.292.</w:t>
      </w:r>
    </w:p>
    <w:p>
      <w:pPr>
        <w:pStyle w:val="Heading3"/>
        <w:rPr/>
      </w:pPr>
      <w:r>
        <w:rPr/>
        <w:t>ПОДВЕСКА ВОЛОКОННО-ОПТИЧЕСКИХ ЛИНИЙ СВЯЗИ НА ВЛ</w:t>
      </w:r>
    </w:p>
    <w:p>
      <w:pPr>
        <w:pStyle w:val="Normal"/>
        <w:ind w:firstLine="284"/>
        <w:jc w:val="both"/>
        <w:rPr/>
      </w:pPr>
      <w:r>
        <w:rPr/>
        <w:t>2.5.178. Волоконно-оптической линией связи на воздушных линиях электропередачи (ВОЛС-ВЛ) называется линия связи, для передачи информации по которой служит оптический кабель (ОК), размещаемый на элементах ВЛ.</w:t>
      </w:r>
    </w:p>
    <w:p>
      <w:pPr>
        <w:pStyle w:val="Normal"/>
        <w:ind w:firstLine="284"/>
        <w:jc w:val="both"/>
        <w:rPr/>
      </w:pPr>
      <w:r>
        <w:rPr/>
        <w:t>2.5.179. Требования 2.5.180 - 2.5.200 распространяются на размещение на ВЛ оптических кабелей следующих типов:</w:t>
      </w:r>
    </w:p>
    <w:p>
      <w:pPr>
        <w:pStyle w:val="Normal"/>
        <w:ind w:firstLine="284"/>
        <w:jc w:val="both"/>
        <w:rPr/>
      </w:pPr>
      <w:r>
        <w:rPr/>
        <w:t>1) ОКГТ - оптический кабель, встроенный в грозозащитный трос;</w:t>
      </w:r>
    </w:p>
    <w:p>
      <w:pPr>
        <w:pStyle w:val="Normal"/>
        <w:ind w:firstLine="284"/>
        <w:jc w:val="both"/>
        <w:rPr/>
      </w:pPr>
      <w:r>
        <w:rPr/>
        <w:t>2) ОКФП - оптический кабель, встроенный в фазный провод;</w:t>
      </w:r>
    </w:p>
    <w:p>
      <w:pPr>
        <w:pStyle w:val="Normal"/>
        <w:ind w:firstLine="284"/>
        <w:jc w:val="both"/>
        <w:rPr/>
      </w:pPr>
      <w:r>
        <w:rPr/>
        <w:t>3) ОКСН - оптический кабель самонесущий неметаллический;</w:t>
      </w:r>
    </w:p>
    <w:p>
      <w:pPr>
        <w:pStyle w:val="Normal"/>
        <w:ind w:firstLine="284"/>
        <w:jc w:val="both"/>
        <w:rPr/>
      </w:pPr>
      <w:r>
        <w:rPr/>
        <w:t>4) ОКНН - оптический кабель неметаллический, прикрепляемый или навиваемый на грозозащитный трос или фазный провод.</w:t>
      </w:r>
    </w:p>
    <w:p>
      <w:pPr>
        <w:pStyle w:val="Normal"/>
        <w:ind w:firstLine="284"/>
        <w:jc w:val="both"/>
        <w:rPr/>
      </w:pPr>
      <w:r>
        <w:rPr/>
        <w:t>2.5.180. Все элементы ВОЛС-ВЛ должны соответствовать условиям работы ВЛ.</w:t>
      </w:r>
    </w:p>
    <w:p>
      <w:pPr>
        <w:pStyle w:val="Normal"/>
        <w:ind w:firstLine="284"/>
        <w:jc w:val="both"/>
        <w:rPr/>
      </w:pPr>
      <w:r>
        <w:rPr/>
        <w:t>2.5.181. Для сооружения конкретной линии связи допускается использование нескольких ВЛ различного напряжения, совпадающих по направлению с ее трассой.</w:t>
      </w:r>
    </w:p>
    <w:p>
      <w:pPr>
        <w:pStyle w:val="Normal"/>
        <w:ind w:firstLine="284"/>
        <w:jc w:val="both"/>
        <w:rPr/>
      </w:pPr>
      <w:r>
        <w:rPr/>
        <w:t>2.5.182. 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p>
      <w:pPr>
        <w:pStyle w:val="Normal"/>
        <w:ind w:firstLine="284"/>
        <w:jc w:val="both"/>
        <w:rPr/>
      </w:pPr>
      <w:r>
        <w:rPr/>
        <w:t>2.5.183.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2.5.38 - 2.5.74.</w:t>
      </w:r>
    </w:p>
    <w:p>
      <w:pPr>
        <w:pStyle w:val="Normal"/>
        <w:ind w:firstLine="284"/>
        <w:jc w:val="both"/>
        <w:rPr/>
      </w:pPr>
      <w:r>
        <w:rPr/>
        <w:t>2.5.184. Оптические кабели, размещаемые на элементах ВЛ, должны удовлетворять требованиям:</w:t>
      </w:r>
    </w:p>
    <w:p>
      <w:pPr>
        <w:pStyle w:val="Normal"/>
        <w:ind w:firstLine="284"/>
        <w:jc w:val="both"/>
        <w:rPr/>
      </w:pPr>
      <w:r>
        <w:rPr/>
        <w:t>1) механической прочности;</w:t>
      </w:r>
    </w:p>
    <w:p>
      <w:pPr>
        <w:pStyle w:val="Normal"/>
        <w:ind w:firstLine="284"/>
        <w:jc w:val="both"/>
        <w:rPr/>
      </w:pPr>
      <w:r>
        <w:rPr/>
        <w:t>2) термической стойкости;</w:t>
      </w:r>
    </w:p>
    <w:p>
      <w:pPr>
        <w:pStyle w:val="Normal"/>
        <w:ind w:firstLine="284"/>
        <w:jc w:val="both"/>
        <w:rPr/>
      </w:pPr>
      <w:r>
        <w:rPr/>
        <w:t>3) стойкости к воздействию грозовых перенапряжений;</w:t>
      </w:r>
    </w:p>
    <w:p>
      <w:pPr>
        <w:pStyle w:val="Normal"/>
        <w:ind w:firstLine="284"/>
        <w:jc w:val="both"/>
        <w:rPr/>
      </w:pPr>
      <w:r>
        <w:rPr/>
        <w:t>4) обеспечения нагрузок на оптические волокна, не превышающих допускаемые;</w:t>
      </w:r>
    </w:p>
    <w:p>
      <w:pPr>
        <w:pStyle w:val="Normal"/>
        <w:ind w:firstLine="284"/>
        <w:jc w:val="both"/>
        <w:rPr/>
      </w:pPr>
      <w:r>
        <w:rPr/>
        <w:t>5) стойкости к воздействию электрического поля.</w:t>
      </w:r>
    </w:p>
    <w:p>
      <w:pPr>
        <w:pStyle w:val="Normal"/>
        <w:ind w:firstLine="284"/>
        <w:jc w:val="both"/>
        <w:rPr/>
      </w:pPr>
      <w:r>
        <w:rPr/>
        <w:t>2.5.185.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pPr>
        <w:pStyle w:val="Normal"/>
        <w:ind w:firstLine="284"/>
        <w:jc w:val="both"/>
        <w:rPr/>
      </w:pPr>
      <w:r>
        <w:rPr/>
        <w:t>2.5.186.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2.5.71 - 2.5.74.</w:t>
      </w:r>
    </w:p>
    <w:p>
      <w:pPr>
        <w:pStyle w:val="Normal"/>
        <w:ind w:firstLine="284"/>
        <w:jc w:val="both"/>
        <w:rPr/>
      </w:pPr>
      <w:r>
        <w:rPr/>
        <w:t>2.5.187. Механический расчет ОК всех типов следует выполнять для исходных условий по 2.5.71 - 2.5.74.</w:t>
      </w:r>
    </w:p>
    <w:p>
      <w:pPr>
        <w:pStyle w:val="Normal"/>
        <w:ind w:firstLine="284"/>
        <w:jc w:val="both"/>
        <w:rPr/>
      </w:pPr>
      <w:r>
        <w:rP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pPr>
        <w:pStyle w:val="Normal"/>
        <w:ind w:firstLine="284"/>
        <w:jc w:val="both"/>
        <w:rPr/>
      </w:pPr>
      <w:r>
        <w:rPr/>
        <w:t>2.5.188. Оптические кабели должны быть защищены от вибрации в соответствии с условиями их подвески и требованиями изготовителя ОК.</w:t>
      </w:r>
    </w:p>
    <w:p>
      <w:pPr>
        <w:pStyle w:val="Normal"/>
        <w:ind w:firstLine="284"/>
        <w:jc w:val="both"/>
        <w:rPr/>
      </w:pPr>
      <w:r>
        <w:rPr/>
        <w:t>2.5.189. При подвеске на ВЛ ОКГТ и ОКФП их расположение должно удовлетворять требованиям 2.5.86 - 2.5.96 и 2.5.121.</w:t>
      </w:r>
    </w:p>
    <w:p>
      <w:pPr>
        <w:pStyle w:val="Normal"/>
        <w:ind w:firstLine="284"/>
        <w:jc w:val="both"/>
        <w:rPr/>
      </w:pPr>
      <w:r>
        <w:rPr/>
        <w:t>2.5.190. 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2.5.19. Допускается увеличение этих сопротивлений при обеспечении термической стойкости ОК.</w:t>
      </w:r>
    </w:p>
    <w:p>
      <w:pPr>
        <w:pStyle w:val="Normal"/>
        <w:ind w:firstLine="284"/>
        <w:jc w:val="both"/>
        <w:rPr/>
      </w:pPr>
      <w:r>
        <w:rPr/>
        <w:t>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 также 2.5.192, 2.5.193, 2.5.195).</w:t>
      </w:r>
    </w:p>
    <w:p>
      <w:pPr>
        <w:pStyle w:val="Normal"/>
        <w:ind w:firstLine="284"/>
        <w:jc w:val="both"/>
        <w:rPr/>
      </w:pPr>
      <w:r>
        <w:rPr/>
        <w:t>2.5.191. Необходимость заземления (или возможность изолированной подвески) троса, на котором подвешен ОКНН, обосновывается в проекте.</w:t>
      </w:r>
    </w:p>
    <w:p>
      <w:pPr>
        <w:pStyle w:val="Normal"/>
        <w:ind w:firstLine="284"/>
        <w:jc w:val="both"/>
        <w:rPr/>
      </w:pPr>
      <w:r>
        <w:rPr/>
        <w:t>2.5.192.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 Допускается не учитывать дальнее резервирование.</w:t>
      </w:r>
    </w:p>
    <w:p>
      <w:pPr>
        <w:pStyle w:val="Normal"/>
        <w:ind w:firstLine="284"/>
        <w:jc w:val="both"/>
        <w:rPr/>
      </w:pPr>
      <w:r>
        <w:rPr/>
        <w:t>2.5.193.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p>
      <w:pPr>
        <w:pStyle w:val="Normal"/>
        <w:ind w:firstLine="284"/>
        <w:jc w:val="both"/>
        <w:rPr/>
      </w:pPr>
      <w:r>
        <w:rPr/>
        <w:t>2.5.194.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pPr>
        <w:pStyle w:val="Normal"/>
        <w:ind w:firstLine="284"/>
        <w:jc w:val="both"/>
        <w:rPr/>
      </w:pPr>
      <w:r>
        <w:rPr/>
        <w:t>2.5.195. Оптический кабель типа ОКНН следует проверять:</w:t>
      </w:r>
    </w:p>
    <w:p>
      <w:pPr>
        <w:pStyle w:val="Normal"/>
        <w:ind w:firstLine="284"/>
        <w:jc w:val="both"/>
        <w:rPr/>
      </w:pPr>
      <w:r>
        <w:rPr/>
        <w:t>1) при подвеске его на фазном проводе - на стойкость при воздействии электрического поля проводов;</w:t>
      </w:r>
    </w:p>
    <w:p>
      <w:pPr>
        <w:pStyle w:val="Normal"/>
        <w:ind w:firstLine="284"/>
        <w:jc w:val="both"/>
        <w:rPr/>
      </w:pPr>
      <w:r>
        <w:rPr/>
        <w:t>2) при подвеске его на грозозащитном тросе - на стойкость к воздействию электрического напряжения, наведенного на тросе, и прямых ударов молнии в трос.</w:t>
      </w:r>
    </w:p>
    <w:p>
      <w:pPr>
        <w:pStyle w:val="Normal"/>
        <w:ind w:firstLine="284"/>
        <w:jc w:val="both"/>
        <w:rPr/>
      </w:pPr>
      <w:r>
        <w:rPr/>
        <w:t>2.5.196.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p>
      <w:pPr>
        <w:pStyle w:val="Normal"/>
        <w:ind w:firstLine="284"/>
        <w:jc w:val="both"/>
        <w:rPr/>
      </w:pPr>
      <w:r>
        <w:rPr/>
        <w:t>2.5.197. Место крепления ОКСН на опоре с учетом его вытяжки в процессе эксплуатации определяется, исходя из условий:</w:t>
      </w:r>
    </w:p>
    <w:p>
      <w:pPr>
        <w:pStyle w:val="Normal"/>
        <w:ind w:firstLine="284"/>
        <w:jc w:val="both"/>
        <w:rPr/>
      </w:pPr>
      <w:r>
        <w:rPr/>
        <w:t>1) стойкости оболочки к воздействию электрического поля;</w:t>
      </w:r>
    </w:p>
    <w:p>
      <w:pPr>
        <w:pStyle w:val="Normal"/>
        <w:ind w:firstLine="284"/>
        <w:jc w:val="both"/>
        <w:rPr/>
      </w:pPr>
      <w:r>
        <w:rPr/>
        <w:t>2) обеспечения наименьшего расстояния до поверхности земли не менее 5 м независимо от напряжения ВЛ и вида местности;</w:t>
      </w:r>
    </w:p>
    <w:p>
      <w:pPr>
        <w:pStyle w:val="Normal"/>
        <w:ind w:firstLine="284"/>
        <w:jc w:val="both"/>
        <w:rPr/>
      </w:pPr>
      <w:r>
        <w:rPr/>
        <w:t>3) обеспечения расстояний от ОКСН до фазных проводов на опоре не менее 0,6 м для ВЛ до 35 кВ; 1 м - 110 кВ; 1,5 м - 150 кВ; 2 м - 220 кВ; 2,5 м - 330 кВ; 3,5 м - 500 кВ; 5 м - 750 кВ при отсутствии гололеда и ветра.</w:t>
      </w:r>
    </w:p>
    <w:p>
      <w:pPr>
        <w:pStyle w:val="Normal"/>
        <w:ind w:firstLine="284"/>
        <w:jc w:val="both"/>
        <w:rPr/>
      </w:pPr>
      <w:r>
        <w:rPr/>
        <w:t>С учетом указанных условий ОКСН может размещаться как выше фазных проводов, так и между фазами или ниже фазных проводов.</w:t>
      </w:r>
    </w:p>
    <w:p>
      <w:pPr>
        <w:pStyle w:val="Normal"/>
        <w:ind w:firstLine="284"/>
        <w:jc w:val="both"/>
        <w:rPr/>
      </w:pPr>
      <w:r>
        <w:rPr/>
        <w:t>2.5.198. При креплении ОКНН к фазному проводу должны быть обеспечены следующие наименьшие расстояния от провода с прикрепленным или навитым ОК:</w:t>
      </w:r>
    </w:p>
    <w:p>
      <w:pPr>
        <w:pStyle w:val="Normal"/>
        <w:ind w:firstLine="284"/>
        <w:jc w:val="both"/>
        <w:rPr/>
      </w:pPr>
      <w:r>
        <w:rPr/>
        <w:t>1) до конструкции опоры при отклонении от воздействия ветра в соответствии с табл. 2.5.17;</w:t>
      </w:r>
    </w:p>
    <w:p>
      <w:pPr>
        <w:pStyle w:val="Normal"/>
        <w:ind w:firstLine="284"/>
        <w:jc w:val="both"/>
        <w:rPr/>
      </w:pPr>
      <w:r>
        <w:rPr/>
        <w:t>2) до земли и инженерных сооружений и естественных препятствий в соответствии с табл. 2.5.20 - 2.5.25, 2.5.30, 2.5.31, 2.5.34 - 2.5.40.</w:t>
      </w:r>
    </w:p>
    <w:p>
      <w:pPr>
        <w:pStyle w:val="Normal"/>
        <w:ind w:firstLine="284"/>
        <w:jc w:val="both"/>
        <w:rPr/>
      </w:pPr>
      <w:r>
        <w:rPr/>
        <w:t>2.5.199.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p>
      <w:pPr>
        <w:pStyle w:val="Normal"/>
        <w:ind w:firstLine="284"/>
        <w:jc w:val="both"/>
        <w:rPr/>
      </w:pPr>
      <w:r>
        <w:rPr/>
        <w:t>2.5.200. Соединение строительных длин ОК выполняется в специальных соединительных муфтах, которые рекомендуется размещать на анкерных опорах.</w:t>
      </w:r>
    </w:p>
    <w:p>
      <w:pPr>
        <w:pStyle w:val="Normal"/>
        <w:ind w:firstLine="284"/>
        <w:jc w:val="both"/>
        <w:rPr/>
      </w:pPr>
      <w:r>
        <w:rPr/>
        <w:t>Высота расположения соединительных муфт на опорах ВЛ должна быть не менее 5 м от основания опоры.</w:t>
      </w:r>
    </w:p>
    <w:p>
      <w:pPr>
        <w:pStyle w:val="Normal"/>
        <w:ind w:firstLine="284"/>
        <w:jc w:val="both"/>
        <w:rPr/>
      </w:pPr>
      <w:r>
        <w:rPr/>
        <w:t>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p>
      <w:pPr>
        <w:pStyle w:val="Normal"/>
        <w:ind w:firstLine="284"/>
        <w:jc w:val="both"/>
        <w:rPr/>
      </w:pPr>
      <w:r>
        <w:rPr/>
        <w:t>На опорах ВЛ при размещении на них муфт ОК дополнительно к 2.5.23 должны быть нанесены следующие постоянные знаки:</w:t>
      </w:r>
    </w:p>
    <w:p>
      <w:pPr>
        <w:pStyle w:val="Normal"/>
        <w:ind w:firstLine="284"/>
        <w:jc w:val="both"/>
        <w:rPr/>
      </w:pPr>
      <w:r>
        <w:rPr/>
        <w:t>условное обозначение ВОЛС;</w:t>
      </w:r>
    </w:p>
    <w:p>
      <w:pPr>
        <w:pStyle w:val="Normal"/>
        <w:ind w:firstLine="284"/>
        <w:jc w:val="both"/>
        <w:rPr/>
      </w:pPr>
      <w:r>
        <w:rPr/>
        <w:t>номер соединительной муфты.</w:t>
      </w:r>
    </w:p>
    <w:p>
      <w:pPr>
        <w:pStyle w:val="Heading3"/>
        <w:rPr/>
      </w:pPr>
      <w:r>
        <w:rPr/>
        <w:t>ПРОХОЖДЕНИЕ ВЛ ПО НЕНАСЕЛЕННОЙ И ТРУДНОДОСТУПНОЙ МЕСТНОСТИ</w:t>
      </w:r>
    </w:p>
    <w:p>
      <w:pPr>
        <w:pStyle w:val="Normal"/>
        <w:ind w:firstLine="284"/>
        <w:jc w:val="both"/>
        <w:rPr/>
      </w:pPr>
      <w:r>
        <w:rPr/>
        <w:t>2.5.201. 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2.5.20.</w:t>
      </w:r>
    </w:p>
    <w:p>
      <w:pPr>
        <w:pStyle w:val="Normal"/>
        <w:ind w:firstLine="284"/>
        <w:jc w:val="both"/>
        <w:rPr/>
      </w:pPr>
      <w:r>
        <w:rPr/>
        <w:t>Наименьшие расстояния определяются при наибольшей стреле провеса провода без учета его нагрева электрическим током:</w:t>
      </w:r>
    </w:p>
    <w:p>
      <w:pPr>
        <w:pStyle w:val="Normal"/>
        <w:ind w:firstLine="284"/>
        <w:jc w:val="both"/>
        <w:rPr/>
      </w:pPr>
      <w:r>
        <w:rPr/>
        <w:t>при высшей температуре воздуха для ВЛ 500 кВ и ниже;</w:t>
      </w:r>
    </w:p>
    <w:p>
      <w:pPr>
        <w:pStyle w:val="Normal"/>
        <w:ind w:firstLine="284"/>
        <w:jc w:val="both"/>
        <w:rPr/>
      </w:pPr>
      <w:r>
        <w:rPr/>
        <w:t>при температуре воздуха по 2.5.17 при предельно допустимых значениях интенсивности электрической и магнитной составляющих электромагнитного поля для ВЛ 750 кВ;</w:t>
      </w:r>
    </w:p>
    <w:p>
      <w:pPr>
        <w:pStyle w:val="Normal"/>
        <w:ind w:firstLine="284"/>
        <w:jc w:val="both"/>
        <w:rPr/>
      </w:pPr>
      <w:r>
        <w:rPr/>
        <w:t>при расчетной линейной гололедной нагрузке по 2.5.57 и температуре воздуха при гололеде согласно 2.5.51.</w:t>
      </w:r>
    </w:p>
    <w:p>
      <w:pPr>
        <w:pStyle w:val="Normal"/>
        <w:spacing w:before="120" w:after="120"/>
        <w:jc w:val="right"/>
        <w:rPr/>
      </w:pPr>
      <w:r>
        <w:rPr>
          <w:spacing w:val="40"/>
        </w:rPr>
        <w:t>Таблица</w:t>
      </w:r>
      <w:r>
        <w:rPr/>
        <w:t xml:space="preserve"> 2.5.20</w:t>
      </w:r>
    </w:p>
    <w:p>
      <w:pPr>
        <w:pStyle w:val="Normal"/>
        <w:spacing w:before="0" w:after="120"/>
        <w:jc w:val="center"/>
        <w:rPr>
          <w:b/>
          <w:b/>
          <w:bCs/>
        </w:rPr>
      </w:pPr>
      <w:r>
        <w:rPr>
          <w:b/>
          <w:bCs/>
        </w:rPr>
        <w:t>Наименьшее расстояние от проводов ВЛ до поверхности земли в ненаселенной и труднодоступной местности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53"/>
        <w:gridCol w:w="714"/>
        <w:gridCol w:w="793"/>
        <w:gridCol w:w="529"/>
        <w:gridCol w:w="529"/>
        <w:gridCol w:w="529"/>
        <w:gridCol w:w="528"/>
        <w:gridCol w:w="529"/>
        <w:gridCol w:w="551"/>
      </w:tblGrid>
      <w:tr>
        <w:trPr>
          <w:tblHeader w:val="true"/>
        </w:trPr>
        <w:tc>
          <w:tcPr>
            <w:tcW w:w="465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Характеристика местности</w:t>
            </w:r>
          </w:p>
        </w:tc>
        <w:tc>
          <w:tcPr>
            <w:tcW w:w="4702"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65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71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35 - 110</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52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750</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ВЛЗ</w:t>
            </w:r>
          </w:p>
        </w:tc>
      </w:tr>
      <w:tr>
        <w:trPr/>
        <w:tc>
          <w:tcPr>
            <w:tcW w:w="4653" w:type="dxa"/>
            <w:tcBorders>
              <w:left w:val="single" w:sz="8" w:space="0" w:color="000000"/>
              <w:bottom w:val="single" w:sz="8" w:space="0" w:color="000000"/>
              <w:insideH w:val="single" w:sz="8" w:space="0" w:color="000000"/>
            </w:tcBorders>
            <w:shd w:fill="FFFFFF" w:val="clear"/>
          </w:tcPr>
          <w:p>
            <w:pPr>
              <w:pStyle w:val="Normal"/>
              <w:jc w:val="both"/>
              <w:rPr/>
            </w:pPr>
            <w:r>
              <w:rPr/>
              <w:t>Ненаселенная местность; районы тундры, степей с почвами, непригодными для земледелия, и пустыни</w:t>
            </w:r>
          </w:p>
        </w:tc>
        <w:tc>
          <w:tcPr>
            <w:tcW w:w="7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52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4653" w:type="dxa"/>
            <w:tcBorders>
              <w:left w:val="single" w:sz="8" w:space="0" w:color="000000"/>
              <w:bottom w:val="single" w:sz="8" w:space="0" w:color="000000"/>
              <w:insideH w:val="single" w:sz="8" w:space="0" w:color="000000"/>
            </w:tcBorders>
            <w:shd w:fill="FFFFFF" w:val="clear"/>
          </w:tcPr>
          <w:p>
            <w:pPr>
              <w:pStyle w:val="Normal"/>
              <w:jc w:val="both"/>
              <w:rPr/>
            </w:pPr>
            <w:r>
              <w:rPr/>
              <w:t>Труднодоступная местность</w:t>
            </w:r>
          </w:p>
        </w:tc>
        <w:tc>
          <w:tcPr>
            <w:tcW w:w="7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52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4653" w:type="dxa"/>
            <w:tcBorders>
              <w:left w:val="single" w:sz="8" w:space="0" w:color="000000"/>
              <w:bottom w:val="single" w:sz="8" w:space="0" w:color="000000"/>
              <w:insideH w:val="single" w:sz="8" w:space="0" w:color="000000"/>
            </w:tcBorders>
            <w:shd w:fill="FFFFFF" w:val="clear"/>
          </w:tcPr>
          <w:p>
            <w:pPr>
              <w:pStyle w:val="Normal"/>
              <w:jc w:val="both"/>
              <w:rPr/>
            </w:pPr>
            <w:r>
              <w:rPr/>
              <w:t>Недоступные склоны гор, скалы, утесы и т.п.</w:t>
            </w:r>
          </w:p>
        </w:tc>
        <w:tc>
          <w:tcPr>
            <w:tcW w:w="7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52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5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w:t>
            </w:r>
          </w:p>
        </w:tc>
      </w:tr>
    </w:tbl>
    <w:p>
      <w:pPr>
        <w:pStyle w:val="Normal"/>
        <w:spacing w:before="120" w:after="0"/>
        <w:ind w:firstLine="283"/>
        <w:jc w:val="both"/>
        <w:rPr/>
      </w:pPr>
      <w:r>
        <w:rPr/>
        <w:t>2.5.202.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требований строительных норм и правил на мелиоративные системы и сооружения.</w:t>
      </w:r>
    </w:p>
    <w:p>
      <w:pPr>
        <w:pStyle w:val="Normal"/>
        <w:ind w:firstLine="283"/>
        <w:jc w:val="both"/>
        <w:rPr/>
      </w:pPr>
      <w:r>
        <w:rPr/>
        <w:t>2.5.203.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 2.5.258).</w:t>
      </w:r>
    </w:p>
    <w:p>
      <w:pPr>
        <w:pStyle w:val="Normal"/>
        <w:ind w:firstLine="283"/>
        <w:jc w:val="both"/>
        <w:rPr/>
      </w:pPr>
      <w:r>
        <w:rPr/>
        <w:t>2.5.204.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2 м - для ВЛ до 20 кВ; 4 м - для ВЛ 35 - 110 кВ; 5 м - для ВЛ 150 - 220 кВ; 6 м - для ВЛ 330 кВ; 9 м - для ВЛ 500 - 750 кВ.</w:t>
      </w:r>
    </w:p>
    <w:p>
      <w:pPr>
        <w:pStyle w:val="Normal"/>
        <w:ind w:firstLine="283"/>
        <w:jc w:val="both"/>
        <w:rPr/>
      </w:pPr>
      <w:r>
        <w:rPr/>
        <w:t>Опоры должны располагаться вне полосы отвода земель в постоянное пользование для мелиоративных каналов.</w:t>
      </w:r>
    </w:p>
    <w:p>
      <w:pPr>
        <w:pStyle w:val="Normal"/>
        <w:ind w:firstLine="283"/>
        <w:jc w:val="both"/>
        <w:rPr/>
      </w:pPr>
      <w:r>
        <w:rP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pPr>
        <w:pStyle w:val="Normal"/>
        <w:ind w:firstLine="283"/>
        <w:jc w:val="both"/>
        <w:rPr/>
      </w:pPr>
      <w:r>
        <w:rPr/>
        <w:t>2.5.205.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50 - 70 м ее длины в пределах охранной зоны ВЛ.</w:t>
      </w:r>
    </w:p>
    <w:p>
      <w:pPr>
        <w:pStyle w:val="Normal"/>
        <w:ind w:firstLine="283"/>
        <w:jc w:val="both"/>
        <w:rPr/>
      </w:pPr>
      <w:r>
        <w:rPr/>
        <w:t>Сопротивление заземления не нормируется.</w:t>
      </w:r>
    </w:p>
    <w:p>
      <w:pPr>
        <w:pStyle w:val="Heading3"/>
        <w:rPr/>
      </w:pPr>
      <w:r>
        <w:rPr/>
        <w:t>ПРОХОЖДЕНИЕ ВЛ ПО НАСАЖДЕНИЯМ</w:t>
      </w:r>
      <w:r>
        <w:rPr>
          <w:vertAlign w:val="superscript"/>
        </w:rPr>
        <w:t>*</w:t>
      </w:r>
    </w:p>
    <w:p>
      <w:pPr>
        <w:pStyle w:val="Normal"/>
        <w:ind w:firstLine="284"/>
        <w:jc w:val="both"/>
        <w:rPr/>
      </w:pPr>
      <w:r>
        <w:rPr/>
        <w:t>2.5.206. Следует, как правило, избегать прокладки ВЛ по лесам I группы</w:t>
      </w:r>
      <w:r>
        <w:rPr>
          <w:vertAlign w:val="superscript"/>
        </w:rPr>
        <w:t>**</w:t>
      </w:r>
      <w:r>
        <w:rPr/>
        <w:t>.</w:t>
      </w:r>
    </w:p>
    <w:p>
      <w:pPr>
        <w:pStyle w:val="Normal"/>
        <w:ind w:firstLine="284"/>
        <w:jc w:val="both"/>
        <w:rPr/>
      </w:pPr>
      <w:r>
        <w:rPr/>
        <w:t>2.5.207. Для прохождения ВЛ по насаждениям должны быть прорублены просеки.</w:t>
      </w:r>
    </w:p>
    <w:p>
      <w:pPr>
        <w:pStyle w:val="Normal"/>
        <w:ind w:firstLine="284"/>
        <w:jc w:val="both"/>
        <w:rPr/>
      </w:pPr>
      <w:r>
        <w:rPr/>
        <w:t>Ширина просек в насаждениях должна приниматься в зависимости от высоты</w:t>
      </w:r>
      <w:r>
        <w:rPr>
          <w:vertAlign w:val="superscript"/>
        </w:rPr>
        <w:t>***</w:t>
      </w:r>
      <w:r>
        <w:rPr/>
        <w:t xml:space="preserve"> насаждений с учетом их перспективного роста в течение 25 лет с момента ввода ВЛ в эксплуатацию и группы лесов.</w:t>
      </w:r>
    </w:p>
    <w:p>
      <w:pPr>
        <w:pStyle w:val="Normal"/>
        <w:spacing w:before="120" w:after="0"/>
        <w:ind w:firstLine="283"/>
        <w:jc w:val="both"/>
        <w:rPr/>
      </w:pPr>
      <w:r>
        <w:rPr>
          <w:vertAlign w:val="superscript"/>
        </w:rPr>
        <w:t>*</w:t>
      </w:r>
      <w:r>
        <w:rPr/>
        <w:t xml:space="preserve"> Под насаждениями понимаются естественные и искусственные древостой и кустарники, а также сады и парки.</w:t>
      </w:r>
    </w:p>
    <w:p>
      <w:pPr>
        <w:pStyle w:val="Normal"/>
        <w:ind w:firstLine="283"/>
        <w:jc w:val="both"/>
        <w:rPr/>
      </w:pPr>
      <w:r>
        <w:rPr>
          <w:vertAlign w:val="superscript"/>
        </w:rPr>
        <w:t>**</w:t>
      </w:r>
      <w:r>
        <w:rPr/>
        <w:t xml:space="preserve"> Деление лесов на группы приведено в «Лесном кодексе Российской Федерации».</w:t>
      </w:r>
    </w:p>
    <w:p>
      <w:pPr>
        <w:pStyle w:val="Normal"/>
        <w:ind w:firstLine="283"/>
        <w:jc w:val="both"/>
        <w:rPr/>
      </w:pPr>
      <w:r>
        <w:rPr>
          <w:vertAlign w:val="superscript"/>
        </w:rPr>
        <w:t>***</w:t>
      </w:r>
      <w:r>
        <w:rPr/>
        <w:t xml:space="preserve">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p>
      <w:pPr>
        <w:pStyle w:val="Normal"/>
        <w:spacing w:before="120" w:after="0"/>
        <w:ind w:firstLine="283"/>
        <w:jc w:val="both"/>
        <w:rPr/>
      </w:pPr>
      <w:r>
        <w:rPr/>
        <w:t>1. 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фруктовых садов вырубка просек не обязательна.</w:t>
      </w:r>
    </w:p>
    <w:p>
      <w:pPr>
        <w:pStyle w:val="Normal"/>
        <w:ind w:firstLine="283"/>
        <w:jc w:val="both"/>
        <w:rPr/>
      </w:pPr>
      <w:r>
        <w:rPr/>
        <w:t>2. При прохождении ВЛ в насаждениях лесов I группы, парках и фруктовых садах ширина просеки рассчитывается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47800" cy="209550"/>
            <wp:effectExtent l="0" t="0" r="0" b="0"/>
            <wp:docPr id="71" name="image0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065" descr=""/>
                    <pic:cNvPicPr>
                      <a:picLocks noChangeAspect="1" noChangeArrowheads="1"/>
                    </pic:cNvPicPr>
                  </pic:nvPicPr>
                  <pic:blipFill>
                    <a:blip r:embed="rId79"/>
                    <a:srcRect l="-24" t="-171" r="-24" b="-171"/>
                    <a:stretch>
                      <a:fillRect/>
                    </a:stretch>
                  </pic:blipFill>
                  <pic:spPr bwMode="auto">
                    <a:xfrm>
                      <a:off x="0" y="0"/>
                      <a:ext cx="1447800" cy="209550"/>
                    </a:xfrm>
                    <a:prstGeom prst="rect">
                      <a:avLst/>
                    </a:prstGeom>
                  </pic:spPr>
                </pic:pic>
              </a:graphicData>
            </a:graphic>
          </wp:inline>
        </w:drawing>
      </w:r>
    </w:p>
    <w:p>
      <w:pPr>
        <w:pStyle w:val="Normal"/>
        <w:ind w:firstLine="284"/>
        <w:jc w:val="both"/>
        <w:rPr/>
      </w:pPr>
      <w:r>
        <w:rPr/>
        <w:t xml:space="preserve">где </w:t>
      </w:r>
      <w:r>
        <w:rPr>
          <w:i/>
          <w:iCs/>
        </w:rPr>
        <w:t>А</w:t>
      </w:r>
      <w:r>
        <w:rPr/>
        <w:t xml:space="preserve"> - ширина просеки, м;</w:t>
      </w:r>
    </w:p>
    <w:p>
      <w:pPr>
        <w:pStyle w:val="Normal"/>
        <w:ind w:firstLine="284"/>
        <w:jc w:val="both"/>
        <w:rPr/>
      </w:pPr>
      <w:r>
        <w:rPr>
          <w:i/>
          <w:iCs/>
        </w:rPr>
        <w:t>D</w:t>
      </w:r>
      <w:r>
        <w:rPr/>
        <w:t xml:space="preserve"> - расстояние по горизонтали между крайними, наиболее удаленными проводами фаз, м;</w:t>
      </w:r>
    </w:p>
    <w:p>
      <w:pPr>
        <w:pStyle w:val="Normal"/>
        <w:ind w:firstLine="284"/>
        <w:jc w:val="both"/>
        <w:rPr/>
      </w:pPr>
      <w:r>
        <w:rPr>
          <w:i/>
          <w:iCs/>
        </w:rPr>
        <w:t>В</w:t>
      </w:r>
      <w:r>
        <w:rPr/>
        <w:t xml:space="preserve"> - наименьшее допустимое расстояние по горизонтали между крайним проводом ВЛ и кроной деревьев, м (эти расстояния должны быть не менее приведенных в табл. 2.5.21);</w:t>
      </w:r>
    </w:p>
    <w:p>
      <w:pPr>
        <w:pStyle w:val="Normal"/>
        <w:ind w:firstLine="284"/>
        <w:jc w:val="both"/>
        <w:rPr/>
      </w:pPr>
      <w:r>
        <w:rPr>
          <w:i/>
          <w:iCs/>
        </w:rPr>
        <w:t>а</w:t>
      </w:r>
      <w:r>
        <w:rPr/>
        <w:t xml:space="preserve"> - горизонтальная проекция стрелы провеса провода и поддерживающей гирлянды изоляторов, м, при наибольшем их отклонении согласно 2.5.73 (п. 1) с учетом типа местности согласно 2.5.6;</w:t>
      </w:r>
    </w:p>
    <w:p>
      <w:pPr>
        <w:pStyle w:val="Normal"/>
        <w:ind w:firstLine="284"/>
        <w:jc w:val="both"/>
        <w:rPr/>
      </w:pPr>
      <w:r>
        <w:rPr>
          <w:i/>
          <w:iCs/>
        </w:rPr>
        <w:t>K</w:t>
      </w:r>
      <w:r>
        <w:rPr/>
        <w:t xml:space="preserve"> - радиус горизонтальной проекции кроны с учетом перспективного роста в течение 25 лет с момента ввода ВЛ в эксплуатацию, м.</w:t>
      </w:r>
    </w:p>
    <w:p>
      <w:pPr>
        <w:pStyle w:val="Normal"/>
        <w:spacing w:before="120" w:after="120"/>
        <w:jc w:val="right"/>
        <w:rPr/>
      </w:pPr>
      <w:r>
        <w:rPr>
          <w:spacing w:val="40"/>
        </w:rPr>
        <w:t>Таблица</w:t>
      </w:r>
      <w:r>
        <w:rPr/>
        <w:t xml:space="preserve"> 2.5.21</w:t>
      </w:r>
    </w:p>
    <w:p>
      <w:pPr>
        <w:pStyle w:val="Normal"/>
        <w:spacing w:before="0" w:after="120"/>
        <w:jc w:val="center"/>
        <w:rPr>
          <w:b/>
          <w:b/>
          <w:bCs/>
        </w:rPr>
      </w:pPr>
      <w:r>
        <w:rPr>
          <w:b/>
          <w:bCs/>
        </w:rPr>
        <w:t>Наименьшее расстояние по горизонтали между проводами ВЛ и кронами деревьев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157"/>
        <w:gridCol w:w="1035"/>
        <w:gridCol w:w="1037"/>
        <w:gridCol w:w="1036"/>
        <w:gridCol w:w="1037"/>
        <w:gridCol w:w="1053"/>
      </w:tblGrid>
      <w:tr>
        <w:trPr>
          <w:tblHeader w:val="true"/>
        </w:trPr>
        <w:tc>
          <w:tcPr>
            <w:tcW w:w="4157"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both"/>
              <w:rPr/>
            </w:pPr>
            <w:r>
              <w:rPr/>
              <w:t>Напряжение ВЛ, кВ</w:t>
            </w:r>
          </w:p>
        </w:tc>
        <w:tc>
          <w:tcPr>
            <w:tcW w:w="1035"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До 20</w:t>
            </w:r>
          </w:p>
        </w:tc>
        <w:tc>
          <w:tcPr>
            <w:tcW w:w="1037"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35 - 110</w:t>
            </w:r>
          </w:p>
        </w:tc>
        <w:tc>
          <w:tcPr>
            <w:tcW w:w="1036"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150 - 220</w:t>
            </w:r>
          </w:p>
        </w:tc>
        <w:tc>
          <w:tcPr>
            <w:tcW w:w="1037"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330 - 500</w:t>
            </w:r>
          </w:p>
        </w:tc>
        <w:tc>
          <w:tcPr>
            <w:tcW w:w="1053"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157" w:type="dxa"/>
            <w:tcBorders>
              <w:left w:val="single" w:sz="8" w:space="0" w:color="000000"/>
              <w:bottom w:val="single" w:sz="8" w:space="0" w:color="000000"/>
              <w:insideH w:val="single" w:sz="8" w:space="0" w:color="000000"/>
            </w:tcBorders>
            <w:shd w:fill="FFFFFF" w:val="clear"/>
          </w:tcPr>
          <w:p>
            <w:pPr>
              <w:pStyle w:val="Normal"/>
              <w:jc w:val="both"/>
              <w:rPr/>
            </w:pPr>
            <w:r>
              <w:rPr/>
              <w:t>Наименьшее расстояние, м</w:t>
            </w:r>
          </w:p>
        </w:tc>
        <w:tc>
          <w:tcPr>
            <w:tcW w:w="10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103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10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103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105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7</w:t>
            </w:r>
          </w:p>
        </w:tc>
      </w:tr>
    </w:tbl>
    <w:p>
      <w:pPr>
        <w:pStyle w:val="Normal"/>
        <w:spacing w:before="120" w:after="0"/>
        <w:ind w:firstLine="283"/>
        <w:jc w:val="both"/>
        <w:rPr/>
      </w:pPr>
      <w:r>
        <w:rPr/>
        <w:t>Радиусы проекций крон деревьев основных лесообразующих пород принимаются равными, м:</w:t>
      </w:r>
    </w:p>
    <w:p>
      <w:pPr>
        <w:pStyle w:val="Normal"/>
        <w:ind w:firstLine="283"/>
        <w:jc w:val="both"/>
        <w:rPr/>
      </w:pPr>
      <w:r>
        <w:rPr/>
        <w:t>сосна, лиственница                                                                                    7,0</w:t>
      </w:r>
    </w:p>
    <w:p>
      <w:pPr>
        <w:pStyle w:val="Normal"/>
        <w:ind w:firstLine="283"/>
        <w:jc w:val="both"/>
        <w:rPr/>
      </w:pPr>
      <w:r>
        <w:rPr/>
        <w:t>ель, пихта                                                                                                    5,0</w:t>
      </w:r>
    </w:p>
    <w:p>
      <w:pPr>
        <w:pStyle w:val="Normal"/>
        <w:ind w:firstLine="283"/>
        <w:jc w:val="both"/>
        <w:rPr/>
      </w:pPr>
      <w:r>
        <w:rPr/>
        <w:t>дуб, бук                                                                                                        9,0</w:t>
      </w:r>
    </w:p>
    <w:p>
      <w:pPr>
        <w:pStyle w:val="Normal"/>
        <w:ind w:firstLine="283"/>
        <w:jc w:val="both"/>
        <w:rPr/>
      </w:pPr>
      <w:r>
        <w:rPr/>
        <w:t>липа                                                                                                             4,5</w:t>
      </w:r>
    </w:p>
    <w:p>
      <w:pPr>
        <w:pStyle w:val="Normal"/>
        <w:ind w:firstLine="283"/>
        <w:jc w:val="both"/>
        <w:rPr/>
      </w:pPr>
      <w:r>
        <w:rPr/>
        <w:t>береза                                                                                                           4,5</w:t>
      </w:r>
    </w:p>
    <w:p>
      <w:pPr>
        <w:pStyle w:val="Normal"/>
        <w:ind w:firstLine="283"/>
        <w:jc w:val="both"/>
        <w:rPr/>
      </w:pPr>
      <w:r>
        <w:rPr/>
        <w:t>осина                                                                                                            5,0</w:t>
      </w:r>
    </w:p>
    <w:p>
      <w:pPr>
        <w:pStyle w:val="Normal"/>
        <w:ind w:firstLine="283"/>
        <w:jc w:val="both"/>
        <w:rPr/>
      </w:pPr>
      <w:r>
        <w:rPr/>
        <w:t>Для других пород деревьев радиусы проекций крон определяются при конкретном проектировании по данным владельца насаждений.</w:t>
      </w:r>
    </w:p>
    <w:p>
      <w:pPr>
        <w:pStyle w:val="Normal"/>
        <w:ind w:firstLine="283"/>
        <w:jc w:val="both"/>
        <w:rPr/>
      </w:pPr>
      <w:r>
        <w:rPr/>
        <w:t>3. В лесах II и III групп ширина просеки принимается равной большему из двух значений, рассчитанных по формуле, приведенной в п. 2, и по формуле</w:t>
      </w:r>
    </w:p>
    <w:p>
      <w:pPr>
        <w:pStyle w:val="Normal"/>
        <w:spacing w:before="120" w:after="120"/>
        <w:jc w:val="center"/>
        <w:rPr/>
      </w:pPr>
      <w:r>
        <w:rPr>
          <w:i/>
          <w:iCs/>
        </w:rPr>
        <w:t>А</w:t>
      </w:r>
      <w:r>
        <w:rPr/>
        <w:t xml:space="preserve"> = </w:t>
      </w:r>
      <w:r>
        <w:rPr>
          <w:i/>
          <w:iCs/>
        </w:rPr>
        <w:t>D</w:t>
      </w:r>
      <w:r>
        <w:rPr/>
        <w:t xml:space="preserve"> + 2 </w:t>
      </w:r>
      <w:r>
        <w:rPr>
          <w:i/>
          <w:iCs/>
        </w:rPr>
        <w:t>Н</w:t>
      </w:r>
      <w:r>
        <w:rPr/>
        <w:t>,</w:t>
      </w:r>
    </w:p>
    <w:p>
      <w:pPr>
        <w:pStyle w:val="Normal"/>
        <w:ind w:firstLine="283"/>
        <w:jc w:val="both"/>
        <w:rPr/>
      </w:pPr>
      <w:r>
        <w:rPr/>
        <w:t xml:space="preserve">где </w:t>
      </w:r>
      <w:r>
        <w:rPr>
          <w:i/>
          <w:iCs/>
        </w:rPr>
        <w:t>Н</w:t>
      </w:r>
      <w:r>
        <w:rPr/>
        <w:t xml:space="preserve"> - высота насаждений с учетом перспективного роста, м.</w:t>
      </w:r>
    </w:p>
    <w:p>
      <w:pPr>
        <w:pStyle w:val="Normal"/>
        <w:ind w:firstLine="283"/>
        <w:jc w:val="both"/>
        <w:rPr/>
      </w:pPr>
      <w:r>
        <w:rPr/>
        <w:t>4. Для ВЛЗ ширина просек в насаждениях 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быть не менее 2 м.</w:t>
      </w:r>
    </w:p>
    <w:p>
      <w:pPr>
        <w:pStyle w:val="Normal"/>
        <w:ind w:firstLine="283"/>
        <w:jc w:val="both"/>
        <w:rPr/>
      </w:pPr>
      <w:r>
        <w:rPr/>
        <w:t>5. Отдельные деревья или группы деревьев, растущие вне просеки и угрожающие падением на провода или опоры ВЛ, должны вырубаться.</w:t>
      </w:r>
    </w:p>
    <w:p>
      <w:pPr>
        <w:pStyle w:val="Normal"/>
        <w:ind w:firstLine="283"/>
        <w:jc w:val="both"/>
        <w:rPr/>
      </w:pPr>
      <w:r>
        <w:rPr/>
        <w:t>2.5.208.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2 м в каждую сторону.</w:t>
      </w:r>
    </w:p>
    <w:p>
      <w:pPr>
        <w:pStyle w:val="Normal"/>
        <w:ind w:firstLine="283"/>
        <w:jc w:val="both"/>
        <w:rPr/>
      </w:pPr>
      <w:r>
        <w:rPr/>
        <w:t>После окончания монтажа места нарушения склонов на просеках должны быть засажены кустарниковыми породами.</w:t>
      </w:r>
    </w:p>
    <w:p>
      <w:pPr>
        <w:pStyle w:val="Normal"/>
        <w:ind w:firstLine="283"/>
        <w:jc w:val="both"/>
        <w:rPr/>
      </w:pPr>
      <w:r>
        <w:rPr/>
        <w:t>2.5.209.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pPr>
        <w:pStyle w:val="Heading3"/>
        <w:rPr/>
      </w:pPr>
      <w:r>
        <w:rPr/>
        <w:t>ПРОХОЖДЕНИЕ ВЛ ПО НАСЕЛЕННОЙ МЕСТНОСТИ</w:t>
      </w:r>
    </w:p>
    <w:p>
      <w:pPr>
        <w:pStyle w:val="Normal"/>
        <w:ind w:firstLine="284"/>
        <w:jc w:val="both"/>
        <w:rPr/>
      </w:pPr>
      <w:r>
        <w:rPr/>
        <w:t>2.5.210. Прохождение ВЛ по населенной местности следует выполнять в соответствии с требованиями строительных норм и правил. «Градостроительство. Планировка зданий и застройка городских и сельских поселений» (ВЛ 110 кВ и выше следует размещать за пределами селитебной территории).</w:t>
      </w:r>
    </w:p>
    <w:p>
      <w:pPr>
        <w:pStyle w:val="Normal"/>
        <w:ind w:firstLine="284"/>
        <w:jc w:val="both"/>
        <w:rPr/>
      </w:pPr>
      <w:r>
        <w:rPr/>
        <w:t>Угол пересечения с улицами (проездами) не нормируется. При прохождении ВЛ вдоль улицы допускается расположение проводов над проезжей частью.</w:t>
      </w:r>
    </w:p>
    <w:p>
      <w:pPr>
        <w:pStyle w:val="Normal"/>
        <w:ind w:firstLine="284"/>
        <w:jc w:val="both"/>
        <w:rPr/>
      </w:pPr>
      <w:r>
        <w:rPr/>
        <w:t>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строительных норм и правил.</w:t>
      </w:r>
    </w:p>
    <w:p>
      <w:pPr>
        <w:pStyle w:val="Normal"/>
        <w:ind w:firstLine="284"/>
        <w:jc w:val="both"/>
        <w:rPr/>
      </w:pPr>
      <w:r>
        <w:rPr/>
        <w:t>2.5.211. Крепление проводов ВЛ на штыревых изоляторах должно быть двойным. При применении подвесных и полимерных изоляторов крепление проводов на промежуточных опорах должно выполняться глухими зажимами.</w:t>
      </w:r>
    </w:p>
    <w:p>
      <w:pPr>
        <w:pStyle w:val="Normal"/>
        <w:ind w:firstLine="284"/>
        <w:jc w:val="both"/>
        <w:rPr/>
      </w:pPr>
      <w:r>
        <w:rP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p>
      <w:pPr>
        <w:pStyle w:val="Normal"/>
        <w:ind w:firstLine="284"/>
        <w:jc w:val="both"/>
        <w:rPr/>
      </w:pPr>
      <w:r>
        <w:rPr/>
        <w:t>2.5.212.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2.5.22.</w:t>
      </w:r>
    </w:p>
    <w:p>
      <w:pPr>
        <w:pStyle w:val="Normal"/>
        <w:ind w:firstLine="284"/>
        <w:jc w:val="both"/>
        <w:rPr/>
      </w:pPr>
      <w:r>
        <w:rPr/>
        <w:t>Наименьшие расстояния определяются при наибольшей стреле провеса провода без учета его нагрева электрическим током:</w:t>
      </w:r>
    </w:p>
    <w:p>
      <w:pPr>
        <w:pStyle w:val="Normal"/>
        <w:ind w:firstLine="284"/>
        <w:jc w:val="both"/>
        <w:rPr/>
      </w:pPr>
      <w:r>
        <w:rPr/>
        <w:t>при высшей температуре воздуха для ВЛ 220 кВ и ниже;</w:t>
      </w:r>
    </w:p>
    <w:p>
      <w:pPr>
        <w:pStyle w:val="Normal"/>
        <w:ind w:firstLine="284"/>
        <w:jc w:val="both"/>
        <w:rPr/>
      </w:pPr>
      <w:r>
        <w:rPr/>
        <w:t>при температуре воздуха по 2.5.17 при предельно допустимых значениях интенсивности электрической и магнитной составляющих электромагнитного поля для ВЛ 330 кВ и выше;</w:t>
      </w:r>
    </w:p>
    <w:p>
      <w:pPr>
        <w:pStyle w:val="Normal"/>
        <w:ind w:firstLine="284"/>
        <w:jc w:val="both"/>
        <w:rPr/>
      </w:pPr>
      <w:r>
        <w:rPr/>
        <w:t>при расчетной линейной гололедной нагрузке по 2.5.57 и температуре воздуха при гололеде согласно 2.5.51.</w:t>
      </w:r>
    </w:p>
    <w:p>
      <w:pPr>
        <w:pStyle w:val="Normal"/>
        <w:ind w:firstLine="284"/>
        <w:jc w:val="both"/>
        <w:rPr/>
      </w:pPr>
      <w:r>
        <w:rPr/>
        <w:t>2.5.213. В местах пересечения ВЛ с улицами, проездами и т.п. расстояния по вертикали от проводов площадью сечения алюминиевой части менее 185 мм</w:t>
      </w:r>
      <w:r>
        <w:rPr>
          <w:vertAlign w:val="superscript"/>
        </w:rPr>
        <w:t>2</w:t>
      </w:r>
      <w:r>
        <w:rPr/>
        <w:t xml:space="preserve">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2.5.22.</w:t>
      </w:r>
    </w:p>
    <w:p>
      <w:pPr>
        <w:pStyle w:val="Normal"/>
        <w:spacing w:before="120" w:after="120"/>
        <w:ind w:firstLine="284"/>
        <w:jc w:val="right"/>
        <w:rPr/>
      </w:pPr>
      <w:r>
        <w:rPr>
          <w:spacing w:val="40"/>
        </w:rPr>
        <w:t>Таблица</w:t>
      </w:r>
      <w:r>
        <w:rPr/>
        <w:t xml:space="preserve"> 2.5.22</w:t>
      </w:r>
    </w:p>
    <w:p>
      <w:pPr>
        <w:pStyle w:val="Normal"/>
        <w:spacing w:before="0" w:after="120"/>
        <w:ind w:firstLine="284"/>
        <w:jc w:val="center"/>
        <w:rPr>
          <w:b/>
          <w:b/>
          <w:bCs/>
        </w:rPr>
      </w:pPr>
      <w:r>
        <w:rPr>
          <w:b/>
          <w:bCs/>
        </w:rPr>
        <w:t>Наименьшее расстояние по вертикали от проводов ВЛ до поверхности земли, производственных зданий и сооружений в населенной местности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616"/>
        <w:gridCol w:w="595"/>
        <w:gridCol w:w="700"/>
        <w:gridCol w:w="536"/>
        <w:gridCol w:w="536"/>
        <w:gridCol w:w="535"/>
        <w:gridCol w:w="536"/>
        <w:gridCol w:w="580"/>
        <w:gridCol w:w="721"/>
      </w:tblGrid>
      <w:tr>
        <w:trPr>
          <w:tblHeader w:val="true"/>
        </w:trPr>
        <w:tc>
          <w:tcPr>
            <w:tcW w:w="4616"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Условия работы ВЛ</w:t>
            </w:r>
          </w:p>
        </w:tc>
        <w:tc>
          <w:tcPr>
            <w:tcW w:w="4739"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616"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595"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ВЛЗ</w:t>
            </w:r>
          </w:p>
        </w:tc>
        <w:tc>
          <w:tcPr>
            <w:tcW w:w="70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до 35</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5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58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7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616" w:type="dxa"/>
            <w:tcBorders>
              <w:left w:val="single" w:sz="8" w:space="0" w:color="000000"/>
            </w:tcBorders>
            <w:shd w:fill="FFFFFF" w:val="clear"/>
          </w:tcPr>
          <w:p>
            <w:pPr>
              <w:pStyle w:val="Normal"/>
              <w:jc w:val="both"/>
              <w:rPr/>
            </w:pPr>
            <w:r>
              <w:rPr/>
              <w:t>Нормальный режим:</w:t>
            </w:r>
          </w:p>
        </w:tc>
        <w:tc>
          <w:tcPr>
            <w:tcW w:w="595" w:type="dxa"/>
            <w:tcBorders>
              <w:left w:val="single" w:sz="8" w:space="0" w:color="000000"/>
            </w:tcBorders>
            <w:shd w:fill="FFFFFF" w:val="clear"/>
            <w:tcMar>
              <w:left w:w="0" w:type="dxa"/>
              <w:right w:w="0" w:type="dxa"/>
            </w:tcMar>
          </w:tcPr>
          <w:p>
            <w:pPr>
              <w:pStyle w:val="Normal"/>
              <w:snapToGrid w:val="false"/>
              <w:rPr/>
            </w:pPr>
            <w:r>
              <w:rPr/>
            </w:r>
          </w:p>
        </w:tc>
        <w:tc>
          <w:tcPr>
            <w:tcW w:w="700" w:type="dxa"/>
            <w:tcBorders>
              <w:left w:val="single" w:sz="8" w:space="0" w:color="000000"/>
            </w:tcBorders>
            <w:shd w:fill="FFFFFF" w:val="clear"/>
            <w:tcMar>
              <w:left w:w="0" w:type="dxa"/>
              <w:right w:w="0" w:type="dxa"/>
            </w:tcMar>
          </w:tcPr>
          <w:p>
            <w:pPr>
              <w:pStyle w:val="Normal"/>
              <w:snapToGrid w:val="false"/>
              <w:rPr/>
            </w:pPr>
            <w:r>
              <w:rPr/>
            </w:r>
          </w:p>
        </w:tc>
        <w:tc>
          <w:tcPr>
            <w:tcW w:w="536" w:type="dxa"/>
            <w:tcBorders>
              <w:left w:val="single" w:sz="8" w:space="0" w:color="000000"/>
            </w:tcBorders>
            <w:shd w:fill="FFFFFF" w:val="clear"/>
            <w:tcMar>
              <w:left w:w="0" w:type="dxa"/>
              <w:right w:w="0" w:type="dxa"/>
            </w:tcMar>
          </w:tcPr>
          <w:p>
            <w:pPr>
              <w:pStyle w:val="Normal"/>
              <w:snapToGrid w:val="false"/>
              <w:rPr/>
            </w:pPr>
            <w:r>
              <w:rPr/>
            </w:r>
          </w:p>
        </w:tc>
        <w:tc>
          <w:tcPr>
            <w:tcW w:w="536" w:type="dxa"/>
            <w:tcBorders>
              <w:left w:val="single" w:sz="8" w:space="0" w:color="000000"/>
            </w:tcBorders>
            <w:shd w:fill="FFFFFF" w:val="clear"/>
            <w:tcMar>
              <w:left w:w="0" w:type="dxa"/>
              <w:right w:w="0" w:type="dxa"/>
            </w:tcMar>
          </w:tcPr>
          <w:p>
            <w:pPr>
              <w:pStyle w:val="Normal"/>
              <w:snapToGrid w:val="false"/>
              <w:rPr/>
            </w:pPr>
            <w:r>
              <w:rPr/>
            </w:r>
          </w:p>
        </w:tc>
        <w:tc>
          <w:tcPr>
            <w:tcW w:w="535" w:type="dxa"/>
            <w:tcBorders>
              <w:left w:val="single" w:sz="8" w:space="0" w:color="000000"/>
            </w:tcBorders>
            <w:shd w:fill="FFFFFF" w:val="clear"/>
            <w:tcMar>
              <w:left w:w="0" w:type="dxa"/>
              <w:right w:w="0" w:type="dxa"/>
            </w:tcMar>
          </w:tcPr>
          <w:p>
            <w:pPr>
              <w:pStyle w:val="Normal"/>
              <w:snapToGrid w:val="false"/>
              <w:rPr/>
            </w:pPr>
            <w:r>
              <w:rPr/>
            </w:r>
          </w:p>
        </w:tc>
        <w:tc>
          <w:tcPr>
            <w:tcW w:w="536" w:type="dxa"/>
            <w:tcBorders>
              <w:left w:val="single" w:sz="8" w:space="0" w:color="000000"/>
            </w:tcBorders>
            <w:shd w:fill="FFFFFF" w:val="clear"/>
            <w:tcMar>
              <w:left w:w="0" w:type="dxa"/>
              <w:right w:w="0" w:type="dxa"/>
            </w:tcMar>
          </w:tcPr>
          <w:p>
            <w:pPr>
              <w:pStyle w:val="Normal"/>
              <w:snapToGrid w:val="false"/>
              <w:rPr/>
            </w:pPr>
            <w:r>
              <w:rPr/>
            </w:r>
          </w:p>
        </w:tc>
        <w:tc>
          <w:tcPr>
            <w:tcW w:w="580" w:type="dxa"/>
            <w:tcBorders>
              <w:left w:val="single" w:sz="8" w:space="0" w:color="000000"/>
            </w:tcBorders>
            <w:shd w:fill="FFFFFF" w:val="clear"/>
            <w:tcMar>
              <w:left w:w="0" w:type="dxa"/>
              <w:right w:w="0" w:type="dxa"/>
            </w:tcMar>
          </w:tcPr>
          <w:p>
            <w:pPr>
              <w:pStyle w:val="Normal"/>
              <w:snapToGrid w:val="false"/>
              <w:rPr/>
            </w:pPr>
            <w:r>
              <w:rPr/>
            </w:r>
          </w:p>
        </w:tc>
        <w:tc>
          <w:tcPr>
            <w:tcW w:w="72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616" w:type="dxa"/>
            <w:tcBorders>
              <w:left w:val="single" w:sz="8" w:space="0" w:color="000000"/>
            </w:tcBorders>
            <w:shd w:fill="FFFFFF" w:val="clear"/>
          </w:tcPr>
          <w:p>
            <w:pPr>
              <w:pStyle w:val="Normal"/>
              <w:jc w:val="both"/>
              <w:rPr/>
            </w:pPr>
            <w:r>
              <w:rPr/>
              <w:t>до поверхности земли</w:t>
            </w:r>
          </w:p>
        </w:tc>
        <w:tc>
          <w:tcPr>
            <w:tcW w:w="595" w:type="dxa"/>
            <w:tcBorders>
              <w:left w:val="single" w:sz="8" w:space="0" w:color="000000"/>
            </w:tcBorders>
            <w:shd w:fill="FFFFFF" w:val="clear"/>
            <w:tcMar>
              <w:left w:w="0" w:type="dxa"/>
              <w:right w:w="0" w:type="dxa"/>
            </w:tcMar>
          </w:tcPr>
          <w:p>
            <w:pPr>
              <w:pStyle w:val="Normal"/>
              <w:jc w:val="center"/>
              <w:rPr/>
            </w:pPr>
            <w:r>
              <w:rPr/>
              <w:t>6</w:t>
            </w:r>
          </w:p>
        </w:tc>
        <w:tc>
          <w:tcPr>
            <w:tcW w:w="700" w:type="dxa"/>
            <w:tcBorders>
              <w:left w:val="single" w:sz="8" w:space="0" w:color="000000"/>
            </w:tcBorders>
            <w:shd w:fill="FFFFFF" w:val="clear"/>
            <w:tcMar>
              <w:left w:w="0" w:type="dxa"/>
              <w:right w:w="0" w:type="dxa"/>
            </w:tcMar>
          </w:tcPr>
          <w:p>
            <w:pPr>
              <w:pStyle w:val="Normal"/>
              <w:jc w:val="center"/>
              <w:rPr/>
            </w:pPr>
            <w:r>
              <w:rPr/>
              <w:t>7</w:t>
            </w:r>
          </w:p>
        </w:tc>
        <w:tc>
          <w:tcPr>
            <w:tcW w:w="536" w:type="dxa"/>
            <w:tcBorders>
              <w:left w:val="single" w:sz="8" w:space="0" w:color="000000"/>
            </w:tcBorders>
            <w:shd w:fill="FFFFFF" w:val="clear"/>
            <w:tcMar>
              <w:left w:w="0" w:type="dxa"/>
              <w:right w:w="0" w:type="dxa"/>
            </w:tcMar>
          </w:tcPr>
          <w:p>
            <w:pPr>
              <w:pStyle w:val="Normal"/>
              <w:jc w:val="center"/>
              <w:rPr/>
            </w:pPr>
            <w:r>
              <w:rPr/>
              <w:t>7</w:t>
            </w:r>
          </w:p>
        </w:tc>
        <w:tc>
          <w:tcPr>
            <w:tcW w:w="536" w:type="dxa"/>
            <w:tcBorders>
              <w:left w:val="single" w:sz="8" w:space="0" w:color="000000"/>
            </w:tcBorders>
            <w:shd w:fill="FFFFFF" w:val="clear"/>
            <w:tcMar>
              <w:left w:w="0" w:type="dxa"/>
              <w:right w:w="0" w:type="dxa"/>
            </w:tcMar>
          </w:tcPr>
          <w:p>
            <w:pPr>
              <w:pStyle w:val="Normal"/>
              <w:jc w:val="center"/>
              <w:rPr/>
            </w:pPr>
            <w:r>
              <w:rPr/>
              <w:t>7,5</w:t>
            </w:r>
          </w:p>
        </w:tc>
        <w:tc>
          <w:tcPr>
            <w:tcW w:w="535" w:type="dxa"/>
            <w:tcBorders>
              <w:left w:val="single" w:sz="8" w:space="0" w:color="000000"/>
            </w:tcBorders>
            <w:shd w:fill="FFFFFF" w:val="clear"/>
            <w:tcMar>
              <w:left w:w="0" w:type="dxa"/>
              <w:right w:w="0" w:type="dxa"/>
            </w:tcMar>
          </w:tcPr>
          <w:p>
            <w:pPr>
              <w:pStyle w:val="Normal"/>
              <w:jc w:val="center"/>
              <w:rPr/>
            </w:pPr>
            <w:r>
              <w:rPr/>
              <w:t>8</w:t>
            </w:r>
          </w:p>
        </w:tc>
        <w:tc>
          <w:tcPr>
            <w:tcW w:w="536" w:type="dxa"/>
            <w:tcBorders>
              <w:left w:val="single" w:sz="8" w:space="0" w:color="000000"/>
            </w:tcBorders>
            <w:shd w:fill="FFFFFF" w:val="clear"/>
            <w:tcMar>
              <w:left w:w="0" w:type="dxa"/>
              <w:right w:w="0" w:type="dxa"/>
            </w:tcMar>
          </w:tcPr>
          <w:p>
            <w:pPr>
              <w:pStyle w:val="Normal"/>
              <w:jc w:val="center"/>
              <w:rPr/>
            </w:pPr>
            <w:r>
              <w:rPr/>
              <w:t>11</w:t>
            </w:r>
          </w:p>
        </w:tc>
        <w:tc>
          <w:tcPr>
            <w:tcW w:w="580" w:type="dxa"/>
            <w:tcBorders>
              <w:left w:val="single" w:sz="8" w:space="0" w:color="000000"/>
            </w:tcBorders>
            <w:shd w:fill="FFFFFF" w:val="clear"/>
            <w:tcMar>
              <w:left w:w="0" w:type="dxa"/>
              <w:right w:w="0" w:type="dxa"/>
            </w:tcMar>
          </w:tcPr>
          <w:p>
            <w:pPr>
              <w:pStyle w:val="Normal"/>
              <w:jc w:val="center"/>
              <w:rPr/>
            </w:pPr>
            <w:r>
              <w:rPr/>
              <w:t>15,5</w:t>
            </w:r>
          </w:p>
        </w:tc>
        <w:tc>
          <w:tcPr>
            <w:tcW w:w="72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23</w:t>
            </w:r>
          </w:p>
        </w:tc>
      </w:tr>
      <w:tr>
        <w:trPr/>
        <w:tc>
          <w:tcPr>
            <w:tcW w:w="4616" w:type="dxa"/>
            <w:tcBorders>
              <w:left w:val="single" w:sz="8" w:space="0" w:color="000000"/>
              <w:bottom w:val="single" w:sz="8" w:space="0" w:color="000000"/>
              <w:insideH w:val="single" w:sz="8" w:space="0" w:color="000000"/>
            </w:tcBorders>
            <w:shd w:fill="FFFFFF" w:val="clear"/>
          </w:tcPr>
          <w:p>
            <w:pPr>
              <w:pStyle w:val="Normal"/>
              <w:jc w:val="both"/>
              <w:rPr/>
            </w:pPr>
            <w:r>
              <w:rPr/>
              <w:t>до производственных зданий и сооружений</w:t>
            </w:r>
          </w:p>
        </w:tc>
        <w:tc>
          <w:tcPr>
            <w:tcW w:w="5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7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5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5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w:t>
            </w:r>
          </w:p>
        </w:tc>
        <w:tc>
          <w:tcPr>
            <w:tcW w:w="7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12</w:t>
            </w:r>
          </w:p>
        </w:tc>
      </w:tr>
      <w:tr>
        <w:trPr/>
        <w:tc>
          <w:tcPr>
            <w:tcW w:w="4616" w:type="dxa"/>
            <w:tcBorders>
              <w:left w:val="single" w:sz="8" w:space="0" w:color="000000"/>
              <w:bottom w:val="single" w:sz="8" w:space="0" w:color="000000"/>
              <w:insideH w:val="single" w:sz="8" w:space="0" w:color="000000"/>
            </w:tcBorders>
            <w:shd w:fill="FFFFFF" w:val="clear"/>
          </w:tcPr>
          <w:p>
            <w:pPr>
              <w:pStyle w:val="Normal"/>
              <w:jc w:val="both"/>
              <w:rPr/>
            </w:pPr>
            <w:r>
              <w:rPr/>
              <w:t>Обрыв провода в смежном пролете до поверхности земли</w:t>
            </w:r>
          </w:p>
        </w:tc>
        <w:tc>
          <w:tcPr>
            <w:tcW w:w="59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7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5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53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5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0"/>
        <w:ind w:firstLine="284"/>
        <w:jc w:val="both"/>
        <w:rPr/>
      </w:pPr>
      <w:r>
        <w:rPr/>
        <w:t>При прохождении ВЛ в пределах специально отведенных в городской черте коридоров, а также для ВЛ с проводами площадью сечения алюминиевой части 185 мм</w:t>
      </w:r>
      <w:r>
        <w:rPr>
          <w:vertAlign w:val="superscript"/>
        </w:rPr>
        <w:t>2</w:t>
      </w:r>
      <w:r>
        <w:rPr/>
        <w:t xml:space="preserve"> и более проверка вертикальных расстояний при обрыве проводов не требуется.</w:t>
      </w:r>
    </w:p>
    <w:p>
      <w:pPr>
        <w:pStyle w:val="Normal"/>
        <w:ind w:firstLine="284"/>
        <w:jc w:val="both"/>
        <w:rPr/>
      </w:pPr>
      <w:r>
        <w:rPr/>
        <w:t>2.5.214. Расстояние по горизонтали от основания опоры ВЛ до кювета или бортового камня проезжей части улицы (проезда) должно быть не менее 2,0 м; расстояние до тротуаров и пешеходных дорожек не нормируется.</w:t>
      </w:r>
    </w:p>
    <w:p>
      <w:pPr>
        <w:pStyle w:val="Normal"/>
        <w:ind w:firstLine="284"/>
        <w:jc w:val="both"/>
        <w:rPr/>
      </w:pPr>
      <w:r>
        <w:rPr/>
        <w:t>2.5.215. Прохождение ВЛ над зданиями и сооружениями, как правило, не допускается.</w:t>
      </w:r>
    </w:p>
    <w:p>
      <w:pPr>
        <w:pStyle w:val="Normal"/>
        <w:ind w:firstLine="284"/>
        <w:jc w:val="both"/>
        <w:rPr/>
      </w:pPr>
      <w:r>
        <w:rPr/>
        <w:t>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330 - 750 кВ только над производственными зданиями электрических 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табл. 2.5.22.</w:t>
      </w:r>
    </w:p>
    <w:p>
      <w:pPr>
        <w:pStyle w:val="Normal"/>
        <w:ind w:firstLine="284"/>
        <w:jc w:val="both"/>
        <w:rPr/>
      </w:pPr>
      <w:r>
        <w:rPr/>
        <w:t>Металлические кровли, над которыми проходят ВЛ, должны быть заземлены. Сопротивление заземления должно быть не более указанного в табл. 2.5.19.</w:t>
      </w:r>
    </w:p>
    <w:p>
      <w:pPr>
        <w:pStyle w:val="Normal"/>
        <w:ind w:firstLine="284"/>
        <w:jc w:val="both"/>
        <w:rPr/>
      </w:pPr>
      <w:r>
        <w:rPr/>
        <w:t>Для ВЛ 330 кВ и выше должна быть обеспечена защита персонала, находящегося внутри производственных зданий электрических станций и подстанций, от влияния электрического поля, а заземление металлической кровли должно выполняться не менее чем в двух точках.</w:t>
      </w:r>
    </w:p>
    <w:p>
      <w:pPr>
        <w:pStyle w:val="Normal"/>
        <w:ind w:firstLine="284"/>
        <w:jc w:val="both"/>
        <w:rPr/>
      </w:pPr>
      <w:r>
        <w:rPr/>
        <w:t>2.5.216. Расстояния по горизонтали от крайних проводов ВЛ до 220 кВ при наибольшем их отклонении до ближайших частей производственных, складских, административно-бытовых и общественных зданий и сооружений должны быть не менее: 2 м - для ВЛ до 20 кВ, 4 м - для ВЛ 35 - 110 кВ, 5 м - для ВЛ 150 кВ и 6 м - для ВЛ 220 кВ.</w:t>
      </w:r>
    </w:p>
    <w:p>
      <w:pPr>
        <w:pStyle w:val="Normal"/>
        <w:ind w:firstLine="284"/>
        <w:jc w:val="both"/>
        <w:rPr/>
      </w:pPr>
      <w:r>
        <w:rPr/>
        <w:t>Расстояния по горизонтали от крайних проводов ВЛ 330 кВ и выше должны быть не менее:</w:t>
      </w:r>
    </w:p>
    <w:p>
      <w:pPr>
        <w:pStyle w:val="Normal"/>
        <w:ind w:firstLine="284"/>
        <w:jc w:val="both"/>
        <w:rPr/>
      </w:pPr>
      <w:r>
        <w:rPr/>
        <w:t>до ближайших частей непроизводственных и производственных зданий и сооружений электрических станций и подстанций при наибольшем отклонении проводов: 8 м - для ВЛ 330 кВ, 10 м - для ВЛ 500 - 750 кВ;</w:t>
      </w:r>
    </w:p>
    <w:p>
      <w:pPr>
        <w:pStyle w:val="Normal"/>
        <w:ind w:firstLine="284"/>
        <w:jc w:val="both"/>
        <w:rPr/>
      </w:pPr>
      <w:r>
        <w:rPr/>
        <w:t>до ближайших частей производственных, складских, административно-бытовых и общественных зданий и сооружений (кроме электрических станций и подстанций) при неотклоненном положении проводов: 20 м - для ВЛ 330 кВ, 30 м - для ВЛ 500 кВ, 40 м - для ВЛ 750 кВ.</w:t>
      </w:r>
    </w:p>
    <w:p>
      <w:pPr>
        <w:pStyle w:val="Normal"/>
        <w:ind w:firstLine="284"/>
        <w:jc w:val="both"/>
        <w:rPr/>
      </w:pPr>
      <w:r>
        <w:rPr/>
        <w:t>Прохождение ВЛ по территориям стадионов, учебных и детских учреждений не допускается.</w:t>
      </w:r>
    </w:p>
    <w:p>
      <w:pPr>
        <w:pStyle w:val="Normal"/>
        <w:ind w:firstLine="284"/>
        <w:jc w:val="both"/>
        <w:rPr/>
      </w:pPr>
      <w:r>
        <w:rPr/>
        <w:t>2.5.217.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2.5.21.</w:t>
      </w:r>
    </w:p>
    <w:p>
      <w:pPr>
        <w:pStyle w:val="Normal"/>
        <w:ind w:firstLine="284"/>
        <w:jc w:val="both"/>
        <w:rPr/>
      </w:pPr>
      <w:r>
        <w:rPr/>
        <w:t>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p>
      <w:pPr>
        <w:pStyle w:val="Normal"/>
        <w:ind w:firstLine="284"/>
        <w:jc w:val="both"/>
        <w:rPr/>
      </w:pPr>
      <w:r>
        <w:rPr/>
        <w:t>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2 м.</w:t>
      </w:r>
    </w:p>
    <w:p>
      <w:pPr>
        <w:pStyle w:val="Normal"/>
        <w:ind w:firstLine="284"/>
        <w:jc w:val="both"/>
        <w:rPr/>
      </w:pPr>
      <w:r>
        <w:rPr/>
        <w:t>2.5.218. Если при расстояниях, указанных в 2.5.216 и 2.5.217,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 ВЛ до 35 кВ, 50 м - для ВЛ 110 - 220 кВ и 100 м - для ВЛ 330 кВ и выше.</w:t>
      </w:r>
    </w:p>
    <w:p>
      <w:pPr>
        <w:pStyle w:val="Normal"/>
        <w:ind w:firstLine="284"/>
        <w:jc w:val="both"/>
        <w:rPr/>
      </w:pPr>
      <w:r>
        <w:rPr/>
        <w:t>Расчет уровня радиопомех должен выполняться с учетом гл. 1.3 и 2.5.81.</w:t>
      </w:r>
    </w:p>
    <w:p>
      <w:pPr>
        <w:pStyle w:val="Normal"/>
        <w:ind w:firstLine="284"/>
        <w:jc w:val="both"/>
        <w:rPr/>
      </w:pPr>
      <w:r>
        <w:rPr/>
        <w:t>2.5.219. Расстояния от заземлителей опор ВЛ до проложенных в земле силовых кабелей должны приниматься в соответствии с гл. 2.1 и 2.3.</w:t>
      </w:r>
    </w:p>
    <w:p>
      <w:pPr>
        <w:pStyle w:val="Heading3"/>
        <w:rPr/>
      </w:pPr>
      <w:r>
        <w:rPr/>
        <w:t>ПЕРЕСЕЧЕНИЕ И СБЛИЖЕНИЕ ВЛ МЕЖДУ СОБОЙ</w:t>
      </w:r>
    </w:p>
    <w:p>
      <w:pPr>
        <w:pStyle w:val="Normal"/>
        <w:ind w:firstLine="284"/>
        <w:jc w:val="both"/>
        <w:rPr/>
      </w:pPr>
      <w:r>
        <w:rPr/>
        <w:t>2.5.220. Угол пересечения ВЛ (ВЛЗ) выше 1 кВ между собой и с ВЛ (ВЛИ) до 1 кВ не нормируется.</w:t>
      </w:r>
    </w:p>
    <w:p>
      <w:pPr>
        <w:pStyle w:val="Normal"/>
        <w:ind w:firstLine="284"/>
        <w:jc w:val="both"/>
        <w:rPr/>
      </w:pPr>
      <w:r>
        <w:rPr/>
        <w:t>2.5.221. 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 2.5.23, а также не менее 1,5 м для ВЛЗ и 0,5 м для ВЛИ.</w:t>
      </w:r>
    </w:p>
    <w:p>
      <w:pPr>
        <w:pStyle w:val="Normal"/>
        <w:spacing w:before="120" w:after="120"/>
        <w:jc w:val="right"/>
        <w:rPr/>
      </w:pPr>
      <w:r>
        <w:rPr>
          <w:spacing w:val="40"/>
        </w:rPr>
        <w:t>Таблица</w:t>
      </w:r>
      <w:r>
        <w:rPr/>
        <w:t xml:space="preserve"> 2.5.23</w:t>
      </w:r>
    </w:p>
    <w:p>
      <w:pPr>
        <w:pStyle w:val="Normal"/>
        <w:spacing w:before="0" w:after="120"/>
        <w:jc w:val="center"/>
        <w:rPr>
          <w:b/>
          <w:b/>
          <w:bCs/>
        </w:rPr>
      </w:pPr>
      <w:r>
        <w:rPr>
          <w:b/>
          <w:bCs/>
        </w:rPr>
        <w:t>Наименьшее расстояние между проводами и опорами пересекающихся ВЛ</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101"/>
        <w:gridCol w:w="3511"/>
        <w:gridCol w:w="3743"/>
      </w:tblGrid>
      <w:tr>
        <w:trPr>
          <w:tblHeader w:val="true"/>
        </w:trPr>
        <w:tc>
          <w:tcPr>
            <w:tcW w:w="210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7254"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от проводов до ближайшей части опоры, м</w:t>
            </w:r>
          </w:p>
        </w:tc>
      </w:tr>
      <w:tr>
        <w:trPr>
          <w:tblHeader w:val="true"/>
        </w:trPr>
        <w:tc>
          <w:tcPr>
            <w:tcW w:w="210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51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при наибольшем отклонении проводов</w:t>
            </w:r>
          </w:p>
        </w:tc>
        <w:tc>
          <w:tcPr>
            <w:tcW w:w="37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при неотклоненном положении проводов</w:t>
            </w:r>
          </w:p>
        </w:tc>
      </w:tr>
      <w:tr>
        <w:trPr/>
        <w:tc>
          <w:tcPr>
            <w:tcW w:w="2101" w:type="dxa"/>
            <w:tcBorders>
              <w:left w:val="single" w:sz="8" w:space="0" w:color="000000"/>
            </w:tcBorders>
            <w:shd w:fill="FFFFFF" w:val="clear"/>
          </w:tcPr>
          <w:p>
            <w:pPr>
              <w:pStyle w:val="Normal"/>
              <w:jc w:val="center"/>
              <w:rPr/>
            </w:pPr>
            <w:r>
              <w:rPr/>
              <w:t>До 330</w:t>
            </w:r>
          </w:p>
        </w:tc>
        <w:tc>
          <w:tcPr>
            <w:tcW w:w="3511" w:type="dxa"/>
            <w:tcBorders>
              <w:left w:val="single" w:sz="8" w:space="0" w:color="000000"/>
            </w:tcBorders>
            <w:shd w:fill="FFFFFF" w:val="clear"/>
            <w:tcMar>
              <w:left w:w="0" w:type="dxa"/>
              <w:right w:w="0" w:type="dxa"/>
            </w:tcMar>
          </w:tcPr>
          <w:p>
            <w:pPr>
              <w:pStyle w:val="Normal"/>
              <w:jc w:val="center"/>
              <w:rPr/>
            </w:pPr>
            <w:r>
              <w:rPr/>
              <w:t>3</w:t>
            </w:r>
          </w:p>
        </w:tc>
        <w:tc>
          <w:tcPr>
            <w:tcW w:w="374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w:t>
            </w:r>
          </w:p>
        </w:tc>
      </w:tr>
      <w:tr>
        <w:trPr/>
        <w:tc>
          <w:tcPr>
            <w:tcW w:w="2101" w:type="dxa"/>
            <w:tcBorders>
              <w:left w:val="single" w:sz="8" w:space="0" w:color="000000"/>
            </w:tcBorders>
            <w:shd w:fill="FFFFFF" w:val="clear"/>
          </w:tcPr>
          <w:p>
            <w:pPr>
              <w:pStyle w:val="Normal"/>
              <w:jc w:val="center"/>
              <w:rPr/>
            </w:pPr>
            <w:r>
              <w:rPr/>
              <w:t>500</w:t>
            </w:r>
          </w:p>
        </w:tc>
        <w:tc>
          <w:tcPr>
            <w:tcW w:w="3511" w:type="dxa"/>
            <w:tcBorders>
              <w:left w:val="single" w:sz="8" w:space="0" w:color="000000"/>
            </w:tcBorders>
            <w:shd w:fill="FFFFFF" w:val="clear"/>
            <w:tcMar>
              <w:left w:w="0" w:type="dxa"/>
              <w:right w:w="0" w:type="dxa"/>
            </w:tcMar>
          </w:tcPr>
          <w:p>
            <w:pPr>
              <w:pStyle w:val="Normal"/>
              <w:jc w:val="center"/>
              <w:rPr/>
            </w:pPr>
            <w:r>
              <w:rPr/>
              <w:t>4</w:t>
            </w:r>
          </w:p>
        </w:tc>
        <w:tc>
          <w:tcPr>
            <w:tcW w:w="374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2101" w:type="dxa"/>
            <w:tcBorders>
              <w:left w:val="single" w:sz="8" w:space="0" w:color="000000"/>
              <w:bottom w:val="single" w:sz="8" w:space="0" w:color="000000"/>
              <w:insideH w:val="single" w:sz="8" w:space="0" w:color="000000"/>
            </w:tcBorders>
            <w:shd w:fill="FFFFFF" w:val="clear"/>
          </w:tcPr>
          <w:p>
            <w:pPr>
              <w:pStyle w:val="Normal"/>
              <w:jc w:val="center"/>
              <w:rPr/>
            </w:pPr>
            <w:r>
              <w:rPr/>
              <w:t>750</w:t>
            </w:r>
          </w:p>
        </w:tc>
        <w:tc>
          <w:tcPr>
            <w:tcW w:w="35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37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bl>
    <w:p>
      <w:pPr>
        <w:pStyle w:val="Normal"/>
        <w:spacing w:before="120" w:after="0"/>
        <w:ind w:firstLine="283"/>
        <w:jc w:val="both"/>
        <w:rPr/>
      </w:pPr>
      <w:r>
        <w:rPr/>
        <w:t>Допускается выполнение пересечений ВЛ и ВЛЗ между собой и с ВЛ (ВЛИ) до 1 кВ на общей опоре.</w:t>
      </w:r>
    </w:p>
    <w:p>
      <w:pPr>
        <w:pStyle w:val="Normal"/>
        <w:ind w:firstLine="283"/>
        <w:jc w:val="both"/>
        <w:rPr/>
      </w:pPr>
      <w:r>
        <w:rPr/>
        <w:t>2.5.222. Опоры ВЛ 500 - 750 кВ, ограничивающие пролет пересечения с ВЛ 500 - 750 кВ, должны быть анкерного типа.</w:t>
      </w:r>
    </w:p>
    <w:p>
      <w:pPr>
        <w:pStyle w:val="Normal"/>
        <w:ind w:firstLine="283"/>
        <w:jc w:val="both"/>
        <w:rPr/>
      </w:pPr>
      <w:r>
        <w:rPr/>
        <w:t>Пересечения ВЛ 500 - 750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p>
      <w:pPr>
        <w:pStyle w:val="Normal"/>
        <w:ind w:firstLine="283"/>
        <w:jc w:val="both"/>
        <w:rPr/>
      </w:pPr>
      <w:r>
        <w:rP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p>
      <w:pPr>
        <w:pStyle w:val="Normal"/>
        <w:ind w:firstLine="283"/>
        <w:jc w:val="both"/>
        <w:rPr/>
      </w:pPr>
      <w:r>
        <w:rPr/>
        <w:t>2.5.223. При пересечении ВЛ 500 - 750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w:t>
      </w:r>
    </w:p>
    <w:p>
      <w:pPr>
        <w:pStyle w:val="Normal"/>
        <w:ind w:firstLine="283"/>
        <w:jc w:val="both"/>
        <w:rPr/>
      </w:pPr>
      <w:r>
        <w:rPr/>
        <w:t>сталеалюминиевыми площадью сечения не менее 70 мм</w:t>
      </w:r>
      <w:r>
        <w:rPr>
          <w:vertAlign w:val="superscript"/>
        </w:rPr>
        <w:t>2</w:t>
      </w:r>
      <w:r>
        <w:rPr/>
        <w:t xml:space="preserve"> по алюминию - для ВЛ 6 - 20 кВ;</w:t>
      </w:r>
    </w:p>
    <w:p>
      <w:pPr>
        <w:pStyle w:val="Normal"/>
        <w:ind w:firstLine="283"/>
        <w:jc w:val="both"/>
        <w:rPr/>
      </w:pPr>
      <w:r>
        <w:rPr/>
        <w:t>сталеалюминиевыми площадью сечения по алюминию не менее 70 мм</w:t>
      </w:r>
      <w:r>
        <w:rPr>
          <w:vertAlign w:val="superscript"/>
        </w:rPr>
        <w:t>2</w:t>
      </w:r>
      <w:r>
        <w:rPr/>
        <w:t xml:space="preserve"> или из термоупроченного алюминиевого сплава площадью сечения не менее 70 мм</w:t>
      </w:r>
      <w:r>
        <w:rPr>
          <w:vertAlign w:val="superscript"/>
        </w:rPr>
        <w:t>2</w:t>
      </w:r>
      <w:r>
        <w:rPr/>
        <w:t xml:space="preserve"> - для ВЛЗ 6 - 20 кВ;</w:t>
      </w:r>
    </w:p>
    <w:p>
      <w:pPr>
        <w:pStyle w:val="Normal"/>
        <w:ind w:firstLine="283"/>
        <w:jc w:val="both"/>
        <w:rPr/>
      </w:pPr>
      <w:r>
        <w:rPr/>
        <w:t>алюминиевыми площадью сечения не менее 50 мм</w:t>
      </w:r>
      <w:r>
        <w:rPr>
          <w:vertAlign w:val="superscript"/>
        </w:rPr>
        <w:t>2</w:t>
      </w:r>
      <w:r>
        <w:rPr/>
        <w:t xml:space="preserve"> - для ВЛ до 1 кВ;</w:t>
      </w:r>
    </w:p>
    <w:p>
      <w:pPr>
        <w:pStyle w:val="Normal"/>
        <w:ind w:firstLine="283"/>
        <w:jc w:val="both"/>
        <w:rPr/>
      </w:pPr>
      <w:r>
        <w:rPr/>
        <w:t>жгут СИП без несущего нулевого провода с площадью сечения фазной жилы не менее 25 мм</w:t>
      </w:r>
      <w:r>
        <w:rPr>
          <w:vertAlign w:val="superscript"/>
        </w:rPr>
        <w:t>2</w:t>
      </w:r>
      <w:r>
        <w:rPr/>
        <w:t xml:space="preserve"> или с несущим проводом из термообработанного алюминиевого сплава площадью сечения не менее 50 мм</w:t>
      </w:r>
      <w:r>
        <w:rPr>
          <w:vertAlign w:val="superscript"/>
        </w:rPr>
        <w:t>2</w:t>
      </w:r>
      <w:r>
        <w:rPr/>
        <w:t>.</w:t>
      </w:r>
    </w:p>
    <w:p>
      <w:pPr>
        <w:pStyle w:val="Normal"/>
        <w:ind w:firstLine="283"/>
        <w:jc w:val="both"/>
        <w:rPr/>
      </w:pPr>
      <w:r>
        <w:rPr/>
        <w:t>Провода в пролетах пересечений должны крепиться на опорах с помощью:</w:t>
      </w:r>
    </w:p>
    <w:p>
      <w:pPr>
        <w:pStyle w:val="Normal"/>
        <w:ind w:firstLine="283"/>
        <w:jc w:val="both"/>
        <w:rPr/>
      </w:pPr>
      <w:r>
        <w:rPr/>
        <w:t>подвесных стеклянных изоляторов - для ВЛ (ВЛЗ) 6 - 20 кВ;</w:t>
      </w:r>
    </w:p>
    <w:p>
      <w:pPr>
        <w:pStyle w:val="Normal"/>
        <w:ind w:firstLine="283"/>
        <w:jc w:val="both"/>
        <w:rPr/>
      </w:pPr>
      <w:r>
        <w:rPr/>
        <w:t>штыревых изоляторов с двойным креплением к ним - для ВЛ до 1 кВ;</w:t>
      </w:r>
    </w:p>
    <w:p>
      <w:pPr>
        <w:pStyle w:val="Normal"/>
        <w:ind w:firstLine="283"/>
        <w:jc w:val="both"/>
        <w:rPr/>
      </w:pPr>
      <w:r>
        <w:rPr/>
        <w:t>натяжных анкерных зажимов - для ВЛИ.</w:t>
      </w:r>
    </w:p>
    <w:p>
      <w:pPr>
        <w:pStyle w:val="Normal"/>
        <w:ind w:firstLine="283"/>
        <w:jc w:val="both"/>
        <w:rPr/>
      </w:pPr>
      <w:r>
        <w:rPr/>
        <w:t>2.5.224.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pPr>
        <w:pStyle w:val="Normal"/>
        <w:ind w:firstLine="284"/>
        <w:jc w:val="both"/>
        <w:rPr/>
      </w:pPr>
      <w:r>
        <w:rPr/>
        <w:t>На промежуточных опорах существующей ВЛ 750 кВ, ограничивающих пролет пересечения с вновь сооружаемыми под ней ВЛ до 330 кВ, а также на существующих ВЛ до 500 кВ при площади сечения алюминиевой части проводов 300 мм</w:t>
      </w:r>
      <w:r>
        <w:rPr>
          <w:vertAlign w:val="superscript"/>
        </w:rPr>
        <w:t>2</w:t>
      </w:r>
      <w:r>
        <w:rPr/>
        <w:t xml:space="preserve"> и более при сооружении под ними других ВЛ допускается оставлять зажимы с ограниченной прочностью заделки и выпадающие зажимы.</w:t>
      </w:r>
    </w:p>
    <w:p>
      <w:pPr>
        <w:pStyle w:val="Normal"/>
        <w:ind w:firstLine="284"/>
        <w:jc w:val="both"/>
        <w:rPr/>
      </w:pPr>
      <w:r>
        <w:rPr/>
        <w:t>2.5.225. 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w:t>
      </w:r>
      <w:r>
        <w:rPr>
          <w:vertAlign w:val="superscript"/>
        </w:rPr>
        <w:t>2</w:t>
      </w:r>
      <w:r>
        <w:rPr/>
        <w:t xml:space="preserve"> и более над проводами ВЛ более высокого напряжения, но не выше 220 кВ</w:t>
      </w:r>
      <w:r>
        <w:rPr>
          <w:vertAlign w:val="superscript"/>
        </w:rPr>
        <w:t>*</w:t>
      </w:r>
      <w:r>
        <w:rPr/>
        <w:t>. При этом прохождение ВЛ более низкого напряжения над проводами двухцепных ВЛ более высокого напряжения не допускается.</w:t>
      </w:r>
    </w:p>
    <w:p>
      <w:pPr>
        <w:pStyle w:val="Normal"/>
        <w:spacing w:before="120" w:after="0"/>
        <w:ind w:firstLine="283"/>
        <w:jc w:val="both"/>
        <w:rPr/>
      </w:pPr>
      <w:r>
        <w:rPr>
          <w:vertAlign w:val="superscript"/>
        </w:rPr>
        <w:t>*</w:t>
      </w:r>
      <w:r>
        <w:rPr/>
        <w:t xml:space="preserve">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p>
      <w:pPr>
        <w:pStyle w:val="Normal"/>
        <w:spacing w:before="120" w:after="0"/>
        <w:ind w:firstLine="283"/>
        <w:jc w:val="both"/>
        <w:rPr/>
      </w:pPr>
      <w:r>
        <w:rPr/>
        <w:t>2.5.226.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 промежуточными опорами.</w:t>
      </w:r>
    </w:p>
    <w:p>
      <w:pPr>
        <w:pStyle w:val="Normal"/>
        <w:ind w:firstLine="283"/>
        <w:jc w:val="both"/>
        <w:rPr/>
      </w:pPr>
      <w:r>
        <w:rPr/>
        <w:t>На участках стесненной трассы пересечение ВЛ с проводами площадью сечения алюминиевой части 120 мм</w:t>
      </w:r>
      <w:r>
        <w:rPr>
          <w:vertAlign w:val="superscript"/>
        </w:rPr>
        <w:t>2</w:t>
      </w:r>
      <w:r>
        <w:rPr/>
        <w:t xml:space="preserve">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pPr>
        <w:pStyle w:val="Normal"/>
        <w:ind w:firstLine="283"/>
        <w:jc w:val="both"/>
        <w:rPr/>
      </w:pPr>
      <w:r>
        <w:rPr/>
        <w:t>2.5.227. Наименьшие расстояния между ближайшими проводами (или проводами и тросами) пересекающихся ВЛ должны приниматься не менее приведенных в табл. 2.5.24 при температуре воздуха плюс 15 °С без ветра.</w:t>
      </w:r>
    </w:p>
    <w:p>
      <w:pPr>
        <w:pStyle w:val="Normal"/>
        <w:ind w:firstLine="283"/>
        <w:jc w:val="both"/>
        <w:rPr/>
      </w:pPr>
      <w:r>
        <w:rPr/>
        <w:t>Для промежуточных длин пролетов соответствующие расстояния определяются линейной интерполяцией.</w:t>
      </w:r>
    </w:p>
    <w:p>
      <w:pPr>
        <w:pStyle w:val="Normal"/>
        <w:ind w:firstLine="283"/>
        <w:jc w:val="both"/>
        <w:rPr/>
      </w:pPr>
      <w:r>
        <w:rPr/>
        <w:t>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1,5 м.</w:t>
      </w:r>
    </w:p>
    <w:p>
      <w:pPr>
        <w:pStyle w:val="Normal"/>
        <w:spacing w:before="120" w:after="120"/>
        <w:jc w:val="right"/>
        <w:rPr/>
      </w:pPr>
      <w:r>
        <w:rPr>
          <w:spacing w:val="40"/>
        </w:rPr>
        <w:t>Таблица</w:t>
      </w:r>
      <w:r>
        <w:rPr/>
        <w:t xml:space="preserve"> 2.5.24</w:t>
      </w:r>
    </w:p>
    <w:p>
      <w:pPr>
        <w:pStyle w:val="Normal"/>
        <w:spacing w:before="0" w:after="120"/>
        <w:jc w:val="center"/>
        <w:rPr>
          <w:b/>
          <w:b/>
          <w:bCs/>
        </w:rPr>
      </w:pPr>
      <w:r>
        <w:rPr>
          <w:b/>
          <w:bCs/>
        </w:rPr>
        <w:t>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311"/>
        <w:gridCol w:w="1174"/>
        <w:gridCol w:w="1171"/>
        <w:gridCol w:w="1172"/>
        <w:gridCol w:w="1171"/>
        <w:gridCol w:w="1172"/>
        <w:gridCol w:w="1184"/>
      </w:tblGrid>
      <w:tr>
        <w:trPr>
          <w:tblHeader w:val="true"/>
        </w:trPr>
        <w:tc>
          <w:tcPr>
            <w:tcW w:w="231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Длина пролета пересекающей ВЛ, м</w:t>
            </w:r>
          </w:p>
        </w:tc>
        <w:tc>
          <w:tcPr>
            <w:tcW w:w="7044"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расстоянии от места пересечения до ближайшей опоры ВЛ, м</w:t>
            </w:r>
          </w:p>
        </w:tc>
      </w:tr>
      <w:tr>
        <w:trPr>
          <w:tblHeader w:val="true"/>
        </w:trPr>
        <w:tc>
          <w:tcPr>
            <w:tcW w:w="231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17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30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70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100</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120</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150</w:t>
            </w:r>
          </w:p>
        </w:tc>
      </w:tr>
      <w:tr>
        <w:trPr/>
        <w:tc>
          <w:tcPr>
            <w:tcW w:w="9355" w:type="dxa"/>
            <w:gridSpan w:val="7"/>
            <w:tcBorders>
              <w:left w:val="single" w:sz="8" w:space="0" w:color="000000"/>
              <w:right w:val="single" w:sz="8" w:space="0" w:color="000000"/>
              <w:insideV w:val="single" w:sz="8" w:space="0" w:color="000000"/>
            </w:tcBorders>
            <w:shd w:fill="FFFFFF" w:val="clear"/>
          </w:tcPr>
          <w:p>
            <w:pPr>
              <w:pStyle w:val="Normal"/>
              <w:spacing w:before="120" w:after="120"/>
              <w:jc w:val="center"/>
              <w:rPr>
                <w:i/>
                <w:i/>
                <w:iCs/>
              </w:rPr>
            </w:pPr>
            <w:r>
              <w:rPr>
                <w:i/>
                <w:iCs/>
              </w:rPr>
              <w:t>При пересечении ВЛ 750 кВ между собой и с ВЛ более низкого напряжения</w:t>
            </w:r>
          </w:p>
        </w:tc>
      </w:tr>
      <w:tr>
        <w:trPr/>
        <w:tc>
          <w:tcPr>
            <w:tcW w:w="2311" w:type="dxa"/>
            <w:tcBorders>
              <w:left w:val="single" w:sz="8" w:space="0" w:color="000000"/>
            </w:tcBorders>
            <w:shd w:fill="FFFFFF" w:val="clear"/>
          </w:tcPr>
          <w:p>
            <w:pPr>
              <w:pStyle w:val="Normal"/>
              <w:jc w:val="center"/>
              <w:rPr/>
            </w:pPr>
            <w:r>
              <w:rPr/>
              <w:t>До 200</w:t>
            </w:r>
          </w:p>
        </w:tc>
        <w:tc>
          <w:tcPr>
            <w:tcW w:w="1174" w:type="dxa"/>
            <w:tcBorders>
              <w:left w:val="single" w:sz="8" w:space="0" w:color="000000"/>
            </w:tcBorders>
            <w:shd w:fill="FFFFFF" w:val="clear"/>
            <w:tcMar>
              <w:left w:w="0" w:type="dxa"/>
              <w:right w:w="0" w:type="dxa"/>
            </w:tcMar>
          </w:tcPr>
          <w:p>
            <w:pPr>
              <w:pStyle w:val="Normal"/>
              <w:jc w:val="center"/>
              <w:rPr/>
            </w:pPr>
            <w:r>
              <w:rPr/>
              <w:t>6,5</w:t>
            </w:r>
          </w:p>
        </w:tc>
        <w:tc>
          <w:tcPr>
            <w:tcW w:w="1171" w:type="dxa"/>
            <w:tcBorders>
              <w:left w:val="single" w:sz="8" w:space="0" w:color="000000"/>
            </w:tcBorders>
            <w:shd w:fill="FFFFFF" w:val="clear"/>
            <w:tcMar>
              <w:left w:w="0" w:type="dxa"/>
              <w:right w:w="0" w:type="dxa"/>
            </w:tcMar>
          </w:tcPr>
          <w:p>
            <w:pPr>
              <w:pStyle w:val="Normal"/>
              <w:jc w:val="center"/>
              <w:rPr/>
            </w:pPr>
            <w:r>
              <w:rPr/>
              <w:t>6,5</w:t>
            </w:r>
          </w:p>
        </w:tc>
        <w:tc>
          <w:tcPr>
            <w:tcW w:w="1172" w:type="dxa"/>
            <w:tcBorders>
              <w:left w:val="single" w:sz="8" w:space="0" w:color="000000"/>
            </w:tcBorders>
            <w:shd w:fill="FFFFFF" w:val="clear"/>
            <w:tcMar>
              <w:left w:w="0" w:type="dxa"/>
              <w:right w:w="0" w:type="dxa"/>
            </w:tcMar>
          </w:tcPr>
          <w:p>
            <w:pPr>
              <w:pStyle w:val="Normal"/>
              <w:jc w:val="center"/>
              <w:rPr/>
            </w:pPr>
            <w:r>
              <w:rPr/>
              <w:t>6,5</w:t>
            </w:r>
          </w:p>
        </w:tc>
        <w:tc>
          <w:tcPr>
            <w:tcW w:w="1171" w:type="dxa"/>
            <w:tcBorders>
              <w:left w:val="single" w:sz="8" w:space="0" w:color="000000"/>
            </w:tcBorders>
            <w:shd w:fill="FFFFFF" w:val="clear"/>
            <w:tcMar>
              <w:left w:w="0" w:type="dxa"/>
              <w:right w:w="0" w:type="dxa"/>
            </w:tcMar>
          </w:tcPr>
          <w:p>
            <w:pPr>
              <w:pStyle w:val="Normal"/>
              <w:jc w:val="center"/>
              <w:rPr/>
            </w:pPr>
            <w:r>
              <w:rPr/>
              <w:t>7,0</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311" w:type="dxa"/>
            <w:tcBorders>
              <w:left w:val="single" w:sz="8" w:space="0" w:color="000000"/>
            </w:tcBorders>
            <w:shd w:fill="FFFFFF" w:val="clear"/>
          </w:tcPr>
          <w:p>
            <w:pPr>
              <w:pStyle w:val="Normal"/>
              <w:jc w:val="center"/>
              <w:rPr/>
            </w:pPr>
            <w:r>
              <w:rPr/>
              <w:t>300</w:t>
            </w:r>
          </w:p>
        </w:tc>
        <w:tc>
          <w:tcPr>
            <w:tcW w:w="1174" w:type="dxa"/>
            <w:tcBorders>
              <w:left w:val="single" w:sz="8" w:space="0" w:color="000000"/>
            </w:tcBorders>
            <w:shd w:fill="FFFFFF" w:val="clear"/>
            <w:tcMar>
              <w:left w:w="0" w:type="dxa"/>
              <w:right w:w="0" w:type="dxa"/>
            </w:tcMar>
          </w:tcPr>
          <w:p>
            <w:pPr>
              <w:pStyle w:val="Normal"/>
              <w:jc w:val="center"/>
              <w:rPr/>
            </w:pPr>
            <w:r>
              <w:rPr/>
              <w:t>6,5</w:t>
            </w:r>
          </w:p>
        </w:tc>
        <w:tc>
          <w:tcPr>
            <w:tcW w:w="1171" w:type="dxa"/>
            <w:tcBorders>
              <w:left w:val="single" w:sz="8" w:space="0" w:color="000000"/>
            </w:tcBorders>
            <w:shd w:fill="FFFFFF" w:val="clear"/>
            <w:tcMar>
              <w:left w:w="0" w:type="dxa"/>
              <w:right w:w="0" w:type="dxa"/>
            </w:tcMar>
          </w:tcPr>
          <w:p>
            <w:pPr>
              <w:pStyle w:val="Normal"/>
              <w:jc w:val="center"/>
              <w:rPr/>
            </w:pPr>
            <w:r>
              <w:rPr/>
              <w:t>6,5</w:t>
            </w:r>
          </w:p>
        </w:tc>
        <w:tc>
          <w:tcPr>
            <w:tcW w:w="1172" w:type="dxa"/>
            <w:tcBorders>
              <w:left w:val="single" w:sz="8" w:space="0" w:color="000000"/>
            </w:tcBorders>
            <w:shd w:fill="FFFFFF" w:val="clear"/>
            <w:tcMar>
              <w:left w:w="0" w:type="dxa"/>
              <w:right w:w="0" w:type="dxa"/>
            </w:tcMar>
          </w:tcPr>
          <w:p>
            <w:pPr>
              <w:pStyle w:val="Normal"/>
              <w:jc w:val="center"/>
              <w:rPr/>
            </w:pPr>
            <w:r>
              <w:rPr/>
              <w:t>7,0</w:t>
            </w:r>
          </w:p>
        </w:tc>
        <w:tc>
          <w:tcPr>
            <w:tcW w:w="1171" w:type="dxa"/>
            <w:tcBorders>
              <w:left w:val="single" w:sz="8" w:space="0" w:color="000000"/>
            </w:tcBorders>
            <w:shd w:fill="FFFFFF" w:val="clear"/>
            <w:tcMar>
              <w:left w:w="0" w:type="dxa"/>
              <w:right w:w="0" w:type="dxa"/>
            </w:tcMar>
          </w:tcPr>
          <w:p>
            <w:pPr>
              <w:pStyle w:val="Normal"/>
              <w:jc w:val="center"/>
              <w:rPr/>
            </w:pPr>
            <w:r>
              <w:rPr/>
              <w:t>7,5</w:t>
            </w:r>
          </w:p>
        </w:tc>
        <w:tc>
          <w:tcPr>
            <w:tcW w:w="1172" w:type="dxa"/>
            <w:tcBorders>
              <w:left w:val="single" w:sz="8" w:space="0" w:color="000000"/>
            </w:tcBorders>
            <w:shd w:fill="FFFFFF" w:val="clear"/>
            <w:tcMar>
              <w:left w:w="0" w:type="dxa"/>
              <w:right w:w="0" w:type="dxa"/>
            </w:tcMar>
          </w:tcPr>
          <w:p>
            <w:pPr>
              <w:pStyle w:val="Normal"/>
              <w:jc w:val="center"/>
              <w:rPr/>
            </w:pPr>
            <w:r>
              <w:rPr/>
              <w:t>8,0</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w:t>
            </w:r>
          </w:p>
        </w:tc>
      </w:tr>
      <w:tr>
        <w:trPr/>
        <w:tc>
          <w:tcPr>
            <w:tcW w:w="2311" w:type="dxa"/>
            <w:tcBorders>
              <w:left w:val="single" w:sz="8" w:space="0" w:color="000000"/>
            </w:tcBorders>
            <w:shd w:fill="FFFFFF" w:val="clear"/>
          </w:tcPr>
          <w:p>
            <w:pPr>
              <w:pStyle w:val="Normal"/>
              <w:jc w:val="center"/>
              <w:rPr/>
            </w:pPr>
            <w:r>
              <w:rPr/>
              <w:t>450</w:t>
            </w:r>
          </w:p>
        </w:tc>
        <w:tc>
          <w:tcPr>
            <w:tcW w:w="1174" w:type="dxa"/>
            <w:tcBorders>
              <w:left w:val="single" w:sz="8" w:space="0" w:color="000000"/>
            </w:tcBorders>
            <w:shd w:fill="FFFFFF" w:val="clear"/>
            <w:tcMar>
              <w:left w:w="0" w:type="dxa"/>
              <w:right w:w="0" w:type="dxa"/>
            </w:tcMar>
          </w:tcPr>
          <w:p>
            <w:pPr>
              <w:pStyle w:val="Normal"/>
              <w:jc w:val="center"/>
              <w:rPr/>
            </w:pPr>
            <w:r>
              <w:rPr/>
              <w:t>6,5</w:t>
            </w:r>
          </w:p>
        </w:tc>
        <w:tc>
          <w:tcPr>
            <w:tcW w:w="1171" w:type="dxa"/>
            <w:tcBorders>
              <w:left w:val="single" w:sz="8" w:space="0" w:color="000000"/>
            </w:tcBorders>
            <w:shd w:fill="FFFFFF" w:val="clear"/>
            <w:tcMar>
              <w:left w:w="0" w:type="dxa"/>
              <w:right w:w="0" w:type="dxa"/>
            </w:tcMar>
          </w:tcPr>
          <w:p>
            <w:pPr>
              <w:pStyle w:val="Normal"/>
              <w:jc w:val="center"/>
              <w:rPr/>
            </w:pPr>
            <w:r>
              <w:rPr/>
              <w:t>7,0</w:t>
            </w:r>
          </w:p>
        </w:tc>
        <w:tc>
          <w:tcPr>
            <w:tcW w:w="1172" w:type="dxa"/>
            <w:tcBorders>
              <w:left w:val="single" w:sz="8" w:space="0" w:color="000000"/>
            </w:tcBorders>
            <w:shd w:fill="FFFFFF" w:val="clear"/>
            <w:tcMar>
              <w:left w:w="0" w:type="dxa"/>
              <w:right w:w="0" w:type="dxa"/>
            </w:tcMar>
          </w:tcPr>
          <w:p>
            <w:pPr>
              <w:pStyle w:val="Normal"/>
              <w:jc w:val="center"/>
              <w:rPr/>
            </w:pPr>
            <w:r>
              <w:rPr/>
              <w:t>7,5</w:t>
            </w:r>
          </w:p>
        </w:tc>
        <w:tc>
          <w:tcPr>
            <w:tcW w:w="1171" w:type="dxa"/>
            <w:tcBorders>
              <w:left w:val="single" w:sz="8" w:space="0" w:color="000000"/>
            </w:tcBorders>
            <w:shd w:fill="FFFFFF" w:val="clear"/>
            <w:tcMar>
              <w:left w:w="0" w:type="dxa"/>
              <w:right w:w="0" w:type="dxa"/>
            </w:tcMar>
          </w:tcPr>
          <w:p>
            <w:pPr>
              <w:pStyle w:val="Normal"/>
              <w:jc w:val="center"/>
              <w:rPr/>
            </w:pPr>
            <w:r>
              <w:rPr/>
              <w:t>8,0</w:t>
            </w:r>
          </w:p>
        </w:tc>
        <w:tc>
          <w:tcPr>
            <w:tcW w:w="1172" w:type="dxa"/>
            <w:tcBorders>
              <w:left w:val="single" w:sz="8" w:space="0" w:color="000000"/>
            </w:tcBorders>
            <w:shd w:fill="FFFFFF" w:val="clear"/>
            <w:tcMar>
              <w:left w:w="0" w:type="dxa"/>
              <w:right w:w="0" w:type="dxa"/>
            </w:tcMar>
          </w:tcPr>
          <w:p>
            <w:pPr>
              <w:pStyle w:val="Normal"/>
              <w:jc w:val="center"/>
              <w:rPr/>
            </w:pPr>
            <w:r>
              <w:rPr/>
              <w:t>8,5</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9,0</w:t>
            </w:r>
          </w:p>
        </w:tc>
      </w:tr>
      <w:tr>
        <w:trPr/>
        <w:tc>
          <w:tcPr>
            <w:tcW w:w="2311" w:type="dxa"/>
            <w:tcBorders>
              <w:left w:val="single" w:sz="8" w:space="0" w:color="000000"/>
              <w:bottom w:val="single" w:sz="8" w:space="0" w:color="000000"/>
              <w:insideH w:val="single" w:sz="8" w:space="0" w:color="000000"/>
            </w:tcBorders>
            <w:shd w:fill="FFFFFF" w:val="clear"/>
          </w:tcPr>
          <w:p>
            <w:pPr>
              <w:pStyle w:val="Normal"/>
              <w:jc w:val="center"/>
              <w:rPr/>
            </w:pPr>
            <w:r>
              <w:rPr/>
              <w:t>500</w:t>
            </w:r>
          </w:p>
        </w:tc>
        <w:tc>
          <w:tcPr>
            <w:tcW w:w="11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9,5</w:t>
            </w:r>
          </w:p>
        </w:tc>
      </w:tr>
      <w:tr>
        <w:trPr/>
        <w:tc>
          <w:tcPr>
            <w:tcW w:w="9355" w:type="dxa"/>
            <w:gridSpan w:val="7"/>
            <w:tcBorders>
              <w:left w:val="single" w:sz="8" w:space="0" w:color="000000"/>
              <w:right w:val="single" w:sz="8" w:space="0" w:color="000000"/>
              <w:insideV w:val="single" w:sz="8" w:space="0" w:color="000000"/>
            </w:tcBorders>
            <w:shd w:fill="FFFFFF" w:val="clear"/>
          </w:tcPr>
          <w:p>
            <w:pPr>
              <w:pStyle w:val="Normal"/>
              <w:spacing w:before="120" w:after="120"/>
              <w:jc w:val="center"/>
              <w:rPr>
                <w:i/>
                <w:i/>
                <w:iCs/>
              </w:rPr>
            </w:pPr>
            <w:r>
              <w:rPr>
                <w:i/>
                <w:iCs/>
              </w:rPr>
              <w:t>При пересечении ВЛ 500 - 330 кВ между собой и с ВЛ более низкого напряжения</w:t>
            </w:r>
          </w:p>
        </w:tc>
      </w:tr>
      <w:tr>
        <w:trPr/>
        <w:tc>
          <w:tcPr>
            <w:tcW w:w="2311" w:type="dxa"/>
            <w:tcBorders>
              <w:left w:val="single" w:sz="8" w:space="0" w:color="000000"/>
            </w:tcBorders>
            <w:shd w:fill="FFFFFF" w:val="clear"/>
          </w:tcPr>
          <w:p>
            <w:pPr>
              <w:pStyle w:val="Normal"/>
              <w:jc w:val="center"/>
              <w:rPr/>
            </w:pPr>
            <w:r>
              <w:rPr/>
              <w:t>До 200</w:t>
            </w:r>
          </w:p>
        </w:tc>
        <w:tc>
          <w:tcPr>
            <w:tcW w:w="1174" w:type="dxa"/>
            <w:tcBorders>
              <w:left w:val="single" w:sz="8" w:space="0" w:color="000000"/>
            </w:tcBorders>
            <w:shd w:fill="FFFFFF" w:val="clear"/>
            <w:tcMar>
              <w:left w:w="0" w:type="dxa"/>
              <w:right w:w="0" w:type="dxa"/>
            </w:tcMar>
          </w:tcPr>
          <w:p>
            <w:pPr>
              <w:pStyle w:val="Normal"/>
              <w:jc w:val="center"/>
              <w:rPr/>
            </w:pPr>
            <w:r>
              <w:rPr/>
              <w:t>5,0</w:t>
            </w:r>
          </w:p>
        </w:tc>
        <w:tc>
          <w:tcPr>
            <w:tcW w:w="1171" w:type="dxa"/>
            <w:tcBorders>
              <w:left w:val="single" w:sz="8" w:space="0" w:color="000000"/>
            </w:tcBorders>
            <w:shd w:fill="FFFFFF" w:val="clear"/>
            <w:tcMar>
              <w:left w:w="0" w:type="dxa"/>
              <w:right w:w="0" w:type="dxa"/>
            </w:tcMar>
          </w:tcPr>
          <w:p>
            <w:pPr>
              <w:pStyle w:val="Normal"/>
              <w:jc w:val="center"/>
              <w:rPr/>
            </w:pPr>
            <w:r>
              <w:rPr/>
              <w:t>5,0</w:t>
            </w:r>
          </w:p>
        </w:tc>
        <w:tc>
          <w:tcPr>
            <w:tcW w:w="1172" w:type="dxa"/>
            <w:tcBorders>
              <w:left w:val="single" w:sz="8" w:space="0" w:color="000000"/>
            </w:tcBorders>
            <w:shd w:fill="FFFFFF" w:val="clear"/>
            <w:tcMar>
              <w:left w:w="0" w:type="dxa"/>
              <w:right w:w="0" w:type="dxa"/>
            </w:tcMar>
          </w:tcPr>
          <w:p>
            <w:pPr>
              <w:pStyle w:val="Normal"/>
              <w:jc w:val="center"/>
              <w:rPr/>
            </w:pPr>
            <w:r>
              <w:rPr/>
              <w:t>5,0</w:t>
            </w:r>
          </w:p>
        </w:tc>
        <w:tc>
          <w:tcPr>
            <w:tcW w:w="1171" w:type="dxa"/>
            <w:tcBorders>
              <w:left w:val="single" w:sz="8" w:space="0" w:color="000000"/>
            </w:tcBorders>
            <w:shd w:fill="FFFFFF" w:val="clear"/>
            <w:tcMar>
              <w:left w:w="0" w:type="dxa"/>
              <w:right w:w="0" w:type="dxa"/>
            </w:tcMar>
          </w:tcPr>
          <w:p>
            <w:pPr>
              <w:pStyle w:val="Normal"/>
              <w:jc w:val="center"/>
              <w:rPr/>
            </w:pPr>
            <w:r>
              <w:rPr/>
              <w:t>5,5</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311" w:type="dxa"/>
            <w:tcBorders>
              <w:left w:val="single" w:sz="8" w:space="0" w:color="000000"/>
            </w:tcBorders>
            <w:shd w:fill="FFFFFF" w:val="clear"/>
          </w:tcPr>
          <w:p>
            <w:pPr>
              <w:pStyle w:val="Normal"/>
              <w:jc w:val="center"/>
              <w:rPr/>
            </w:pPr>
            <w:r>
              <w:rPr/>
              <w:t>300</w:t>
            </w:r>
          </w:p>
        </w:tc>
        <w:tc>
          <w:tcPr>
            <w:tcW w:w="1174" w:type="dxa"/>
            <w:tcBorders>
              <w:left w:val="single" w:sz="8" w:space="0" w:color="000000"/>
            </w:tcBorders>
            <w:shd w:fill="FFFFFF" w:val="clear"/>
            <w:tcMar>
              <w:left w:w="0" w:type="dxa"/>
              <w:right w:w="0" w:type="dxa"/>
            </w:tcMar>
          </w:tcPr>
          <w:p>
            <w:pPr>
              <w:pStyle w:val="Normal"/>
              <w:jc w:val="center"/>
              <w:rPr/>
            </w:pPr>
            <w:r>
              <w:rPr/>
              <w:t>5,0</w:t>
            </w:r>
          </w:p>
        </w:tc>
        <w:tc>
          <w:tcPr>
            <w:tcW w:w="1171" w:type="dxa"/>
            <w:tcBorders>
              <w:left w:val="single" w:sz="8" w:space="0" w:color="000000"/>
            </w:tcBorders>
            <w:shd w:fill="FFFFFF" w:val="clear"/>
            <w:tcMar>
              <w:left w:w="0" w:type="dxa"/>
              <w:right w:w="0" w:type="dxa"/>
            </w:tcMar>
          </w:tcPr>
          <w:p>
            <w:pPr>
              <w:pStyle w:val="Normal"/>
              <w:jc w:val="center"/>
              <w:rPr/>
            </w:pPr>
            <w:r>
              <w:rPr/>
              <w:t>5,0</w:t>
            </w:r>
          </w:p>
        </w:tc>
        <w:tc>
          <w:tcPr>
            <w:tcW w:w="1172" w:type="dxa"/>
            <w:tcBorders>
              <w:left w:val="single" w:sz="8" w:space="0" w:color="000000"/>
            </w:tcBorders>
            <w:shd w:fill="FFFFFF" w:val="clear"/>
            <w:tcMar>
              <w:left w:w="0" w:type="dxa"/>
              <w:right w:w="0" w:type="dxa"/>
            </w:tcMar>
          </w:tcPr>
          <w:p>
            <w:pPr>
              <w:pStyle w:val="Normal"/>
              <w:jc w:val="center"/>
              <w:rPr/>
            </w:pPr>
            <w:r>
              <w:rPr/>
              <w:t>5,5</w:t>
            </w:r>
          </w:p>
        </w:tc>
        <w:tc>
          <w:tcPr>
            <w:tcW w:w="1171" w:type="dxa"/>
            <w:tcBorders>
              <w:left w:val="single" w:sz="8" w:space="0" w:color="000000"/>
            </w:tcBorders>
            <w:shd w:fill="FFFFFF" w:val="clear"/>
            <w:tcMar>
              <w:left w:w="0" w:type="dxa"/>
              <w:right w:w="0" w:type="dxa"/>
            </w:tcMar>
          </w:tcPr>
          <w:p>
            <w:pPr>
              <w:pStyle w:val="Normal"/>
              <w:jc w:val="center"/>
              <w:rPr/>
            </w:pPr>
            <w:r>
              <w:rPr/>
              <w:t>6,0</w:t>
            </w:r>
          </w:p>
        </w:tc>
        <w:tc>
          <w:tcPr>
            <w:tcW w:w="1172" w:type="dxa"/>
            <w:tcBorders>
              <w:left w:val="single" w:sz="8" w:space="0" w:color="000000"/>
            </w:tcBorders>
            <w:shd w:fill="FFFFFF" w:val="clear"/>
            <w:tcMar>
              <w:left w:w="0" w:type="dxa"/>
              <w:right w:w="0" w:type="dxa"/>
            </w:tcMar>
          </w:tcPr>
          <w:p>
            <w:pPr>
              <w:pStyle w:val="Normal"/>
              <w:jc w:val="center"/>
              <w:rPr/>
            </w:pPr>
            <w:r>
              <w:rPr/>
              <w:t>6,5</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7,0</w:t>
            </w:r>
          </w:p>
        </w:tc>
      </w:tr>
      <w:tr>
        <w:trPr/>
        <w:tc>
          <w:tcPr>
            <w:tcW w:w="2311" w:type="dxa"/>
            <w:tcBorders>
              <w:left w:val="single" w:sz="8" w:space="0" w:color="000000"/>
              <w:bottom w:val="single" w:sz="8" w:space="0" w:color="000000"/>
              <w:insideH w:val="single" w:sz="8" w:space="0" w:color="000000"/>
            </w:tcBorders>
            <w:shd w:fill="FFFFFF" w:val="clear"/>
          </w:tcPr>
          <w:p>
            <w:pPr>
              <w:pStyle w:val="Normal"/>
              <w:jc w:val="center"/>
              <w:rPr/>
            </w:pPr>
            <w:r>
              <w:rPr/>
              <w:t>450</w:t>
            </w:r>
          </w:p>
        </w:tc>
        <w:tc>
          <w:tcPr>
            <w:tcW w:w="11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8,0</w:t>
            </w:r>
          </w:p>
        </w:tc>
      </w:tr>
      <w:tr>
        <w:trPr/>
        <w:tc>
          <w:tcPr>
            <w:tcW w:w="9355" w:type="dxa"/>
            <w:gridSpan w:val="7"/>
            <w:tcBorders>
              <w:left w:val="single" w:sz="8" w:space="0" w:color="000000"/>
              <w:right w:val="single" w:sz="8" w:space="0" w:color="000000"/>
              <w:insideV w:val="single" w:sz="8" w:space="0" w:color="000000"/>
            </w:tcBorders>
            <w:shd w:fill="FFFFFF" w:val="clear"/>
          </w:tcPr>
          <w:p>
            <w:pPr>
              <w:pStyle w:val="Normal"/>
              <w:spacing w:before="120" w:after="120"/>
              <w:jc w:val="center"/>
              <w:rPr>
                <w:i/>
                <w:i/>
                <w:iCs/>
              </w:rPr>
            </w:pPr>
            <w:r>
              <w:rPr>
                <w:i/>
                <w:iCs/>
              </w:rPr>
              <w:t>При пересечении ВЛ 220 - 150 кВ между собой и с ВЛ более низкого напряжения</w:t>
            </w:r>
          </w:p>
        </w:tc>
      </w:tr>
      <w:tr>
        <w:trPr/>
        <w:tc>
          <w:tcPr>
            <w:tcW w:w="2311" w:type="dxa"/>
            <w:tcBorders>
              <w:left w:val="single" w:sz="8" w:space="0" w:color="000000"/>
            </w:tcBorders>
            <w:shd w:fill="FFFFFF" w:val="clear"/>
          </w:tcPr>
          <w:p>
            <w:pPr>
              <w:pStyle w:val="Normal"/>
              <w:jc w:val="center"/>
              <w:rPr/>
            </w:pPr>
            <w:r>
              <w:rPr/>
              <w:t>До 200</w:t>
            </w:r>
          </w:p>
        </w:tc>
        <w:tc>
          <w:tcPr>
            <w:tcW w:w="1174" w:type="dxa"/>
            <w:tcBorders>
              <w:left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tcBorders>
            <w:shd w:fill="FFFFFF" w:val="clear"/>
            <w:tcMar>
              <w:left w:w="0" w:type="dxa"/>
              <w:right w:w="0" w:type="dxa"/>
            </w:tcMar>
          </w:tcPr>
          <w:p>
            <w:pPr>
              <w:pStyle w:val="Normal"/>
              <w:jc w:val="center"/>
              <w:rPr/>
            </w:pPr>
            <w:r>
              <w:rPr/>
              <w:t>4</w:t>
            </w:r>
          </w:p>
        </w:tc>
        <w:tc>
          <w:tcPr>
            <w:tcW w:w="1172" w:type="dxa"/>
            <w:tcBorders>
              <w:left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tcBorders>
            <w:shd w:fill="FFFFFF" w:val="clear"/>
            <w:tcMar>
              <w:left w:w="0" w:type="dxa"/>
              <w:right w:w="0" w:type="dxa"/>
            </w:tcMar>
          </w:tcPr>
          <w:p>
            <w:pPr>
              <w:pStyle w:val="Normal"/>
              <w:jc w:val="center"/>
              <w:rPr/>
            </w:pPr>
            <w:r>
              <w:rPr/>
              <w:t>4</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311" w:type="dxa"/>
            <w:tcBorders>
              <w:left w:val="single" w:sz="8" w:space="0" w:color="000000"/>
            </w:tcBorders>
            <w:shd w:fill="FFFFFF" w:val="clear"/>
          </w:tcPr>
          <w:p>
            <w:pPr>
              <w:pStyle w:val="Normal"/>
              <w:jc w:val="center"/>
              <w:rPr/>
            </w:pPr>
            <w:r>
              <w:rPr/>
              <w:t>300</w:t>
            </w:r>
          </w:p>
        </w:tc>
        <w:tc>
          <w:tcPr>
            <w:tcW w:w="1174" w:type="dxa"/>
            <w:tcBorders>
              <w:left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tcBorders>
            <w:shd w:fill="FFFFFF" w:val="clear"/>
            <w:tcMar>
              <w:left w:w="0" w:type="dxa"/>
              <w:right w:w="0" w:type="dxa"/>
            </w:tcMar>
          </w:tcPr>
          <w:p>
            <w:pPr>
              <w:pStyle w:val="Normal"/>
              <w:jc w:val="center"/>
              <w:rPr/>
            </w:pPr>
            <w:r>
              <w:rPr/>
              <w:t>4</w:t>
            </w:r>
          </w:p>
        </w:tc>
        <w:tc>
          <w:tcPr>
            <w:tcW w:w="1172" w:type="dxa"/>
            <w:tcBorders>
              <w:left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tcBorders>
            <w:shd w:fill="FFFFFF" w:val="clear"/>
            <w:tcMar>
              <w:left w:w="0" w:type="dxa"/>
              <w:right w:w="0" w:type="dxa"/>
            </w:tcMar>
          </w:tcPr>
          <w:p>
            <w:pPr>
              <w:pStyle w:val="Normal"/>
              <w:jc w:val="center"/>
              <w:rPr/>
            </w:pPr>
            <w:r>
              <w:rPr/>
              <w:t>4,5</w:t>
            </w:r>
          </w:p>
        </w:tc>
        <w:tc>
          <w:tcPr>
            <w:tcW w:w="1172" w:type="dxa"/>
            <w:tcBorders>
              <w:left w:val="single" w:sz="8" w:space="0" w:color="000000"/>
            </w:tcBorders>
            <w:shd w:fill="FFFFFF" w:val="clear"/>
            <w:tcMar>
              <w:left w:w="0" w:type="dxa"/>
              <w:right w:w="0" w:type="dxa"/>
            </w:tcMar>
          </w:tcPr>
          <w:p>
            <w:pPr>
              <w:pStyle w:val="Normal"/>
              <w:jc w:val="center"/>
              <w:rPr/>
            </w:pPr>
            <w:r>
              <w:rPr/>
              <w:t>5</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w:t>
            </w:r>
          </w:p>
        </w:tc>
      </w:tr>
      <w:tr>
        <w:trPr/>
        <w:tc>
          <w:tcPr>
            <w:tcW w:w="2311" w:type="dxa"/>
            <w:tcBorders>
              <w:left w:val="single" w:sz="8" w:space="0" w:color="000000"/>
              <w:bottom w:val="single" w:sz="8" w:space="0" w:color="000000"/>
              <w:insideH w:val="single" w:sz="8" w:space="0" w:color="000000"/>
            </w:tcBorders>
            <w:shd w:fill="FFFFFF" w:val="clear"/>
          </w:tcPr>
          <w:p>
            <w:pPr>
              <w:pStyle w:val="Normal"/>
              <w:jc w:val="center"/>
              <w:rPr/>
            </w:pPr>
            <w:r>
              <w:rPr/>
              <w:t>450</w:t>
            </w:r>
          </w:p>
        </w:tc>
        <w:tc>
          <w:tcPr>
            <w:tcW w:w="11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7</w:t>
            </w:r>
          </w:p>
        </w:tc>
      </w:tr>
      <w:tr>
        <w:trPr/>
        <w:tc>
          <w:tcPr>
            <w:tcW w:w="9355" w:type="dxa"/>
            <w:gridSpan w:val="7"/>
            <w:tcBorders>
              <w:left w:val="single" w:sz="8" w:space="0" w:color="000000"/>
              <w:right w:val="single" w:sz="8" w:space="0" w:color="000000"/>
              <w:insideV w:val="single" w:sz="8" w:space="0" w:color="000000"/>
            </w:tcBorders>
            <w:shd w:fill="FFFFFF" w:val="clear"/>
          </w:tcPr>
          <w:p>
            <w:pPr>
              <w:pStyle w:val="Normal"/>
              <w:spacing w:before="120" w:after="120"/>
              <w:jc w:val="center"/>
              <w:rPr>
                <w:i/>
                <w:i/>
                <w:iCs/>
              </w:rPr>
            </w:pPr>
            <w:r>
              <w:rPr>
                <w:i/>
                <w:iCs/>
              </w:rPr>
              <w:t>При пересечении ВЛ 110 - 20 кВ между собой и с ВЛ более низкого напряжения</w:t>
            </w:r>
          </w:p>
        </w:tc>
      </w:tr>
      <w:tr>
        <w:trPr/>
        <w:tc>
          <w:tcPr>
            <w:tcW w:w="2311" w:type="dxa"/>
            <w:tcBorders>
              <w:left w:val="single" w:sz="8" w:space="0" w:color="000000"/>
            </w:tcBorders>
            <w:shd w:fill="FFFFFF" w:val="clear"/>
          </w:tcPr>
          <w:p>
            <w:pPr>
              <w:pStyle w:val="Normal"/>
              <w:jc w:val="center"/>
              <w:rPr/>
            </w:pPr>
            <w:r>
              <w:rPr/>
              <w:t>До 200</w:t>
            </w:r>
          </w:p>
        </w:tc>
        <w:tc>
          <w:tcPr>
            <w:tcW w:w="1174" w:type="dxa"/>
            <w:tcBorders>
              <w:left w:val="single" w:sz="8" w:space="0" w:color="000000"/>
            </w:tcBorders>
            <w:shd w:fill="FFFFFF" w:val="clear"/>
            <w:tcMar>
              <w:left w:w="0" w:type="dxa"/>
              <w:right w:w="0" w:type="dxa"/>
            </w:tcMar>
          </w:tcPr>
          <w:p>
            <w:pPr>
              <w:pStyle w:val="Normal"/>
              <w:jc w:val="center"/>
              <w:rPr/>
            </w:pPr>
            <w:r>
              <w:rPr/>
              <w:t>3</w:t>
            </w:r>
          </w:p>
        </w:tc>
        <w:tc>
          <w:tcPr>
            <w:tcW w:w="1171" w:type="dxa"/>
            <w:tcBorders>
              <w:left w:val="single" w:sz="8" w:space="0" w:color="000000"/>
            </w:tcBorders>
            <w:shd w:fill="FFFFFF" w:val="clear"/>
            <w:tcMar>
              <w:left w:w="0" w:type="dxa"/>
              <w:right w:w="0" w:type="dxa"/>
            </w:tcMar>
          </w:tcPr>
          <w:p>
            <w:pPr>
              <w:pStyle w:val="Normal"/>
              <w:jc w:val="center"/>
              <w:rPr/>
            </w:pPr>
            <w:r>
              <w:rPr/>
              <w:t>3</w:t>
            </w:r>
          </w:p>
        </w:tc>
        <w:tc>
          <w:tcPr>
            <w:tcW w:w="1172" w:type="dxa"/>
            <w:tcBorders>
              <w:left w:val="single" w:sz="8" w:space="0" w:color="000000"/>
            </w:tcBorders>
            <w:shd w:fill="FFFFFF" w:val="clear"/>
            <w:tcMar>
              <w:left w:w="0" w:type="dxa"/>
              <w:right w:w="0" w:type="dxa"/>
            </w:tcMar>
          </w:tcPr>
          <w:p>
            <w:pPr>
              <w:pStyle w:val="Normal"/>
              <w:jc w:val="center"/>
              <w:rPr/>
            </w:pPr>
            <w:r>
              <w:rPr/>
              <w:t>3</w:t>
            </w:r>
          </w:p>
        </w:tc>
        <w:tc>
          <w:tcPr>
            <w:tcW w:w="1171" w:type="dxa"/>
            <w:tcBorders>
              <w:left w:val="single" w:sz="8" w:space="0" w:color="000000"/>
            </w:tcBorders>
            <w:shd w:fill="FFFFFF" w:val="clear"/>
            <w:tcMar>
              <w:left w:w="0" w:type="dxa"/>
              <w:right w:w="0" w:type="dxa"/>
            </w:tcMar>
          </w:tcPr>
          <w:p>
            <w:pPr>
              <w:pStyle w:val="Normal"/>
              <w:jc w:val="center"/>
              <w:rPr/>
            </w:pPr>
            <w:r>
              <w:rPr/>
              <w:t>4</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311" w:type="dxa"/>
            <w:tcBorders>
              <w:left w:val="single" w:sz="8" w:space="0" w:color="000000"/>
              <w:bottom w:val="single" w:sz="8" w:space="0" w:color="000000"/>
              <w:insideH w:val="single" w:sz="8" w:space="0" w:color="000000"/>
            </w:tcBorders>
            <w:shd w:fill="FFFFFF" w:val="clear"/>
          </w:tcPr>
          <w:p>
            <w:pPr>
              <w:pStyle w:val="Normal"/>
              <w:jc w:val="center"/>
              <w:rPr/>
            </w:pPr>
            <w:r>
              <w:rPr/>
              <w:t>300</w:t>
            </w:r>
          </w:p>
        </w:tc>
        <w:tc>
          <w:tcPr>
            <w:tcW w:w="11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9355" w:type="dxa"/>
            <w:gridSpan w:val="7"/>
            <w:tcBorders>
              <w:left w:val="single" w:sz="8" w:space="0" w:color="000000"/>
              <w:right w:val="single" w:sz="8" w:space="0" w:color="000000"/>
              <w:insideV w:val="single" w:sz="8" w:space="0" w:color="000000"/>
            </w:tcBorders>
            <w:shd w:fill="FFFFFF" w:val="clear"/>
          </w:tcPr>
          <w:p>
            <w:pPr>
              <w:pStyle w:val="Normal"/>
              <w:spacing w:before="120" w:after="120"/>
              <w:jc w:val="center"/>
              <w:rPr>
                <w:i/>
                <w:i/>
                <w:iCs/>
              </w:rPr>
            </w:pPr>
            <w:r>
              <w:rPr>
                <w:i/>
                <w:iCs/>
              </w:rPr>
              <w:t>При пересечении ВЛ 10 кВ между собой и с ВЛ более низкого напряжения</w:t>
            </w:r>
          </w:p>
        </w:tc>
      </w:tr>
      <w:tr>
        <w:trPr/>
        <w:tc>
          <w:tcPr>
            <w:tcW w:w="2311" w:type="dxa"/>
            <w:tcBorders>
              <w:left w:val="single" w:sz="8" w:space="0" w:color="000000"/>
            </w:tcBorders>
            <w:shd w:fill="FFFFFF" w:val="clear"/>
          </w:tcPr>
          <w:p>
            <w:pPr>
              <w:pStyle w:val="Normal"/>
              <w:jc w:val="center"/>
              <w:rPr/>
            </w:pPr>
            <w:r>
              <w:rPr/>
              <w:t>До 100</w:t>
            </w:r>
          </w:p>
        </w:tc>
        <w:tc>
          <w:tcPr>
            <w:tcW w:w="1174" w:type="dxa"/>
            <w:tcBorders>
              <w:left w:val="single" w:sz="8" w:space="0" w:color="000000"/>
            </w:tcBorders>
            <w:shd w:fill="FFFFFF" w:val="clear"/>
            <w:tcMar>
              <w:left w:w="0" w:type="dxa"/>
              <w:right w:w="0" w:type="dxa"/>
            </w:tcMar>
          </w:tcPr>
          <w:p>
            <w:pPr>
              <w:pStyle w:val="Normal"/>
              <w:jc w:val="center"/>
              <w:rPr/>
            </w:pPr>
            <w:r>
              <w:rPr/>
              <w:t>2</w:t>
            </w:r>
          </w:p>
        </w:tc>
        <w:tc>
          <w:tcPr>
            <w:tcW w:w="1171" w:type="dxa"/>
            <w:tcBorders>
              <w:left w:val="single" w:sz="8" w:space="0" w:color="000000"/>
            </w:tcBorders>
            <w:shd w:fill="FFFFFF" w:val="clear"/>
            <w:tcMar>
              <w:left w:w="0" w:type="dxa"/>
              <w:right w:w="0" w:type="dxa"/>
            </w:tcMar>
          </w:tcPr>
          <w:p>
            <w:pPr>
              <w:pStyle w:val="Normal"/>
              <w:jc w:val="center"/>
              <w:rPr/>
            </w:pPr>
            <w:r>
              <w:rPr/>
              <w:t>2</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71" w:type="dxa"/>
            <w:tcBorders>
              <w:left w:val="single" w:sz="8" w:space="0" w:color="000000"/>
            </w:tcBorders>
            <w:shd w:fill="FFFFFF" w:val="clear"/>
            <w:tcMar>
              <w:left w:w="0" w:type="dxa"/>
              <w:right w:w="0" w:type="dxa"/>
            </w:tcMar>
          </w:tcPr>
          <w:p>
            <w:pPr>
              <w:pStyle w:val="Normal"/>
              <w:jc w:val="center"/>
              <w:rPr/>
            </w:pPr>
            <w:r>
              <w:rPr/>
              <w:t>-</w:t>
            </w:r>
          </w:p>
        </w:tc>
        <w:tc>
          <w:tcPr>
            <w:tcW w:w="1172" w:type="dxa"/>
            <w:tcBorders>
              <w:left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311" w:type="dxa"/>
            <w:tcBorders>
              <w:left w:val="single" w:sz="8" w:space="0" w:color="000000"/>
              <w:bottom w:val="single" w:sz="8" w:space="0" w:color="000000"/>
              <w:insideH w:val="single" w:sz="8" w:space="0" w:color="000000"/>
            </w:tcBorders>
            <w:shd w:fill="FFFFFF" w:val="clear"/>
          </w:tcPr>
          <w:p>
            <w:pPr>
              <w:pStyle w:val="Normal"/>
              <w:jc w:val="center"/>
              <w:rPr/>
            </w:pPr>
            <w:r>
              <w:rPr/>
              <w:t>150</w:t>
            </w:r>
          </w:p>
        </w:tc>
        <w:tc>
          <w:tcPr>
            <w:tcW w:w="11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1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0"/>
        <w:ind w:firstLine="283"/>
        <w:jc w:val="both"/>
        <w:rPr/>
      </w:pPr>
      <w:r>
        <w:rPr/>
        <w:t>Расстояние по вертикали между ближайшими проводами пересекающей ВЛЗ и пересекаемой ВЛИ при температуре воздуха плюс 15 °С без ветра должно быть не менее 1 м.</w:t>
      </w:r>
    </w:p>
    <w:p>
      <w:pPr>
        <w:pStyle w:val="Normal"/>
        <w:ind w:firstLine="283"/>
        <w:jc w:val="both"/>
        <w:rPr/>
      </w:pPr>
      <w:r>
        <w:rPr/>
        <w:t>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приведенных в табл. 2.5.24.</w:t>
      </w:r>
    </w:p>
    <w:p>
      <w:pPr>
        <w:pStyle w:val="Normal"/>
        <w:ind w:firstLine="283"/>
        <w:jc w:val="both"/>
        <w:rPr/>
      </w:pPr>
      <w:r>
        <w:rPr/>
        <w:t>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12 м при высшей температуре воздуха.</w:t>
      </w:r>
    </w:p>
    <w:p>
      <w:pPr>
        <w:pStyle w:val="Normal"/>
        <w:ind w:firstLine="283"/>
        <w:jc w:val="both"/>
        <w:rPr/>
      </w:pPr>
      <w:r>
        <w:rPr/>
        <w:t>2.5.228.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2.5.56,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 2.5.17 или 2.5.18 для условий наибольшего рабочего напряжения, температура воздуха для неотклоненных проводов принимается по 2.5.51.</w:t>
      </w:r>
    </w:p>
    <w:p>
      <w:pPr>
        <w:pStyle w:val="Normal"/>
        <w:ind w:firstLine="283"/>
        <w:jc w:val="both"/>
        <w:rPr/>
      </w:pPr>
      <w:r>
        <w:rPr/>
        <w:t>2.5.229.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 2.5.24.</w:t>
      </w:r>
    </w:p>
    <w:p>
      <w:pPr>
        <w:pStyle w:val="Normal"/>
        <w:ind w:firstLine="283"/>
        <w:jc w:val="both"/>
        <w:rPr/>
      </w:pPr>
      <w:r>
        <w:rPr/>
        <w:t>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двум стойкам опор до траверсы.</w:t>
      </w:r>
    </w:p>
    <w:p>
      <w:pPr>
        <w:pStyle w:val="Normal"/>
        <w:ind w:firstLine="284"/>
        <w:jc w:val="both"/>
        <w:rPr/>
      </w:pPr>
      <w:r>
        <w:rPr/>
        <w:t>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p>
      <w:pPr>
        <w:pStyle w:val="Normal"/>
        <w:ind w:firstLine="284"/>
        <w:jc w:val="both"/>
        <w:rPr/>
      </w:pPr>
      <w:r>
        <w:rPr/>
        <w:t>Если расстояние от места пересечения до ближайших опор пересекающихся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p>
      <w:pPr>
        <w:pStyle w:val="Normal"/>
        <w:ind w:firstLine="284"/>
        <w:jc w:val="both"/>
        <w:rPr/>
      </w:pPr>
      <w:r>
        <w:rPr/>
        <w:t>Установка защитных аппаратов на опорах пересечения не требуется:</w:t>
      </w:r>
    </w:p>
    <w:p>
      <w:pPr>
        <w:pStyle w:val="Normal"/>
        <w:ind w:firstLine="284"/>
        <w:jc w:val="both"/>
        <w:rPr/>
      </w:pPr>
      <w:r>
        <w:rPr/>
        <w:t>для ВЛ с металлическими и железобетонными опорами;</w:t>
      </w:r>
    </w:p>
    <w:p>
      <w:pPr>
        <w:pStyle w:val="Normal"/>
        <w:ind w:firstLine="284"/>
        <w:jc w:val="both"/>
        <w:rPr/>
      </w:pPr>
      <w:r>
        <w:rPr/>
        <w:t>для ВЛ с деревянными опорами при расстояниях между проводами пересекающихся ВЛ, не менее: 9 м - при напряжении 750 кВ; 7 м - при напряжении 330 -500 кВ; 6 м - при напряжении 150 - 220 кВ; 5 м - при напряжении 35 - 110 кВ; 4 м - при напряжении до 20 кВ.</w:t>
      </w:r>
    </w:p>
    <w:p>
      <w:pPr>
        <w:pStyle w:val="Normal"/>
        <w:ind w:firstLine="284"/>
        <w:jc w:val="both"/>
        <w:rPr/>
      </w:pPr>
      <w:r>
        <w:rPr/>
        <w:t>Сопротивления заземляющих устройств деревянных опор с защитными аппаратами должны приниматься в соответствии с табл. 2.5.19.</w:t>
      </w:r>
    </w:p>
    <w:p>
      <w:pPr>
        <w:pStyle w:val="Normal"/>
        <w:ind w:firstLine="284"/>
        <w:jc w:val="both"/>
        <w:rPr/>
      </w:pPr>
      <w:r>
        <w:rPr/>
        <w:t>2.5.230.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 2.5.25 и приниматься по ВЛ более высокого напряжения. Указанные расстояния подлежат дополнительной проверке:</w:t>
      </w:r>
    </w:p>
    <w:p>
      <w:pPr>
        <w:pStyle w:val="Normal"/>
        <w:ind w:firstLine="284"/>
        <w:jc w:val="both"/>
        <w:rPr/>
      </w:pPr>
      <w:r>
        <w:rPr/>
        <w:t>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p>
      <w:pPr>
        <w:pStyle w:val="Normal"/>
        <w:ind w:firstLine="284"/>
        <w:jc w:val="both"/>
        <w:rPr/>
      </w:pPr>
      <w:r>
        <w:rPr/>
        <w:t>2) на исключение возможности развития в отключенном положении ВЛ 500 - 750 кВ, оборудованных компенсирующими устройствами (шунтирующими реакторами, 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pPr>
        <w:pStyle w:val="Normal"/>
        <w:spacing w:before="120" w:after="120"/>
        <w:jc w:val="right"/>
        <w:rPr/>
      </w:pPr>
      <w:r>
        <w:rPr>
          <w:spacing w:val="40"/>
        </w:rPr>
        <w:t>Таблица</w:t>
      </w:r>
      <w:r>
        <w:rPr/>
        <w:t xml:space="preserve"> 2.5.25</w:t>
      </w:r>
    </w:p>
    <w:p>
      <w:pPr>
        <w:pStyle w:val="Normal"/>
        <w:spacing w:before="0" w:after="120"/>
        <w:jc w:val="center"/>
        <w:rPr>
          <w:b/>
          <w:b/>
          <w:bCs/>
        </w:rPr>
      </w:pPr>
      <w:r>
        <w:rPr>
          <w:b/>
          <w:bCs/>
        </w:rPr>
        <w:t>Наименьшее расстояние по горизонтали между ВЛ</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378"/>
        <w:gridCol w:w="678"/>
        <w:gridCol w:w="677"/>
        <w:gridCol w:w="680"/>
        <w:gridCol w:w="677"/>
        <w:gridCol w:w="678"/>
        <w:gridCol w:w="679"/>
        <w:gridCol w:w="677"/>
        <w:gridCol w:w="680"/>
        <w:gridCol w:w="551"/>
      </w:tblGrid>
      <w:tr>
        <w:trPr>
          <w:tblHeader w:val="true"/>
        </w:trPr>
        <w:tc>
          <w:tcPr>
            <w:tcW w:w="337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Участки ВЛ и расстояния</w:t>
            </w:r>
          </w:p>
        </w:tc>
        <w:tc>
          <w:tcPr>
            <w:tcW w:w="5977" w:type="dxa"/>
            <w:gridSpan w:val="9"/>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337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678"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68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67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67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68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750</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ВЛЗ</w:t>
            </w:r>
          </w:p>
        </w:tc>
      </w:tr>
      <w:tr>
        <w:trPr/>
        <w:tc>
          <w:tcPr>
            <w:tcW w:w="3378" w:type="dxa"/>
            <w:tcBorders>
              <w:left w:val="single" w:sz="8" w:space="0" w:color="000000"/>
              <w:bottom w:val="single" w:sz="8" w:space="0" w:color="000000"/>
              <w:insideH w:val="single" w:sz="8" w:space="0" w:color="000000"/>
            </w:tcBorders>
            <w:shd w:fill="FFFFFF" w:val="clear"/>
          </w:tcPr>
          <w:p>
            <w:pPr>
              <w:pStyle w:val="Normal"/>
              <w:jc w:val="both"/>
              <w:rPr/>
            </w:pPr>
            <w:r>
              <w:rPr/>
              <w:t>Участки нестесненной трассы, между</w:t>
            </w:r>
          </w:p>
        </w:tc>
        <w:tc>
          <w:tcPr>
            <w:tcW w:w="5426" w:type="dxa"/>
            <w:gridSpan w:val="8"/>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Высота наиболее высокой опоры</w:t>
            </w:r>
            <w:r>
              <w:rPr>
                <w:vertAlign w:val="superscript"/>
              </w:rPr>
              <w:t>*</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w:t>
            </w:r>
          </w:p>
        </w:tc>
      </w:tr>
      <w:tr>
        <w:trPr/>
        <w:tc>
          <w:tcPr>
            <w:tcW w:w="3378" w:type="dxa"/>
            <w:tcBorders>
              <w:left w:val="single" w:sz="8" w:space="0" w:color="000000"/>
            </w:tcBorders>
            <w:shd w:fill="FFFFFF" w:val="clear"/>
          </w:tcPr>
          <w:p>
            <w:pPr>
              <w:pStyle w:val="Normal"/>
              <w:jc w:val="both"/>
              <w:rPr/>
            </w:pPr>
            <w:r>
              <w:rPr/>
              <w:t>Участки стесненной трассы, подходы к подстанциям:</w:t>
            </w:r>
          </w:p>
        </w:tc>
        <w:tc>
          <w:tcPr>
            <w:tcW w:w="678" w:type="dxa"/>
            <w:tcBorders>
              <w:left w:val="single" w:sz="8" w:space="0" w:color="000000"/>
            </w:tcBorders>
            <w:shd w:fill="FFFFFF" w:val="clear"/>
            <w:tcMar>
              <w:left w:w="0" w:type="dxa"/>
              <w:right w:w="0" w:type="dxa"/>
            </w:tcMar>
          </w:tcPr>
          <w:p>
            <w:pPr>
              <w:pStyle w:val="Normal"/>
              <w:snapToGrid w:val="false"/>
              <w:rPr/>
            </w:pPr>
            <w:r>
              <w:rPr/>
            </w:r>
          </w:p>
        </w:tc>
        <w:tc>
          <w:tcPr>
            <w:tcW w:w="677" w:type="dxa"/>
            <w:tcBorders>
              <w:left w:val="single" w:sz="8" w:space="0" w:color="000000"/>
            </w:tcBorders>
            <w:shd w:fill="FFFFFF" w:val="clear"/>
            <w:tcMar>
              <w:left w:w="0" w:type="dxa"/>
              <w:right w:w="0" w:type="dxa"/>
            </w:tcMar>
          </w:tcPr>
          <w:p>
            <w:pPr>
              <w:pStyle w:val="Normal"/>
              <w:snapToGrid w:val="false"/>
              <w:rPr/>
            </w:pPr>
            <w:r>
              <w:rPr/>
            </w:r>
          </w:p>
        </w:tc>
        <w:tc>
          <w:tcPr>
            <w:tcW w:w="680" w:type="dxa"/>
            <w:tcBorders>
              <w:left w:val="single" w:sz="8" w:space="0" w:color="000000"/>
            </w:tcBorders>
            <w:shd w:fill="FFFFFF" w:val="clear"/>
            <w:tcMar>
              <w:left w:w="0" w:type="dxa"/>
              <w:right w:w="0" w:type="dxa"/>
            </w:tcMar>
          </w:tcPr>
          <w:p>
            <w:pPr>
              <w:pStyle w:val="Normal"/>
              <w:snapToGrid w:val="false"/>
              <w:rPr/>
            </w:pPr>
            <w:r>
              <w:rPr/>
            </w:r>
          </w:p>
        </w:tc>
        <w:tc>
          <w:tcPr>
            <w:tcW w:w="677" w:type="dxa"/>
            <w:tcBorders>
              <w:left w:val="single" w:sz="8" w:space="0" w:color="000000"/>
            </w:tcBorders>
            <w:shd w:fill="FFFFFF" w:val="clear"/>
            <w:tcMar>
              <w:left w:w="0" w:type="dxa"/>
              <w:right w:w="0" w:type="dxa"/>
            </w:tcMar>
          </w:tcPr>
          <w:p>
            <w:pPr>
              <w:pStyle w:val="Normal"/>
              <w:snapToGrid w:val="false"/>
              <w:rPr/>
            </w:pPr>
            <w:r>
              <w:rPr/>
            </w:r>
          </w:p>
        </w:tc>
        <w:tc>
          <w:tcPr>
            <w:tcW w:w="678" w:type="dxa"/>
            <w:tcBorders>
              <w:left w:val="single" w:sz="8" w:space="0" w:color="000000"/>
            </w:tcBorders>
            <w:shd w:fill="FFFFFF" w:val="clear"/>
            <w:tcMar>
              <w:left w:w="0" w:type="dxa"/>
              <w:right w:w="0" w:type="dxa"/>
            </w:tcMar>
          </w:tcPr>
          <w:p>
            <w:pPr>
              <w:pStyle w:val="Normal"/>
              <w:snapToGrid w:val="false"/>
              <w:rPr/>
            </w:pPr>
            <w:r>
              <w:rPr/>
            </w:r>
          </w:p>
        </w:tc>
        <w:tc>
          <w:tcPr>
            <w:tcW w:w="679" w:type="dxa"/>
            <w:tcBorders>
              <w:left w:val="single" w:sz="8" w:space="0" w:color="000000"/>
            </w:tcBorders>
            <w:shd w:fill="FFFFFF" w:val="clear"/>
            <w:tcMar>
              <w:left w:w="0" w:type="dxa"/>
              <w:right w:w="0" w:type="dxa"/>
            </w:tcMar>
          </w:tcPr>
          <w:p>
            <w:pPr>
              <w:pStyle w:val="Normal"/>
              <w:snapToGrid w:val="false"/>
              <w:rPr/>
            </w:pPr>
            <w:r>
              <w:rPr/>
            </w:r>
          </w:p>
        </w:tc>
        <w:tc>
          <w:tcPr>
            <w:tcW w:w="677" w:type="dxa"/>
            <w:tcBorders>
              <w:left w:val="single" w:sz="8" w:space="0" w:color="000000"/>
            </w:tcBorders>
            <w:shd w:fill="FFFFFF" w:val="clear"/>
            <w:tcMar>
              <w:left w:w="0" w:type="dxa"/>
              <w:right w:w="0" w:type="dxa"/>
            </w:tcMar>
          </w:tcPr>
          <w:p>
            <w:pPr>
              <w:pStyle w:val="Normal"/>
              <w:snapToGrid w:val="false"/>
              <w:rPr/>
            </w:pPr>
            <w:r>
              <w:rPr/>
            </w:r>
          </w:p>
        </w:tc>
        <w:tc>
          <w:tcPr>
            <w:tcW w:w="680" w:type="dxa"/>
            <w:tcBorders>
              <w:left w:val="single" w:sz="8" w:space="0" w:color="000000"/>
            </w:tcBorders>
            <w:shd w:fill="FFFFFF" w:val="clear"/>
            <w:tcMar>
              <w:left w:w="0" w:type="dxa"/>
              <w:right w:w="0" w:type="dxa"/>
            </w:tcMar>
          </w:tcPr>
          <w:p>
            <w:pPr>
              <w:pStyle w:val="Normal"/>
              <w:snapToGrid w:val="false"/>
              <w:rPr/>
            </w:pPr>
            <w:r>
              <w:rPr/>
            </w:r>
          </w:p>
        </w:tc>
        <w:tc>
          <w:tcPr>
            <w:tcW w:w="55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378" w:type="dxa"/>
            <w:tcBorders>
              <w:left w:val="single" w:sz="8" w:space="0" w:color="000000"/>
            </w:tcBorders>
            <w:shd w:fill="FFFFFF" w:val="clear"/>
          </w:tcPr>
          <w:p>
            <w:pPr>
              <w:pStyle w:val="Normal"/>
              <w:jc w:val="both"/>
              <w:rPr/>
            </w:pPr>
            <w:r>
              <w:rPr/>
              <w:t>между крайними проводами в неотклоненном положении;</w:t>
            </w:r>
          </w:p>
        </w:tc>
        <w:tc>
          <w:tcPr>
            <w:tcW w:w="678" w:type="dxa"/>
            <w:tcBorders>
              <w:left w:val="single" w:sz="8" w:space="0" w:color="000000"/>
            </w:tcBorders>
            <w:shd w:fill="FFFFFF" w:val="clear"/>
            <w:tcMar>
              <w:left w:w="0" w:type="dxa"/>
              <w:right w:w="0" w:type="dxa"/>
            </w:tcMar>
          </w:tcPr>
          <w:p>
            <w:pPr>
              <w:pStyle w:val="Normal"/>
              <w:jc w:val="center"/>
              <w:rPr/>
            </w:pPr>
            <w:r>
              <w:rPr/>
              <w:t>2,5</w:t>
            </w:r>
          </w:p>
        </w:tc>
        <w:tc>
          <w:tcPr>
            <w:tcW w:w="677" w:type="dxa"/>
            <w:tcBorders>
              <w:left w:val="single" w:sz="8" w:space="0" w:color="000000"/>
            </w:tcBorders>
            <w:shd w:fill="FFFFFF" w:val="clear"/>
            <w:tcMar>
              <w:left w:w="0" w:type="dxa"/>
              <w:right w:w="0" w:type="dxa"/>
            </w:tcMar>
          </w:tcPr>
          <w:p>
            <w:pPr>
              <w:pStyle w:val="Normal"/>
              <w:jc w:val="center"/>
              <w:rPr/>
            </w:pPr>
            <w:r>
              <w:rPr/>
              <w:t>4</w:t>
            </w:r>
          </w:p>
        </w:tc>
        <w:tc>
          <w:tcPr>
            <w:tcW w:w="680" w:type="dxa"/>
            <w:tcBorders>
              <w:left w:val="single" w:sz="8" w:space="0" w:color="000000"/>
            </w:tcBorders>
            <w:shd w:fill="FFFFFF" w:val="clear"/>
            <w:tcMar>
              <w:left w:w="0" w:type="dxa"/>
              <w:right w:w="0" w:type="dxa"/>
            </w:tcMar>
          </w:tcPr>
          <w:p>
            <w:pPr>
              <w:pStyle w:val="Normal"/>
              <w:jc w:val="center"/>
              <w:rPr/>
            </w:pPr>
            <w:r>
              <w:rPr/>
              <w:t>5</w:t>
            </w:r>
          </w:p>
        </w:tc>
        <w:tc>
          <w:tcPr>
            <w:tcW w:w="677" w:type="dxa"/>
            <w:tcBorders>
              <w:left w:val="single" w:sz="8" w:space="0" w:color="000000"/>
            </w:tcBorders>
            <w:shd w:fill="FFFFFF" w:val="clear"/>
            <w:tcMar>
              <w:left w:w="0" w:type="dxa"/>
              <w:right w:w="0" w:type="dxa"/>
            </w:tcMar>
          </w:tcPr>
          <w:p>
            <w:pPr>
              <w:pStyle w:val="Normal"/>
              <w:jc w:val="center"/>
              <w:rPr/>
            </w:pPr>
            <w:r>
              <w:rPr/>
              <w:t>6</w:t>
            </w:r>
          </w:p>
        </w:tc>
        <w:tc>
          <w:tcPr>
            <w:tcW w:w="678" w:type="dxa"/>
            <w:tcBorders>
              <w:left w:val="single" w:sz="8" w:space="0" w:color="000000"/>
            </w:tcBorders>
            <w:shd w:fill="FFFFFF" w:val="clear"/>
            <w:tcMar>
              <w:left w:w="0" w:type="dxa"/>
              <w:right w:w="0" w:type="dxa"/>
            </w:tcMar>
          </w:tcPr>
          <w:p>
            <w:pPr>
              <w:pStyle w:val="Normal"/>
              <w:jc w:val="center"/>
              <w:rPr/>
            </w:pPr>
            <w:r>
              <w:rPr/>
              <w:t>7</w:t>
            </w:r>
          </w:p>
        </w:tc>
        <w:tc>
          <w:tcPr>
            <w:tcW w:w="679" w:type="dxa"/>
            <w:tcBorders>
              <w:left w:val="single" w:sz="8" w:space="0" w:color="000000"/>
            </w:tcBorders>
            <w:shd w:fill="FFFFFF" w:val="clear"/>
            <w:tcMar>
              <w:left w:w="0" w:type="dxa"/>
              <w:right w:w="0" w:type="dxa"/>
            </w:tcMar>
          </w:tcPr>
          <w:p>
            <w:pPr>
              <w:pStyle w:val="Normal"/>
              <w:jc w:val="center"/>
              <w:rPr/>
            </w:pPr>
            <w:r>
              <w:rPr/>
              <w:t>10</w:t>
            </w:r>
          </w:p>
        </w:tc>
        <w:tc>
          <w:tcPr>
            <w:tcW w:w="677" w:type="dxa"/>
            <w:tcBorders>
              <w:left w:val="single" w:sz="8" w:space="0" w:color="000000"/>
            </w:tcBorders>
            <w:shd w:fill="FFFFFF" w:val="clear"/>
            <w:tcMar>
              <w:left w:w="0" w:type="dxa"/>
              <w:right w:w="0" w:type="dxa"/>
            </w:tcMar>
          </w:tcPr>
          <w:p>
            <w:pPr>
              <w:pStyle w:val="Normal"/>
              <w:jc w:val="center"/>
              <w:rPr/>
            </w:pPr>
            <w:r>
              <w:rPr/>
              <w:t>15</w:t>
            </w:r>
          </w:p>
        </w:tc>
        <w:tc>
          <w:tcPr>
            <w:tcW w:w="680" w:type="dxa"/>
            <w:tcBorders>
              <w:left w:val="single" w:sz="8" w:space="0" w:color="000000"/>
            </w:tcBorders>
            <w:shd w:fill="FFFFFF" w:val="clear"/>
            <w:tcMar>
              <w:left w:w="0" w:type="dxa"/>
              <w:right w:w="0" w:type="dxa"/>
            </w:tcMar>
          </w:tcPr>
          <w:p>
            <w:pPr>
              <w:pStyle w:val="Normal"/>
              <w:jc w:val="center"/>
              <w:rPr/>
            </w:pPr>
            <w:r>
              <w:rPr/>
              <w:t>20</w:t>
            </w:r>
            <w:r>
              <w:rPr>
                <w:vertAlign w:val="superscript"/>
              </w:rPr>
              <w:t>**</w:t>
            </w:r>
          </w:p>
        </w:tc>
        <w:tc>
          <w:tcPr>
            <w:tcW w:w="55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w:t>
            </w:r>
          </w:p>
        </w:tc>
      </w:tr>
      <w:tr>
        <w:trPr/>
        <w:tc>
          <w:tcPr>
            <w:tcW w:w="3378" w:type="dxa"/>
            <w:tcBorders>
              <w:left w:val="single" w:sz="8" w:space="0" w:color="000000"/>
              <w:bottom w:val="single" w:sz="8" w:space="0" w:color="000000"/>
              <w:insideH w:val="single" w:sz="8" w:space="0" w:color="000000"/>
            </w:tcBorders>
            <w:shd w:fill="FFFFFF" w:val="clear"/>
          </w:tcPr>
          <w:p>
            <w:pPr>
              <w:pStyle w:val="Normal"/>
              <w:jc w:val="both"/>
              <w:rPr/>
            </w:pPr>
            <w:r>
              <w:rPr/>
              <w:t>от отклоненных проводов одной ВЛ до ближайших частей опор другой ВЛ</w:t>
            </w:r>
          </w:p>
        </w:tc>
        <w:tc>
          <w:tcPr>
            <w:tcW w:w="6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6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6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6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w:t>
            </w:r>
          </w:p>
        </w:tc>
        <w:tc>
          <w:tcPr>
            <w:tcW w:w="67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5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w:t>
            </w:r>
          </w:p>
        </w:tc>
      </w:tr>
    </w:tbl>
    <w:p>
      <w:pPr>
        <w:pStyle w:val="Normal"/>
        <w:spacing w:before="120" w:after="0"/>
        <w:ind w:firstLine="283"/>
        <w:jc w:val="both"/>
        <w:rPr/>
      </w:pPr>
      <w:r>
        <w:rPr>
          <w:vertAlign w:val="superscript"/>
        </w:rPr>
        <w:t>*</w:t>
      </w:r>
      <w:r>
        <w:rPr/>
        <w:t xml:space="preserve"> Не менее 50 м для ВЛ 500 кВ и не менее 75 м для ВЛ 750 кВ.</w:t>
      </w:r>
    </w:p>
    <w:p>
      <w:pPr>
        <w:pStyle w:val="Normal"/>
        <w:ind w:left="284" w:hanging="0"/>
        <w:jc w:val="both"/>
        <w:rPr/>
      </w:pPr>
      <w:r>
        <w:rPr>
          <w:vertAlign w:val="superscript"/>
        </w:rPr>
        <w:t>**</w:t>
      </w:r>
      <w:r>
        <w:rPr/>
        <w:t xml:space="preserve"> Для двух и более ВЛ 750 кВ фазировка смежных крайних фаз должна быть разноименной.</w:t>
      </w:r>
    </w:p>
    <w:p>
      <w:pPr>
        <w:pStyle w:val="Heading3"/>
        <w:rPr/>
      </w:pPr>
      <w:r>
        <w:rPr/>
        <w:t>ПЕРЕСЕЧЕНИЕ И СБЛИЖЕНИЕ ВЛ С СООРУЖЕНИЯМИ СВЯЗИ, СИГНАЛИЗАЦИИ И ПРОВОДНОГО ВЕЩАНИЯ</w:t>
      </w:r>
    </w:p>
    <w:p>
      <w:pPr>
        <w:pStyle w:val="Normal"/>
        <w:ind w:firstLine="284"/>
        <w:jc w:val="both"/>
        <w:rPr/>
      </w:pPr>
      <w:r>
        <w:rPr/>
        <w:t>2.5.231. Пересечение ВЛ напряжением до 35 кВ с ЛС и ЛПВ должно быть выполнено по одному из следующих вариантов:</w:t>
      </w:r>
    </w:p>
    <w:p>
      <w:pPr>
        <w:pStyle w:val="Normal"/>
        <w:ind w:firstLine="284"/>
        <w:jc w:val="both"/>
        <w:rPr/>
      </w:pPr>
      <w:r>
        <w:rPr/>
        <w:t>1) проводами ВЛ и подземным кабелем ЛС</w:t>
      </w:r>
      <w:r>
        <w:rPr>
          <w:vertAlign w:val="superscript"/>
        </w:rPr>
        <w:t>*</w:t>
      </w:r>
      <w:r>
        <w:rPr/>
        <w:t xml:space="preserve"> и ЛПВ;</w:t>
      </w:r>
    </w:p>
    <w:p>
      <w:pPr>
        <w:pStyle w:val="Normal"/>
        <w:ind w:firstLine="284"/>
        <w:jc w:val="both"/>
        <w:rPr/>
      </w:pPr>
      <w:r>
        <w:rPr/>
        <w:t>2) проводами ВЛ и воздушным кабелем ЛС и ЛПВ;</w:t>
      </w:r>
    </w:p>
    <w:p>
      <w:pPr>
        <w:pStyle w:val="Normal"/>
        <w:ind w:firstLine="284"/>
        <w:jc w:val="both"/>
        <w:rPr/>
      </w:pPr>
      <w:r>
        <w:rPr/>
        <w:t>3) подземной кабельной вставкой в ВЛ и неизолированными проводами ЛС и ЛПВ;</w:t>
      </w:r>
    </w:p>
    <w:p>
      <w:pPr>
        <w:pStyle w:val="Normal"/>
        <w:ind w:firstLine="284"/>
        <w:jc w:val="both"/>
        <w:rPr/>
      </w:pPr>
      <w:r>
        <w:rPr/>
        <w:t>4) проводами ВЛ и неизолированными проводами ЛС и ЛПВ.</w:t>
      </w:r>
    </w:p>
    <w:p>
      <w:pPr>
        <w:pStyle w:val="Normal"/>
        <w:spacing w:before="120" w:after="0"/>
        <w:ind w:firstLine="283"/>
        <w:jc w:val="both"/>
        <w:rPr/>
      </w:pPr>
      <w:r>
        <w:rPr>
          <w:vertAlign w:val="superscript"/>
        </w:rPr>
        <w:t>*</w:t>
      </w:r>
      <w:r>
        <w:rPr/>
        <w:t xml:space="preserve"> В данной главе к кабелям связи относятся металлические и оптические кабели с металлическими элементами.</w:t>
      </w:r>
    </w:p>
    <w:p>
      <w:pPr>
        <w:pStyle w:val="Normal"/>
        <w:spacing w:before="120" w:after="0"/>
        <w:ind w:firstLine="283"/>
        <w:jc w:val="both"/>
        <w:rPr/>
      </w:pPr>
      <w:r>
        <w:rPr/>
        <w:t>2.5.232. Пересечение ВЛ напряжением до 35 кВ с неизолированными проводами ЛС и ЛПВ может применяться в следующих случаях:</w:t>
      </w:r>
    </w:p>
    <w:p>
      <w:pPr>
        <w:pStyle w:val="Normal"/>
        <w:ind w:firstLine="283"/>
        <w:jc w:val="both"/>
        <w:rPr/>
      </w:pPr>
      <w:r>
        <w:rPr/>
        <w:t>1) если невозможно проложить ни подземный кабель ЛС и ЛПВ, ни кабель ВЛ;</w:t>
      </w:r>
    </w:p>
    <w:p>
      <w:pPr>
        <w:pStyle w:val="Normal"/>
        <w:ind w:firstLine="283"/>
        <w:jc w:val="both"/>
        <w:rPr/>
      </w:pPr>
      <w:r>
        <w:rP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pPr>
        <w:pStyle w:val="Normal"/>
        <w:ind w:firstLine="283"/>
        <w:jc w:val="both"/>
        <w:rPr/>
      </w:pPr>
      <w:r>
        <w:rPr/>
        <w:t>3) если при применении кабельной вставки в ЛПВ общая длина кабельных вставок в линию превышает допустимые значения;</w:t>
      </w:r>
    </w:p>
    <w:p>
      <w:pPr>
        <w:pStyle w:val="Normal"/>
        <w:ind w:firstLine="283"/>
        <w:jc w:val="both"/>
        <w:rPr/>
      </w:pPr>
      <w:r>
        <w:rPr/>
        <w:t xml:space="preserve">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 </w:t>
      </w:r>
      <w:r>
        <w:rPr>
          <w:color w:val="000000"/>
        </w:rPr>
        <w:t>2.5.240</w:t>
      </w:r>
      <w:r>
        <w:rPr/>
        <w:t>).</w:t>
      </w:r>
    </w:p>
    <w:p>
      <w:pPr>
        <w:pStyle w:val="Normal"/>
        <w:ind w:firstLine="283"/>
        <w:jc w:val="both"/>
        <w:rPr/>
      </w:pPr>
      <w:r>
        <w:rPr/>
        <w:t>2.5.233. Пересечение ВЛ 110 - 500 кВ с ЛС и ЛПВ должно быть выполнено по одному из следующих вариантов:</w:t>
      </w:r>
    </w:p>
    <w:p>
      <w:pPr>
        <w:pStyle w:val="Normal"/>
        <w:ind w:firstLine="283"/>
        <w:jc w:val="both"/>
        <w:rPr/>
      </w:pPr>
      <w:r>
        <w:rPr/>
        <w:t>1) проводами ВЛ и подземным кабелем ЛС и ЛПВ;</w:t>
      </w:r>
    </w:p>
    <w:p>
      <w:pPr>
        <w:pStyle w:val="Normal"/>
        <w:ind w:firstLine="283"/>
        <w:jc w:val="both"/>
        <w:rPr/>
      </w:pPr>
      <w:r>
        <w:rPr/>
        <w:t>2) проводами ВЛ и неизолированными проводами ЛС и ЛПВ.</w:t>
      </w:r>
    </w:p>
    <w:p>
      <w:pPr>
        <w:pStyle w:val="Normal"/>
        <w:ind w:firstLine="283"/>
        <w:jc w:val="both"/>
        <w:rPr/>
      </w:pPr>
      <w:r>
        <w:rPr/>
        <w:t>2.5.234. Пересечение ВЛ 750 кВ с ЛС и ЛПВ выполняется подземным кабелем ЛС и ЛПВ. При 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проводов ВЛ должно быть не менее 30 м.</w:t>
      </w:r>
    </w:p>
    <w:p>
      <w:pPr>
        <w:pStyle w:val="Normal"/>
        <w:ind w:firstLine="283"/>
        <w:jc w:val="both"/>
        <w:rPr/>
      </w:pPr>
      <w:r>
        <w:rPr/>
        <w:t>2.5.235. При пересечении ВЛ 110 - 500 кВ с воздушными проводами ЛС и ЛПВ применять кабельные вставки не следует, если:</w:t>
      </w:r>
    </w:p>
    <w:p>
      <w:pPr>
        <w:pStyle w:val="Normal"/>
        <w:ind w:firstLine="283"/>
        <w:jc w:val="both"/>
        <w:rPr/>
      </w:pPr>
      <w:r>
        <w:rPr/>
        <w:t>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p>
      <w:pPr>
        <w:pStyle w:val="Normal"/>
        <w:ind w:firstLine="283"/>
        <w:jc w:val="both"/>
        <w:rPr/>
      </w:pPr>
      <w:r>
        <w:rPr/>
        <w:t>2) применение кабельной вставки в ЛПВ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ЛПВ сверх допустимого значения.</w:t>
      </w:r>
    </w:p>
    <w:p>
      <w:pPr>
        <w:pStyle w:val="Normal"/>
        <w:ind w:firstLine="283"/>
        <w:jc w:val="both"/>
        <w:rPr/>
      </w:pPr>
      <w:r>
        <w:rPr/>
        <w:t>2.5.236. 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аппаратурой ЛС и ЛПВ спектре частот и имеющей мощность на один канал:</w:t>
      </w:r>
    </w:p>
    <w:p>
      <w:pPr>
        <w:pStyle w:val="Normal"/>
        <w:ind w:firstLine="283"/>
        <w:jc w:val="both"/>
        <w:rPr/>
      </w:pPr>
      <w:r>
        <w:rPr/>
        <w:t>1) 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ЛПВ до проекции крайнего провода ВЛ на горизонтальную плоскость должно быть не менее 100 м;</w:t>
      </w:r>
    </w:p>
    <w:p>
      <w:pPr>
        <w:pStyle w:val="Normal"/>
        <w:ind w:firstLine="283"/>
        <w:jc w:val="both"/>
        <w:rPr/>
      </w:pPr>
      <w:r>
        <w:rPr/>
        <w:t>2) от 5 до 10 Вт - необходимость применения кабельной вставки в ЛС и ЛПВ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20 м, а от неотклоненных проводов ВЛ 750 кВ до вершин кабельных опор ЛС и ЛПВ - не менее 30 м;</w:t>
      </w:r>
    </w:p>
    <w:p>
      <w:pPr>
        <w:pStyle w:val="Normal"/>
        <w:ind w:firstLine="283"/>
        <w:jc w:val="both"/>
        <w:rPr/>
      </w:pPr>
      <w:r>
        <w:rPr/>
        <w:t>3) 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кабельная вставка в ЛС и ЛПВ оборудуется не по условиям мешающего влияния от 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 должно быть не менее 15 м. Для ВЛ 500 кВ расстояние в свету от крайних неотклоненных проводов ВЛ до вершины кабельных опор ЛС и ЛПВ должно быть не менее 20 м, а для ВЛ 750 кВ - не менее 30 м.</w:t>
      </w:r>
    </w:p>
    <w:p>
      <w:pPr>
        <w:pStyle w:val="Normal"/>
        <w:ind w:firstLine="283"/>
        <w:jc w:val="both"/>
        <w:rPr/>
      </w:pPr>
      <w:r>
        <w:rPr/>
        <w:t>2.5.237.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p>
      <w:pPr>
        <w:pStyle w:val="Normal"/>
        <w:ind w:firstLine="283"/>
        <w:jc w:val="both"/>
        <w:rPr/>
      </w:pPr>
      <w:r>
        <w:rPr/>
        <w:t>2.5.238. При пересечении ВЛ с подземным кабелем связи и ПВ (или с подземной кабельной вставкой) должны соблюдаться следующие требования:</w:t>
      </w:r>
    </w:p>
    <w:p>
      <w:pPr>
        <w:pStyle w:val="Normal"/>
        <w:ind w:firstLine="283"/>
        <w:jc w:val="both"/>
        <w:rPr/>
      </w:pPr>
      <w:r>
        <w:rPr/>
        <w:t>1) угол пересечения ВЛ до 500 кВ с ЛС и ЛПВ не нормируется, угол пересечения ВЛ 750 кВ с ЛС и ЛПВ должен быть по возможности близок к 90°, но не менее 45°;</w:t>
      </w:r>
    </w:p>
    <w:p>
      <w:pPr>
        <w:pStyle w:val="Normal"/>
        <w:ind w:firstLine="283"/>
        <w:jc w:val="both"/>
        <w:rPr/>
      </w:pPr>
      <w:r>
        <w:rPr/>
        <w:t>2) расстояние от подземных кабелей ЛС и ЛПВ до ближайшего заземлителя опоры ВЛ напряжением до 35 кВ или ее подземной металлической или железобетонной части должно быть не менее:</w:t>
      </w:r>
    </w:p>
    <w:p>
      <w:pPr>
        <w:pStyle w:val="Normal"/>
        <w:ind w:firstLine="283"/>
        <w:jc w:val="both"/>
        <w:rPr/>
      </w:pPr>
      <w:r>
        <w:rPr/>
        <w:t>в населенной местности - 3 м;</w:t>
      </w:r>
    </w:p>
    <w:p>
      <w:pPr>
        <w:pStyle w:val="Normal"/>
        <w:ind w:firstLine="283"/>
        <w:jc w:val="both"/>
        <w:rPr/>
      </w:pPr>
      <w:r>
        <w:rPr/>
        <w:t>в ненаселенной местности - расстояний, приведенных в табл. 2.5.26.</w:t>
      </w:r>
    </w:p>
    <w:p>
      <w:pPr>
        <w:pStyle w:val="Normal"/>
        <w:spacing w:before="120" w:after="120"/>
        <w:jc w:val="right"/>
        <w:rPr/>
      </w:pPr>
      <w:r>
        <w:rPr>
          <w:spacing w:val="40"/>
        </w:rPr>
        <w:t>Таблица</w:t>
      </w:r>
      <w:r>
        <w:rPr/>
        <w:t xml:space="preserve"> 2.5.26</w:t>
      </w:r>
    </w:p>
    <w:p>
      <w:pPr>
        <w:pStyle w:val="Normal"/>
        <w:spacing w:before="0" w:after="120"/>
        <w:jc w:val="center"/>
        <w:rPr>
          <w:b/>
          <w:b/>
          <w:bCs/>
        </w:rPr>
      </w:pPr>
      <w:r>
        <w:rPr>
          <w:b/>
          <w:bCs/>
        </w:rPr>
        <w:t>Наименьшие расстояния от подземных кабелей ЛС (ЛПВ) до ближайшего заземлителя опоры ВЛ и ее подземной части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426"/>
        <w:gridCol w:w="1981"/>
        <w:gridCol w:w="1980"/>
        <w:gridCol w:w="1968"/>
      </w:tblGrid>
      <w:tr>
        <w:trPr>
          <w:tblHeader w:val="true"/>
        </w:trPr>
        <w:tc>
          <w:tcPr>
            <w:tcW w:w="3426"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Эквивалентное удельное сопротивление земли, Ом·м</w:t>
            </w:r>
          </w:p>
        </w:tc>
        <w:tc>
          <w:tcPr>
            <w:tcW w:w="5929"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3426"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98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35</w:t>
            </w:r>
          </w:p>
        </w:tc>
        <w:tc>
          <w:tcPr>
            <w:tcW w:w="198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110 - 500</w:t>
            </w:r>
          </w:p>
        </w:tc>
        <w:tc>
          <w:tcPr>
            <w:tcW w:w="1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3426" w:type="dxa"/>
            <w:tcBorders>
              <w:left w:val="single" w:sz="8" w:space="0" w:color="000000"/>
              <w:bottom w:val="single" w:sz="8" w:space="0" w:color="000000"/>
              <w:insideH w:val="single" w:sz="8" w:space="0" w:color="000000"/>
            </w:tcBorders>
            <w:shd w:fill="FFFFFF" w:val="clear"/>
          </w:tcPr>
          <w:p>
            <w:pPr>
              <w:pStyle w:val="Normal"/>
              <w:jc w:val="both"/>
              <w:rPr/>
            </w:pPr>
            <w:r>
              <w:rPr/>
              <w:t>До 100</w:t>
            </w:r>
          </w:p>
        </w:tc>
        <w:tc>
          <w:tcPr>
            <w:tcW w:w="19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3426" w:type="dxa"/>
            <w:tcBorders>
              <w:left w:val="single" w:sz="8" w:space="0" w:color="000000"/>
              <w:bottom w:val="single" w:sz="8" w:space="0" w:color="000000"/>
              <w:insideH w:val="single" w:sz="8" w:space="0" w:color="000000"/>
            </w:tcBorders>
            <w:shd w:fill="FFFFFF" w:val="clear"/>
          </w:tcPr>
          <w:p>
            <w:pPr>
              <w:pStyle w:val="Normal"/>
              <w:jc w:val="both"/>
              <w:rPr/>
            </w:pPr>
            <w:r>
              <w:rPr/>
              <w:t>Более 100 до 500</w:t>
            </w:r>
          </w:p>
        </w:tc>
        <w:tc>
          <w:tcPr>
            <w:tcW w:w="19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1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3426" w:type="dxa"/>
            <w:tcBorders>
              <w:left w:val="single" w:sz="8" w:space="0" w:color="000000"/>
              <w:bottom w:val="single" w:sz="8" w:space="0" w:color="000000"/>
              <w:insideH w:val="single" w:sz="8" w:space="0" w:color="000000"/>
            </w:tcBorders>
            <w:shd w:fill="FFFFFF" w:val="clear"/>
          </w:tcPr>
          <w:p>
            <w:pPr>
              <w:pStyle w:val="Normal"/>
              <w:jc w:val="both"/>
              <w:rPr/>
            </w:pPr>
            <w:r>
              <w:rPr/>
              <w:t>Более 500 до 1000</w:t>
            </w:r>
          </w:p>
        </w:tc>
        <w:tc>
          <w:tcPr>
            <w:tcW w:w="19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1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3426" w:type="dxa"/>
            <w:tcBorders>
              <w:left w:val="single" w:sz="8" w:space="0" w:color="000000"/>
              <w:bottom w:val="single" w:sz="8" w:space="0" w:color="000000"/>
              <w:insideH w:val="single" w:sz="8" w:space="0" w:color="000000"/>
            </w:tcBorders>
            <w:shd w:fill="FFFFFF" w:val="clear"/>
          </w:tcPr>
          <w:p>
            <w:pPr>
              <w:pStyle w:val="Normal"/>
              <w:jc w:val="both"/>
              <w:rPr/>
            </w:pPr>
            <w:r>
              <w:rPr/>
              <w:t>Более 1000</w:t>
            </w:r>
          </w:p>
        </w:tc>
        <w:tc>
          <w:tcPr>
            <w:tcW w:w="19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9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50</w:t>
            </w:r>
          </w:p>
        </w:tc>
      </w:tr>
    </w:tbl>
    <w:p>
      <w:pPr>
        <w:pStyle w:val="Normal"/>
        <w:spacing w:before="120" w:after="0"/>
        <w:ind w:firstLine="283"/>
        <w:jc w:val="both"/>
        <w:rPr/>
      </w:pPr>
      <w:r>
        <w:rPr/>
        <w:t>Расстояние от подземных кабелей ЛС и ЛПВ до подземной части незаземленной деревянной опоры ВЛ напряжением до 35 кВ должно быть не менее:</w:t>
      </w:r>
    </w:p>
    <w:p>
      <w:pPr>
        <w:pStyle w:val="Normal"/>
        <w:ind w:firstLine="283"/>
        <w:jc w:val="both"/>
        <w:rPr/>
      </w:pPr>
      <w:r>
        <w:rPr/>
        <w:t>в населенной местности - 2 м, в стесненных условиях указанное расстояние может быть уменьшено до 1 м при условии прокладки кабеля в полиэтиленовой трубе на длине в обе стороны от опоры не менее 3 м;</w:t>
      </w:r>
    </w:p>
    <w:p>
      <w:pPr>
        <w:pStyle w:val="Normal"/>
        <w:ind w:firstLine="283"/>
        <w:jc w:val="both"/>
        <w:rPr/>
      </w:pPr>
      <w:r>
        <w:rPr/>
        <w:t>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эквивалентном удельном сопротивлении земли от 500 до 1000 Ом·м; 25 м - при эквивалентном удельном сопротивлении земли более 1000 Ом·м;</w:t>
      </w:r>
    </w:p>
    <w:p>
      <w:pPr>
        <w:pStyle w:val="Normal"/>
        <w:ind w:firstLine="283"/>
        <w:jc w:val="both"/>
        <w:rPr/>
      </w:pPr>
      <w:r>
        <w:rPr/>
        <w:t>3) расстояние от подземных кабелей ЛС и ЛПВ до ближайшего заземлителя опоры ВЛ 110 кВ и выше и ее подземной части должно быть не менее значений, приведенных в табл. 2.5.26;</w:t>
      </w:r>
    </w:p>
    <w:p>
      <w:pPr>
        <w:pStyle w:val="Normal"/>
        <w:ind w:firstLine="283"/>
        <w:jc w:val="both"/>
        <w:rPr/>
      </w:pPr>
      <w:r>
        <w:rPr/>
        <w:t>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10 м с каждой стороны от крайних проводов для ВЛ до 500 кВ и 15 м для ВЛ 750 кВ, допускается уменьшение указанных в табл. 2.5.26 расстояний до 5 м для ВЛ до 500 кВ и до 10 м для 750 кВ.</w:t>
      </w:r>
    </w:p>
    <w:p>
      <w:pPr>
        <w:pStyle w:val="Normal"/>
        <w:ind w:firstLine="283"/>
        <w:jc w:val="both"/>
        <w:rPr/>
      </w:pPr>
      <w:r>
        <w:rPr/>
        <w:t>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табл. 2.5.26,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p>
      <w:pPr>
        <w:pStyle w:val="Normal"/>
        <w:ind w:firstLine="283"/>
        <w:jc w:val="both"/>
        <w:rPr/>
      </w:pPr>
      <w:r>
        <w:rPr/>
        <w:t xml:space="preserve">5) вместо применения швеллера, уголка или стальной трубы допускается при строительстве новой ВЛ использовать два стальных троса сечением 70 мм, прокладываемых симметрично на расстоянии не более 0,5 м от кабеля и на глубине 0,4 м.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w:t>
      </w:r>
      <w:r>
        <w:rPr>
          <w:i/>
          <w:iCs/>
        </w:rPr>
        <w:t>l</w:t>
      </w:r>
      <w:r>
        <w:rPr/>
        <w:t xml:space="preserve"> и сопротивлением </w:t>
      </w:r>
      <w:r>
        <w:rPr>
          <w:i/>
          <w:iCs/>
        </w:rPr>
        <w:t>R</w:t>
      </w:r>
      <w:r>
        <w:rPr/>
        <w:t xml:space="preserve"> заземлителя должны соответствовать значениям </w:t>
      </w:r>
      <w:r>
        <w:rPr>
          <w:i/>
          <w:iCs/>
        </w:rPr>
        <w:t>K</w:t>
      </w:r>
      <w:r>
        <w:rPr>
          <w:i/>
          <w:iCs/>
          <w:vertAlign w:val="subscript"/>
        </w:rPr>
        <w:t>i</w:t>
      </w:r>
      <w:r>
        <w:rPr/>
        <w:t xml:space="preserve"> и </w:t>
      </w:r>
      <w:r>
        <w:rPr>
          <w:i/>
          <w:iCs/>
        </w:rPr>
        <w:t>K</w:t>
      </w:r>
      <w:r>
        <w:rPr>
          <w:i/>
          <w:iCs/>
          <w:vertAlign w:val="subscript"/>
        </w:rPr>
        <w:t>d</w:t>
      </w:r>
      <w:r>
        <w:rPr/>
        <w:t>, приведенным в табл. 2.5.27;</w:t>
      </w:r>
    </w:p>
    <w:p>
      <w:pPr>
        <w:pStyle w:val="Normal"/>
        <w:spacing w:before="120" w:after="120"/>
        <w:jc w:val="right"/>
        <w:rPr/>
      </w:pPr>
      <w:r>
        <w:rPr>
          <w:spacing w:val="40"/>
        </w:rPr>
        <w:t>Таблица</w:t>
      </w:r>
      <w:r>
        <w:rPr/>
        <w:t xml:space="preserve"> 2.5.27</w:t>
      </w:r>
    </w:p>
    <w:p>
      <w:pPr>
        <w:pStyle w:val="Normal"/>
        <w:spacing w:before="0" w:after="120"/>
        <w:jc w:val="center"/>
        <w:rPr>
          <w:b/>
          <w:b/>
          <w:bCs/>
        </w:rPr>
      </w:pPr>
      <w:r>
        <w:rPr>
          <w:b/>
          <w:bCs/>
        </w:rPr>
        <w:t>Сопротивления заземлителей при защите кабеля ЛС и ЛПВ на участке пересечения с ВЛ</w:t>
      </w:r>
    </w:p>
    <w:tbl>
      <w:tblPr>
        <w:tblW w:w="5000" w:type="pct"/>
        <w:jc w:val="center"/>
        <w:tblInd w:w="0" w:type="dxa"/>
        <w:tblBorders>
          <w:top w:val="single" w:sz="8" w:space="0" w:color="000000"/>
          <w:left w:val="single" w:sz="8" w:space="0" w:color="000000"/>
        </w:tblBorders>
        <w:tblCellMar>
          <w:top w:w="0" w:type="dxa"/>
          <w:left w:w="28" w:type="dxa"/>
          <w:bottom w:w="0" w:type="dxa"/>
          <w:right w:w="28" w:type="dxa"/>
        </w:tblCellMar>
      </w:tblPr>
      <w:tblGrid>
        <w:gridCol w:w="4158"/>
        <w:gridCol w:w="1731"/>
        <w:gridCol w:w="1583"/>
        <w:gridCol w:w="1883"/>
      </w:tblGrid>
      <w:tr>
        <w:trPr>
          <w:tblHeader w:val="true"/>
        </w:trPr>
        <w:tc>
          <w:tcPr>
            <w:tcW w:w="4158" w:type="dxa"/>
            <w:tcBorders>
              <w:top w:val="single" w:sz="8" w:space="0" w:color="000000"/>
              <w:left w:val="single" w:sz="8" w:space="0" w:color="000000"/>
            </w:tcBorders>
            <w:shd w:fill="FFFFFF" w:val="clear"/>
            <w:vAlign w:val="center"/>
          </w:tcPr>
          <w:p>
            <w:pPr>
              <w:pStyle w:val="Normal"/>
              <w:jc w:val="both"/>
              <w:rPr/>
            </w:pPr>
            <w:r>
              <w:rPr/>
              <w:t>Удельное сопротивление земли, Ом·м</w:t>
            </w:r>
          </w:p>
        </w:tc>
        <w:tc>
          <w:tcPr>
            <w:tcW w:w="1731"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До 100</w:t>
            </w:r>
          </w:p>
        </w:tc>
        <w:tc>
          <w:tcPr>
            <w:tcW w:w="1583"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101 - 500</w:t>
            </w:r>
          </w:p>
        </w:tc>
        <w:tc>
          <w:tcPr>
            <w:tcW w:w="1883" w:type="dxa"/>
            <w:tcBorders>
              <w:top w:val="single" w:sz="8" w:space="0" w:color="000000"/>
              <w:left w:val="single" w:sz="8" w:space="0" w:color="000000"/>
              <w:right w:val="single" w:sz="8" w:space="0" w:color="000000"/>
              <w:insideV w:val="single" w:sz="8" w:space="0" w:color="000000"/>
            </w:tcBorders>
            <w:shd w:fill="FFFFFF" w:val="clear"/>
            <w:tcMar>
              <w:left w:w="0" w:type="dxa"/>
              <w:right w:w="0" w:type="dxa"/>
            </w:tcMar>
            <w:vAlign w:val="center"/>
          </w:tcPr>
          <w:p>
            <w:pPr>
              <w:pStyle w:val="Normal"/>
              <w:jc w:val="center"/>
              <w:rPr/>
            </w:pPr>
            <w:r>
              <w:rPr/>
              <w:t>Более 500</w:t>
            </w:r>
          </w:p>
        </w:tc>
      </w:tr>
      <w:tr>
        <w:trPr/>
        <w:tc>
          <w:tcPr>
            <w:tcW w:w="4158" w:type="dxa"/>
            <w:tcBorders>
              <w:left w:val="single" w:sz="8" w:space="0" w:color="000000"/>
            </w:tcBorders>
            <w:shd w:fill="FFFFFF" w:val="clear"/>
          </w:tcPr>
          <w:p>
            <w:pPr>
              <w:pStyle w:val="Normal"/>
              <w:jc w:val="both"/>
              <w:rPr/>
            </w:pPr>
            <w:r>
              <w:rPr/>
              <w:t xml:space="preserve">Длина отвода, </w:t>
            </w:r>
            <w:r>
              <w:rPr>
                <w:i/>
                <w:iCs/>
              </w:rPr>
              <w:t>l</w:t>
            </w:r>
            <w:r>
              <w:rPr/>
              <w:t>, м</w:t>
            </w:r>
          </w:p>
        </w:tc>
        <w:tc>
          <w:tcPr>
            <w:tcW w:w="1731" w:type="dxa"/>
            <w:tcBorders>
              <w:left w:val="single" w:sz="8" w:space="0" w:color="000000"/>
            </w:tcBorders>
            <w:shd w:fill="FFFFFF" w:val="clear"/>
            <w:tcMar>
              <w:left w:w="0" w:type="dxa"/>
              <w:right w:w="0" w:type="dxa"/>
            </w:tcMar>
          </w:tcPr>
          <w:p>
            <w:pPr>
              <w:pStyle w:val="Normal"/>
              <w:jc w:val="center"/>
              <w:rPr/>
            </w:pPr>
            <w:r>
              <w:rPr/>
              <w:t>20</w:t>
            </w:r>
          </w:p>
        </w:tc>
        <w:tc>
          <w:tcPr>
            <w:tcW w:w="1583" w:type="dxa"/>
            <w:tcBorders>
              <w:left w:val="single" w:sz="8" w:space="0" w:color="000000"/>
            </w:tcBorders>
            <w:shd w:fill="FFFFFF" w:val="clear"/>
            <w:tcMar>
              <w:left w:w="0" w:type="dxa"/>
              <w:right w:w="0" w:type="dxa"/>
            </w:tcMar>
          </w:tcPr>
          <w:p>
            <w:pPr>
              <w:pStyle w:val="Normal"/>
              <w:jc w:val="center"/>
              <w:rPr/>
            </w:pPr>
            <w:r>
              <w:rPr/>
              <w:t>30</w:t>
            </w:r>
          </w:p>
        </w:tc>
        <w:tc>
          <w:tcPr>
            <w:tcW w:w="18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4158" w:type="dxa"/>
            <w:tcBorders>
              <w:left w:val="single" w:sz="8" w:space="0" w:color="000000"/>
              <w:bottom w:val="single" w:sz="8" w:space="0" w:color="000000"/>
              <w:insideH w:val="single" w:sz="8" w:space="0" w:color="000000"/>
            </w:tcBorders>
            <w:shd w:fill="FFFFFF" w:val="clear"/>
          </w:tcPr>
          <w:p>
            <w:pPr>
              <w:pStyle w:val="Normal"/>
              <w:jc w:val="both"/>
              <w:rPr/>
            </w:pPr>
            <w:r>
              <w:rPr/>
              <w:t>Сопротивление заземлителя, Ом</w:t>
            </w:r>
          </w:p>
        </w:tc>
        <w:tc>
          <w:tcPr>
            <w:tcW w:w="17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58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8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bl>
    <w:p>
      <w:pPr>
        <w:pStyle w:val="Normal"/>
        <w:spacing w:before="120" w:after="0"/>
        <w:ind w:firstLine="283"/>
        <w:jc w:val="both"/>
        <w:rPr/>
      </w:pPr>
      <w:r>
        <w:rPr>
          <w:spacing w:val="40"/>
        </w:rPr>
        <w:t>Примечание</w:t>
      </w:r>
      <w:r>
        <w:rPr/>
        <w:t>. Защита кабеля от ударов молнии путем оконтуровки опор ВЛ или прокладки защитного троса в этом случае также обязательна.</w:t>
      </w:r>
    </w:p>
    <w:p>
      <w:pPr>
        <w:pStyle w:val="Normal"/>
        <w:spacing w:before="120" w:after="0"/>
        <w:ind w:firstLine="283"/>
        <w:jc w:val="both"/>
        <w:rPr/>
      </w:pPr>
      <w:r>
        <w:rPr/>
        <w:t>6) в пролете пересечения ВЛ с ЛС и ЛПВ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p>
      <w:pPr>
        <w:pStyle w:val="Normal"/>
        <w:ind w:firstLine="283"/>
        <w:jc w:val="both"/>
        <w:rPr/>
      </w:pPr>
      <w:r>
        <w:rPr/>
        <w:t>2.5.239. При пересечении подземной кабельной вставки в ВЛ до 35 кВ с неизолированными проводами ЛС и ЛПВ должны соблюдаться следующие требования:</w:t>
      </w:r>
    </w:p>
    <w:p>
      <w:pPr>
        <w:pStyle w:val="Normal"/>
        <w:ind w:firstLine="283"/>
        <w:jc w:val="both"/>
        <w:rPr/>
      </w:pPr>
      <w:r>
        <w:rPr/>
        <w:t>1) угол пересечения подземной кабельной вставки ВЛ с ЛС и ЛПВ не нормируется;</w:t>
      </w:r>
    </w:p>
    <w:p>
      <w:pPr>
        <w:pStyle w:val="Normal"/>
        <w:ind w:firstLine="283"/>
        <w:jc w:val="both"/>
        <w:rPr/>
      </w:pPr>
      <w:r>
        <w:rPr/>
        <w:t>2) расстояние от подземной кабельной вставки до незаземленной опоры ЛС и ЛПВ должно быть не менее 2 м, а до заземленной опоры ЛС (ЛПВ) и ее заземлителя - не менее 10 м;</w:t>
      </w:r>
    </w:p>
    <w:p>
      <w:pPr>
        <w:pStyle w:val="Normal"/>
        <w:ind w:firstLine="283"/>
        <w:jc w:val="both"/>
        <w:rPr/>
      </w:pPr>
      <w:r>
        <w:rPr/>
        <w:t>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2.5.236;</w:t>
      </w:r>
    </w:p>
    <w:p>
      <w:pPr>
        <w:pStyle w:val="Normal"/>
        <w:ind w:firstLine="283"/>
        <w:jc w:val="both"/>
        <w:rPr/>
      </w:pPr>
      <w:r>
        <w:rPr/>
        <w:t xml:space="preserve">4) подземные кабельные вставки в ВЛ должны выполняться в соответствии с требованиями, приведенными в гл. 2.3 и </w:t>
      </w:r>
      <w:r>
        <w:rPr>
          <w:color w:val="000000"/>
        </w:rPr>
        <w:t>2.5.124</w:t>
      </w:r>
      <w:r>
        <w:rPr/>
        <w:t>.</w:t>
      </w:r>
    </w:p>
    <w:p>
      <w:pPr>
        <w:pStyle w:val="Normal"/>
        <w:ind w:firstLine="283"/>
        <w:jc w:val="both"/>
        <w:rPr/>
      </w:pPr>
      <w:r>
        <w:rPr/>
        <w:t>2.5.240. При пересечении проводов ВЛ с неизолированными проводами ЛС и ЛПВ необходимо соблюдать следующие требования:</w:t>
      </w:r>
    </w:p>
    <w:p>
      <w:pPr>
        <w:pStyle w:val="Normal"/>
        <w:ind w:firstLine="283"/>
        <w:jc w:val="both"/>
        <w:rPr/>
      </w:pPr>
      <w:r>
        <w:rPr/>
        <w:t>1) угол пересечения проводов ВЛ с проводами ЛС и ЛПВ должен быть по возможности близок к 90°. Для стесненных условий угол не нормируется;</w:t>
      </w:r>
    </w:p>
    <w:p>
      <w:pPr>
        <w:pStyle w:val="Normal"/>
        <w:ind w:firstLine="283"/>
        <w:jc w:val="both"/>
        <w:rPr/>
      </w:pPr>
      <w:r>
        <w:rPr/>
        <w:t>2) место пересечения следует выбирать по возможности ближе к опоре ВЛ. При этом расстояние по горизонтали от ближайшей части опоры ВЛ до проводов ЛС и ЛПВ должно быть не менее 7 м, а от опор ЛС и ЛПВ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 м - для ВЛ до 330 кВ, 20 м - для ВЛ 500 кВ;</w:t>
      </w:r>
    </w:p>
    <w:p>
      <w:pPr>
        <w:pStyle w:val="Normal"/>
        <w:ind w:firstLine="283"/>
        <w:jc w:val="both"/>
        <w:rPr/>
      </w:pPr>
      <w:r>
        <w:rPr/>
        <w:t>3) не допускается расположение опор ЛС и ЛПВ под проводами пересекающей ВЛ;</w:t>
      </w:r>
    </w:p>
    <w:p>
      <w:pPr>
        <w:pStyle w:val="Normal"/>
        <w:ind w:firstLine="283"/>
        <w:jc w:val="both"/>
        <w:rPr/>
      </w:pPr>
      <w:r>
        <w:rPr/>
        <w:t>4) опоры ВЛ, ограничивающие пролет пересечения с ЛС и ЛПВ,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p>
      <w:pPr>
        <w:pStyle w:val="Normal"/>
        <w:ind w:firstLine="283"/>
        <w:jc w:val="both"/>
        <w:rPr/>
      </w:pPr>
      <w:r>
        <w:rPr/>
        <w:t>5) пересечения можно выполнять на промежуточных опорах при условии применения на ВЛ проводов с площадью сечения алюминиевой части не менее 120 мм;</w:t>
      </w:r>
    </w:p>
    <w:p>
      <w:pPr>
        <w:pStyle w:val="Normal"/>
        <w:ind w:firstLine="283"/>
        <w:jc w:val="both"/>
        <w:rPr/>
      </w:pPr>
      <w:r>
        <w:rPr/>
        <w:t>6) провода ВЛ должны быть расположены над проводами ЛС и ЛПВ и должны быть многопроволочными сечениями не менее приведенных в табл. 2.5.5;</w:t>
      </w:r>
    </w:p>
    <w:p>
      <w:pPr>
        <w:pStyle w:val="Normal"/>
        <w:ind w:firstLine="283"/>
        <w:jc w:val="both"/>
        <w:rPr/>
      </w:pPr>
      <w:r>
        <w:rPr/>
        <w:t>7) провода ЛС и ЛПВ в пролете пересечения не должны иметь соединений;</w:t>
      </w:r>
    </w:p>
    <w:p>
      <w:pPr>
        <w:pStyle w:val="Normal"/>
        <w:ind w:firstLine="283"/>
        <w:jc w:val="both"/>
        <w:rPr/>
      </w:pPr>
      <w:r>
        <w:rPr/>
        <w:t>8) в пролете пересечения ВЛ с ЛС и ЛПВ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pPr>
        <w:pStyle w:val="Normal"/>
        <w:ind w:firstLine="283"/>
        <w:jc w:val="both"/>
        <w:rPr/>
      </w:pPr>
      <w:r>
        <w:rPr/>
        <w:t>9) изменение места установки опор ЛС и ЛПВ, ограничивающих пролет пересечения с ВЛ, допускается при условии, что отклонение средней длины элемента скрещивания на ЛС и ЛПВ не будет превышать значений, указанных в табл. 2.5.28;</w:t>
      </w:r>
    </w:p>
    <w:p>
      <w:pPr>
        <w:pStyle w:val="Normal"/>
        <w:spacing w:before="120" w:after="120"/>
        <w:jc w:val="right"/>
        <w:rPr/>
      </w:pPr>
      <w:r>
        <w:rPr>
          <w:spacing w:val="40"/>
        </w:rPr>
        <w:t>Таблица</w:t>
      </w:r>
      <w:r>
        <w:rPr/>
        <w:t xml:space="preserve"> 2.5.28</w:t>
      </w:r>
    </w:p>
    <w:p>
      <w:pPr>
        <w:pStyle w:val="Normal"/>
        <w:spacing w:before="0" w:after="120"/>
        <w:jc w:val="center"/>
        <w:rPr>
          <w:b/>
          <w:b/>
          <w:bCs/>
        </w:rPr>
      </w:pPr>
      <w:r>
        <w:rPr>
          <w:b/>
          <w:bCs/>
        </w:rPr>
        <w:t>Допустимое изменение места установки опор ЛС и ЛПВ, ограничивающих пролет пересечения с ВЛ</w:t>
      </w:r>
    </w:p>
    <w:tbl>
      <w:tblPr>
        <w:tblW w:w="5000" w:type="pct"/>
        <w:jc w:val="center"/>
        <w:tblInd w:w="0" w:type="dxa"/>
        <w:tblBorders>
          <w:top w:val="single" w:sz="8" w:space="0" w:color="000000"/>
          <w:left w:val="single" w:sz="8" w:space="0" w:color="000000"/>
        </w:tblBorders>
        <w:tblCellMar>
          <w:top w:w="0" w:type="dxa"/>
          <w:left w:w="28" w:type="dxa"/>
          <w:bottom w:w="0" w:type="dxa"/>
          <w:right w:w="28" w:type="dxa"/>
        </w:tblCellMar>
      </w:tblPr>
      <w:tblGrid>
        <w:gridCol w:w="3706"/>
        <w:gridCol w:w="625"/>
        <w:gridCol w:w="626"/>
        <w:gridCol w:w="626"/>
        <w:gridCol w:w="626"/>
        <w:gridCol w:w="626"/>
        <w:gridCol w:w="626"/>
        <w:gridCol w:w="626"/>
        <w:gridCol w:w="626"/>
        <w:gridCol w:w="642"/>
      </w:tblGrid>
      <w:tr>
        <w:trPr>
          <w:tblHeader w:val="true"/>
        </w:trPr>
        <w:tc>
          <w:tcPr>
            <w:tcW w:w="3706" w:type="dxa"/>
            <w:tcBorders>
              <w:top w:val="single" w:sz="8" w:space="0" w:color="000000"/>
              <w:left w:val="single" w:sz="8" w:space="0" w:color="000000"/>
            </w:tcBorders>
            <w:shd w:fill="FFFFFF" w:val="clear"/>
            <w:vAlign w:val="center"/>
          </w:tcPr>
          <w:p>
            <w:pPr>
              <w:pStyle w:val="Normal"/>
              <w:jc w:val="both"/>
              <w:rPr/>
            </w:pPr>
            <w:r>
              <w:rPr/>
              <w:t>Длина элемента скрещивания, м</w:t>
            </w:r>
          </w:p>
        </w:tc>
        <w:tc>
          <w:tcPr>
            <w:tcW w:w="625"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35</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40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50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60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70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80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100</w:t>
            </w:r>
          </w:p>
        </w:tc>
        <w:tc>
          <w:tcPr>
            <w:tcW w:w="626"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125</w:t>
            </w:r>
          </w:p>
        </w:tc>
        <w:tc>
          <w:tcPr>
            <w:tcW w:w="642" w:type="dxa"/>
            <w:tcBorders>
              <w:top w:val="single" w:sz="8" w:space="0" w:color="000000"/>
              <w:left w:val="single" w:sz="8" w:space="0" w:color="000000"/>
              <w:right w:val="single" w:sz="8" w:space="0" w:color="000000"/>
              <w:insideV w:val="single" w:sz="8" w:space="0" w:color="000000"/>
            </w:tcBorders>
            <w:shd w:fill="FFFFFF" w:val="clear"/>
            <w:tcMar>
              <w:left w:w="0" w:type="dxa"/>
              <w:right w:w="0" w:type="dxa"/>
            </w:tcMar>
            <w:vAlign w:val="center"/>
          </w:tcPr>
          <w:p>
            <w:pPr>
              <w:pStyle w:val="Normal"/>
              <w:jc w:val="center"/>
              <w:rPr/>
            </w:pPr>
            <w:r>
              <w:rPr/>
              <w:t>170</w:t>
            </w:r>
          </w:p>
        </w:tc>
      </w:tr>
      <w:tr>
        <w:trPr/>
        <w:tc>
          <w:tcPr>
            <w:tcW w:w="3706" w:type="dxa"/>
            <w:tcBorders>
              <w:left w:val="single" w:sz="8" w:space="0" w:color="000000"/>
              <w:bottom w:val="single" w:sz="8" w:space="0" w:color="000000"/>
              <w:insideH w:val="single" w:sz="8" w:space="0" w:color="000000"/>
            </w:tcBorders>
            <w:shd w:fill="FFFFFF" w:val="clear"/>
          </w:tcPr>
          <w:p>
            <w:pPr>
              <w:pStyle w:val="Normal"/>
              <w:jc w:val="both"/>
              <w:rPr/>
            </w:pPr>
            <w:r>
              <w:rPr/>
              <w:t>Допустимое отклонение, м</w:t>
            </w:r>
          </w:p>
        </w:tc>
        <w:tc>
          <w:tcPr>
            <w:tcW w:w="62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6</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6,5</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7</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8</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8,5</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9</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10</w:t>
            </w:r>
          </w:p>
        </w:tc>
        <w:tc>
          <w:tcPr>
            <w:tcW w:w="6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 11</w:t>
            </w:r>
          </w:p>
        </w:tc>
        <w:tc>
          <w:tcPr>
            <w:tcW w:w="64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 13</w:t>
            </w:r>
          </w:p>
        </w:tc>
      </w:tr>
    </w:tbl>
    <w:p>
      <w:pPr>
        <w:pStyle w:val="Normal"/>
        <w:spacing w:before="120" w:after="0"/>
        <w:ind w:firstLine="283"/>
        <w:jc w:val="both"/>
        <w:rPr/>
      </w:pPr>
      <w:r>
        <w:rPr/>
        <w:t>10) длины пролетов ЛС и ЛПВ в месте пересечения с ВЛ не должны превышать значений, указанных в табл. 2.5.29;</w:t>
      </w:r>
    </w:p>
    <w:p>
      <w:pPr>
        <w:pStyle w:val="Normal"/>
        <w:spacing w:before="120" w:after="120"/>
        <w:jc w:val="right"/>
        <w:rPr/>
      </w:pPr>
      <w:r>
        <w:rPr>
          <w:spacing w:val="40"/>
        </w:rPr>
        <w:t>Таблица</w:t>
      </w:r>
      <w:r>
        <w:rPr/>
        <w:t xml:space="preserve"> 2.5.29</w:t>
      </w:r>
    </w:p>
    <w:p>
      <w:pPr>
        <w:pStyle w:val="Normal"/>
        <w:spacing w:before="0" w:after="120"/>
        <w:jc w:val="center"/>
        <w:rPr>
          <w:b/>
          <w:b/>
          <w:bCs/>
        </w:rPr>
      </w:pPr>
      <w:r>
        <w:rPr>
          <w:b/>
          <w:bCs/>
        </w:rPr>
        <w:t>Максимально допустимые длины пролетов ЛС и ПВ в месте пересечения с ВЛ</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957"/>
        <w:gridCol w:w="1274"/>
        <w:gridCol w:w="1276"/>
        <w:gridCol w:w="1275"/>
        <w:gridCol w:w="1276"/>
        <w:gridCol w:w="1297"/>
      </w:tblGrid>
      <w:tr>
        <w:trPr>
          <w:tblHeader w:val="true"/>
        </w:trPr>
        <w:tc>
          <w:tcPr>
            <w:tcW w:w="295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Марки проводов, применяемых на ЛС и ЛПВ</w:t>
            </w:r>
          </w:p>
        </w:tc>
        <w:tc>
          <w:tcPr>
            <w:tcW w:w="1274"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Диаметр провода, мм</w:t>
            </w:r>
          </w:p>
        </w:tc>
        <w:tc>
          <w:tcPr>
            <w:tcW w:w="5124"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Максимально допустимые длины пролета ЛС и ЛПВ, м, для линий типов</w:t>
            </w:r>
          </w:p>
        </w:tc>
      </w:tr>
      <w:tr>
        <w:trPr>
          <w:tblHeader w:val="true"/>
        </w:trPr>
        <w:tc>
          <w:tcPr>
            <w:tcW w:w="295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74"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276"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О</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Н</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У</w:t>
            </w:r>
          </w:p>
        </w:tc>
        <w:tc>
          <w:tcPr>
            <w:tcW w:w="129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ОУ</w:t>
            </w:r>
          </w:p>
        </w:tc>
      </w:tr>
      <w:tr>
        <w:trPr/>
        <w:tc>
          <w:tcPr>
            <w:tcW w:w="2957" w:type="dxa"/>
            <w:tcBorders>
              <w:left w:val="single" w:sz="8" w:space="0" w:color="000000"/>
            </w:tcBorders>
            <w:shd w:fill="FFFFFF" w:val="clear"/>
          </w:tcPr>
          <w:p>
            <w:pPr>
              <w:pStyle w:val="Normal"/>
              <w:jc w:val="both"/>
              <w:rPr/>
            </w:pPr>
            <w:r>
              <w:rPr/>
              <w:t>Сталеалюминиевые:</w:t>
            </w:r>
          </w:p>
        </w:tc>
        <w:tc>
          <w:tcPr>
            <w:tcW w:w="1274" w:type="dxa"/>
            <w:tcBorders>
              <w:left w:val="single" w:sz="8" w:space="0" w:color="000000"/>
            </w:tcBorders>
            <w:shd w:fill="FFFFFF" w:val="clear"/>
            <w:tcMar>
              <w:left w:w="0" w:type="dxa"/>
              <w:right w:w="0" w:type="dxa"/>
            </w:tcMar>
          </w:tcPr>
          <w:p>
            <w:pPr>
              <w:pStyle w:val="Normal"/>
              <w:snapToGrid w:val="false"/>
              <w:rPr/>
            </w:pPr>
            <w:r>
              <w:rPr/>
            </w:r>
          </w:p>
        </w:tc>
        <w:tc>
          <w:tcPr>
            <w:tcW w:w="1276" w:type="dxa"/>
            <w:tcBorders>
              <w:left w:val="single" w:sz="8" w:space="0" w:color="000000"/>
            </w:tcBorders>
            <w:shd w:fill="FFFFFF" w:val="clear"/>
            <w:tcMar>
              <w:left w:w="0" w:type="dxa"/>
              <w:right w:w="0" w:type="dxa"/>
            </w:tcMar>
          </w:tcPr>
          <w:p>
            <w:pPr>
              <w:pStyle w:val="Normal"/>
              <w:snapToGrid w:val="false"/>
              <w:rPr/>
            </w:pPr>
            <w:r>
              <w:rPr/>
            </w:r>
          </w:p>
        </w:tc>
        <w:tc>
          <w:tcPr>
            <w:tcW w:w="1275" w:type="dxa"/>
            <w:tcBorders>
              <w:left w:val="single" w:sz="8" w:space="0" w:color="000000"/>
            </w:tcBorders>
            <w:shd w:fill="FFFFFF" w:val="clear"/>
            <w:tcMar>
              <w:left w:w="0" w:type="dxa"/>
              <w:right w:w="0" w:type="dxa"/>
            </w:tcMar>
          </w:tcPr>
          <w:p>
            <w:pPr>
              <w:pStyle w:val="Normal"/>
              <w:snapToGrid w:val="false"/>
              <w:rPr/>
            </w:pPr>
            <w:r>
              <w:rPr/>
            </w:r>
          </w:p>
        </w:tc>
        <w:tc>
          <w:tcPr>
            <w:tcW w:w="1276" w:type="dxa"/>
            <w:tcBorders>
              <w:left w:val="single" w:sz="8" w:space="0" w:color="000000"/>
            </w:tcBorders>
            <w:shd w:fill="FFFFFF" w:val="clear"/>
            <w:tcMar>
              <w:left w:w="0" w:type="dxa"/>
              <w:right w:w="0" w:type="dxa"/>
            </w:tcMar>
          </w:tcPr>
          <w:p>
            <w:pPr>
              <w:pStyle w:val="Normal"/>
              <w:snapToGrid w:val="false"/>
              <w:rPr/>
            </w:pPr>
            <w:r>
              <w:rPr/>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2957" w:type="dxa"/>
            <w:tcBorders>
              <w:left w:val="single" w:sz="8" w:space="0" w:color="000000"/>
            </w:tcBorders>
            <w:shd w:fill="FFFFFF" w:val="clear"/>
          </w:tcPr>
          <w:p>
            <w:pPr>
              <w:pStyle w:val="Normal"/>
              <w:jc w:val="both"/>
              <w:rPr/>
            </w:pPr>
            <w:r>
              <w:rPr/>
              <w:t>АС 25/4,2</w:t>
            </w:r>
          </w:p>
        </w:tc>
        <w:tc>
          <w:tcPr>
            <w:tcW w:w="1274" w:type="dxa"/>
            <w:tcBorders>
              <w:left w:val="single" w:sz="8" w:space="0" w:color="000000"/>
            </w:tcBorders>
            <w:shd w:fill="FFFFFF" w:val="clear"/>
            <w:tcMar>
              <w:left w:w="0" w:type="dxa"/>
              <w:right w:w="0" w:type="dxa"/>
            </w:tcMar>
          </w:tcPr>
          <w:p>
            <w:pPr>
              <w:pStyle w:val="Normal"/>
              <w:jc w:val="center"/>
              <w:rPr/>
            </w:pPr>
            <w:r>
              <w:rPr/>
              <w:t>6,9</w:t>
            </w:r>
          </w:p>
        </w:tc>
        <w:tc>
          <w:tcPr>
            <w:tcW w:w="1276" w:type="dxa"/>
            <w:tcBorders>
              <w:left w:val="single" w:sz="8" w:space="0" w:color="000000"/>
            </w:tcBorders>
            <w:shd w:fill="FFFFFF" w:val="clear"/>
            <w:tcMar>
              <w:left w:w="0" w:type="dxa"/>
              <w:right w:w="0" w:type="dxa"/>
            </w:tcMar>
          </w:tcPr>
          <w:p>
            <w:pPr>
              <w:pStyle w:val="Normal"/>
              <w:jc w:val="center"/>
              <w:rPr/>
            </w:pPr>
            <w:r>
              <w:rPr/>
              <w:t>150</w:t>
            </w:r>
          </w:p>
        </w:tc>
        <w:tc>
          <w:tcPr>
            <w:tcW w:w="1275" w:type="dxa"/>
            <w:tcBorders>
              <w:left w:val="single" w:sz="8" w:space="0" w:color="000000"/>
            </w:tcBorders>
            <w:shd w:fill="FFFFFF" w:val="clear"/>
            <w:tcMar>
              <w:left w:w="0" w:type="dxa"/>
              <w:right w:w="0" w:type="dxa"/>
            </w:tcMar>
          </w:tcPr>
          <w:p>
            <w:pPr>
              <w:pStyle w:val="Normal"/>
              <w:jc w:val="center"/>
              <w:rPr/>
            </w:pPr>
            <w:r>
              <w:rPr/>
              <w:t>85</w:t>
            </w:r>
          </w:p>
        </w:tc>
        <w:tc>
          <w:tcPr>
            <w:tcW w:w="1276" w:type="dxa"/>
            <w:tcBorders>
              <w:left w:val="single" w:sz="8" w:space="0" w:color="000000"/>
            </w:tcBorders>
            <w:shd w:fill="FFFFFF" w:val="clear"/>
            <w:tcMar>
              <w:left w:w="0" w:type="dxa"/>
              <w:right w:w="0" w:type="dxa"/>
            </w:tcMar>
          </w:tcPr>
          <w:p>
            <w:pPr>
              <w:pStyle w:val="Normal"/>
              <w:jc w:val="center"/>
              <w:rPr/>
            </w:pPr>
            <w:r>
              <w:rPr/>
              <w:t>65</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2957" w:type="dxa"/>
            <w:tcBorders>
              <w:left w:val="single" w:sz="8" w:space="0" w:color="000000"/>
            </w:tcBorders>
            <w:shd w:fill="FFFFFF" w:val="clear"/>
          </w:tcPr>
          <w:p>
            <w:pPr>
              <w:pStyle w:val="Normal"/>
              <w:jc w:val="both"/>
              <w:rPr/>
            </w:pPr>
            <w:r>
              <w:rPr/>
              <w:t>АС 16/2,7</w:t>
            </w:r>
          </w:p>
        </w:tc>
        <w:tc>
          <w:tcPr>
            <w:tcW w:w="1274" w:type="dxa"/>
            <w:tcBorders>
              <w:left w:val="single" w:sz="8" w:space="0" w:color="000000"/>
            </w:tcBorders>
            <w:shd w:fill="FFFFFF" w:val="clear"/>
            <w:tcMar>
              <w:left w:w="0" w:type="dxa"/>
              <w:right w:w="0" w:type="dxa"/>
            </w:tcMar>
          </w:tcPr>
          <w:p>
            <w:pPr>
              <w:pStyle w:val="Normal"/>
              <w:jc w:val="center"/>
              <w:rPr/>
            </w:pPr>
            <w:r>
              <w:rPr/>
              <w:t>5,6</w:t>
            </w:r>
          </w:p>
        </w:tc>
        <w:tc>
          <w:tcPr>
            <w:tcW w:w="1276" w:type="dxa"/>
            <w:tcBorders>
              <w:left w:val="single" w:sz="8" w:space="0" w:color="000000"/>
            </w:tcBorders>
            <w:shd w:fill="FFFFFF" w:val="clear"/>
            <w:tcMar>
              <w:left w:w="0" w:type="dxa"/>
              <w:right w:w="0" w:type="dxa"/>
            </w:tcMar>
          </w:tcPr>
          <w:p>
            <w:pPr>
              <w:pStyle w:val="Normal"/>
              <w:jc w:val="center"/>
              <w:rPr/>
            </w:pPr>
            <w:r>
              <w:rPr/>
              <w:t>85</w:t>
            </w:r>
          </w:p>
        </w:tc>
        <w:tc>
          <w:tcPr>
            <w:tcW w:w="1275" w:type="dxa"/>
            <w:tcBorders>
              <w:left w:val="single" w:sz="8" w:space="0" w:color="000000"/>
            </w:tcBorders>
            <w:shd w:fill="FFFFFF" w:val="clear"/>
            <w:tcMar>
              <w:left w:w="0" w:type="dxa"/>
              <w:right w:w="0" w:type="dxa"/>
            </w:tcMar>
          </w:tcPr>
          <w:p>
            <w:pPr>
              <w:pStyle w:val="Normal"/>
              <w:jc w:val="center"/>
              <w:rPr/>
            </w:pPr>
            <w:r>
              <w:rPr/>
              <w:t>65</w:t>
            </w:r>
          </w:p>
        </w:tc>
        <w:tc>
          <w:tcPr>
            <w:tcW w:w="1276" w:type="dxa"/>
            <w:tcBorders>
              <w:left w:val="single" w:sz="8" w:space="0" w:color="000000"/>
            </w:tcBorders>
            <w:shd w:fill="FFFFFF" w:val="clear"/>
            <w:tcMar>
              <w:left w:w="0" w:type="dxa"/>
              <w:right w:w="0" w:type="dxa"/>
            </w:tcMar>
          </w:tcPr>
          <w:p>
            <w:pPr>
              <w:pStyle w:val="Normal"/>
              <w:jc w:val="center"/>
              <w:rPr/>
            </w:pPr>
            <w:r>
              <w:rPr/>
              <w:t>40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2957" w:type="dxa"/>
            <w:tcBorders>
              <w:left w:val="single" w:sz="8" w:space="0" w:color="000000"/>
              <w:bottom w:val="single" w:sz="8" w:space="0" w:color="000000"/>
              <w:insideH w:val="single" w:sz="8" w:space="0" w:color="000000"/>
            </w:tcBorders>
            <w:shd w:fill="FFFFFF" w:val="clear"/>
          </w:tcPr>
          <w:p>
            <w:pPr>
              <w:pStyle w:val="Normal"/>
              <w:jc w:val="both"/>
              <w:rPr/>
            </w:pPr>
            <w:r>
              <w:rPr/>
              <w:t>АС 10/1,8</w:t>
            </w:r>
          </w:p>
        </w:tc>
        <w:tc>
          <w:tcPr>
            <w:tcW w:w="127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29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2957" w:type="dxa"/>
            <w:vMerge w:val="restart"/>
            <w:tcBorders>
              <w:left w:val="single" w:sz="8" w:space="0" w:color="000000"/>
              <w:bottom w:val="single" w:sz="8" w:space="0" w:color="000000"/>
              <w:insideH w:val="single" w:sz="8" w:space="0" w:color="000000"/>
            </w:tcBorders>
            <w:shd w:fill="FFFFFF" w:val="clear"/>
          </w:tcPr>
          <w:p>
            <w:pPr>
              <w:pStyle w:val="Normal"/>
              <w:jc w:val="both"/>
              <w:rPr/>
            </w:pPr>
            <w:r>
              <w:rPr/>
              <w:t>Биметаллические (сталемедные) БСМ-1, БСМ-2</w:t>
            </w:r>
          </w:p>
        </w:tc>
        <w:tc>
          <w:tcPr>
            <w:tcW w:w="1274" w:type="dxa"/>
            <w:tcBorders>
              <w:left w:val="single" w:sz="8" w:space="0" w:color="000000"/>
            </w:tcBorders>
            <w:shd w:fill="FFFFFF" w:val="clear"/>
            <w:tcMar>
              <w:left w:w="0" w:type="dxa"/>
              <w:right w:w="0" w:type="dxa"/>
            </w:tcMar>
          </w:tcPr>
          <w:p>
            <w:pPr>
              <w:pStyle w:val="Normal"/>
              <w:jc w:val="center"/>
              <w:rPr/>
            </w:pPr>
            <w:r>
              <w:rPr/>
              <w:t>4,0</w:t>
            </w:r>
          </w:p>
        </w:tc>
        <w:tc>
          <w:tcPr>
            <w:tcW w:w="1276" w:type="dxa"/>
            <w:tcBorders>
              <w:left w:val="single" w:sz="8" w:space="0" w:color="000000"/>
            </w:tcBorders>
            <w:shd w:fill="FFFFFF" w:val="clear"/>
            <w:tcMar>
              <w:left w:w="0" w:type="dxa"/>
              <w:right w:w="0" w:type="dxa"/>
            </w:tcMar>
          </w:tcPr>
          <w:p>
            <w:pPr>
              <w:pStyle w:val="Normal"/>
              <w:jc w:val="center"/>
              <w:rPr/>
            </w:pPr>
            <w:r>
              <w:rPr/>
              <w:t>180</w:t>
            </w:r>
          </w:p>
        </w:tc>
        <w:tc>
          <w:tcPr>
            <w:tcW w:w="1275" w:type="dxa"/>
            <w:tcBorders>
              <w:left w:val="single" w:sz="8" w:space="0" w:color="000000"/>
            </w:tcBorders>
            <w:shd w:fill="FFFFFF" w:val="clear"/>
            <w:tcMar>
              <w:left w:w="0" w:type="dxa"/>
              <w:right w:w="0" w:type="dxa"/>
            </w:tcMar>
          </w:tcPr>
          <w:p>
            <w:pPr>
              <w:pStyle w:val="Normal"/>
              <w:jc w:val="center"/>
              <w:rPr/>
            </w:pPr>
            <w:r>
              <w:rPr/>
              <w:t>125</w:t>
            </w:r>
          </w:p>
        </w:tc>
        <w:tc>
          <w:tcPr>
            <w:tcW w:w="1276" w:type="dxa"/>
            <w:tcBorders>
              <w:left w:val="single" w:sz="8" w:space="0" w:color="000000"/>
            </w:tcBorders>
            <w:shd w:fill="FFFFFF" w:val="clear"/>
            <w:tcMar>
              <w:left w:w="0" w:type="dxa"/>
              <w:right w:w="0" w:type="dxa"/>
            </w:tcMar>
          </w:tcPr>
          <w:p>
            <w:pPr>
              <w:pStyle w:val="Normal"/>
              <w:jc w:val="center"/>
              <w:rPr/>
            </w:pPr>
            <w:r>
              <w:rPr/>
              <w:t>100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3,0</w:t>
            </w:r>
          </w:p>
        </w:tc>
        <w:tc>
          <w:tcPr>
            <w:tcW w:w="1276" w:type="dxa"/>
            <w:tcBorders>
              <w:left w:val="single" w:sz="8" w:space="0" w:color="000000"/>
            </w:tcBorders>
            <w:shd w:fill="FFFFFF" w:val="clear"/>
            <w:tcMar>
              <w:left w:w="0" w:type="dxa"/>
              <w:right w:w="0" w:type="dxa"/>
            </w:tcMar>
          </w:tcPr>
          <w:p>
            <w:pPr>
              <w:pStyle w:val="Normal"/>
              <w:jc w:val="center"/>
              <w:rPr/>
            </w:pPr>
            <w:r>
              <w:rPr/>
              <w:t>180</w:t>
            </w:r>
          </w:p>
        </w:tc>
        <w:tc>
          <w:tcPr>
            <w:tcW w:w="1275" w:type="dxa"/>
            <w:tcBorders>
              <w:left w:val="single" w:sz="8" w:space="0" w:color="000000"/>
            </w:tcBorders>
            <w:shd w:fill="FFFFFF" w:val="clear"/>
            <w:tcMar>
              <w:left w:w="0" w:type="dxa"/>
              <w:right w:w="0" w:type="dxa"/>
            </w:tcMar>
          </w:tcPr>
          <w:p>
            <w:pPr>
              <w:pStyle w:val="Normal"/>
              <w:jc w:val="center"/>
              <w:rPr/>
            </w:pPr>
            <w:r>
              <w:rPr/>
              <w:t>100</w:t>
            </w:r>
          </w:p>
        </w:tc>
        <w:tc>
          <w:tcPr>
            <w:tcW w:w="1276" w:type="dxa"/>
            <w:tcBorders>
              <w:left w:val="single" w:sz="8" w:space="0" w:color="000000"/>
            </w:tcBorders>
            <w:shd w:fill="FFFFFF" w:val="clear"/>
            <w:tcMar>
              <w:left w:w="0" w:type="dxa"/>
              <w:right w:w="0" w:type="dxa"/>
            </w:tcMar>
          </w:tcPr>
          <w:p>
            <w:pPr>
              <w:pStyle w:val="Normal"/>
              <w:jc w:val="center"/>
              <w:rPr/>
            </w:pPr>
            <w:r>
              <w:rPr/>
              <w:t>85</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2,0</w:t>
            </w:r>
          </w:p>
        </w:tc>
        <w:tc>
          <w:tcPr>
            <w:tcW w:w="1276" w:type="dxa"/>
            <w:tcBorders>
              <w:left w:val="single" w:sz="8" w:space="0" w:color="000000"/>
            </w:tcBorders>
            <w:shd w:fill="FFFFFF" w:val="clear"/>
            <w:tcMar>
              <w:left w:w="0" w:type="dxa"/>
              <w:right w:w="0" w:type="dxa"/>
            </w:tcMar>
          </w:tcPr>
          <w:p>
            <w:pPr>
              <w:pStyle w:val="Normal"/>
              <w:jc w:val="center"/>
              <w:rPr/>
            </w:pPr>
            <w:r>
              <w:rPr/>
              <w:t>150</w:t>
            </w:r>
          </w:p>
        </w:tc>
        <w:tc>
          <w:tcPr>
            <w:tcW w:w="1275" w:type="dxa"/>
            <w:tcBorders>
              <w:left w:val="single" w:sz="8" w:space="0" w:color="000000"/>
            </w:tcBorders>
            <w:shd w:fill="FFFFFF" w:val="clear"/>
            <w:tcMar>
              <w:left w:w="0" w:type="dxa"/>
              <w:right w:w="0" w:type="dxa"/>
            </w:tcMar>
          </w:tcPr>
          <w:p>
            <w:pPr>
              <w:pStyle w:val="Normal"/>
              <w:jc w:val="center"/>
              <w:rPr/>
            </w:pPr>
            <w:r>
              <w:rPr/>
              <w:t>85</w:t>
            </w:r>
          </w:p>
        </w:tc>
        <w:tc>
          <w:tcPr>
            <w:tcW w:w="1276" w:type="dxa"/>
            <w:tcBorders>
              <w:left w:val="single" w:sz="8" w:space="0" w:color="000000"/>
            </w:tcBorders>
            <w:shd w:fill="FFFFFF" w:val="clear"/>
            <w:tcMar>
              <w:left w:w="0" w:type="dxa"/>
              <w:right w:w="0" w:type="dxa"/>
            </w:tcMar>
          </w:tcPr>
          <w:p>
            <w:pPr>
              <w:pStyle w:val="Normal"/>
              <w:jc w:val="center"/>
              <w:rPr/>
            </w:pPr>
            <w:r>
              <w:rPr/>
              <w:t>65</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1,6</w:t>
            </w:r>
          </w:p>
        </w:tc>
        <w:tc>
          <w:tcPr>
            <w:tcW w:w="1276" w:type="dxa"/>
            <w:tcBorders>
              <w:left w:val="single" w:sz="8" w:space="0" w:color="000000"/>
            </w:tcBorders>
            <w:shd w:fill="FFFFFF" w:val="clear"/>
            <w:tcMar>
              <w:left w:w="0" w:type="dxa"/>
              <w:right w:w="0" w:type="dxa"/>
            </w:tcMar>
          </w:tcPr>
          <w:p>
            <w:pPr>
              <w:pStyle w:val="Normal"/>
              <w:jc w:val="center"/>
              <w:rPr/>
            </w:pPr>
            <w:r>
              <w:rPr/>
              <w:t>100</w:t>
            </w:r>
          </w:p>
        </w:tc>
        <w:tc>
          <w:tcPr>
            <w:tcW w:w="1275" w:type="dxa"/>
            <w:tcBorders>
              <w:left w:val="single" w:sz="8" w:space="0" w:color="000000"/>
            </w:tcBorders>
            <w:shd w:fill="FFFFFF" w:val="clear"/>
            <w:tcMar>
              <w:left w:w="0" w:type="dxa"/>
              <w:right w:w="0" w:type="dxa"/>
            </w:tcMar>
          </w:tcPr>
          <w:p>
            <w:pPr>
              <w:pStyle w:val="Normal"/>
              <w:jc w:val="center"/>
              <w:rPr/>
            </w:pPr>
            <w:r>
              <w:rPr/>
              <w:t>65</w:t>
            </w:r>
          </w:p>
        </w:tc>
        <w:tc>
          <w:tcPr>
            <w:tcW w:w="1276" w:type="dxa"/>
            <w:tcBorders>
              <w:left w:val="single" w:sz="8" w:space="0" w:color="000000"/>
            </w:tcBorders>
            <w:shd w:fill="FFFFFF" w:val="clear"/>
            <w:tcMar>
              <w:left w:w="0" w:type="dxa"/>
              <w:right w:w="0" w:type="dxa"/>
            </w:tcMar>
          </w:tcPr>
          <w:p>
            <w:pPr>
              <w:pStyle w:val="Normal"/>
              <w:jc w:val="center"/>
              <w:rPr/>
            </w:pPr>
            <w:r>
              <w:rPr/>
              <w:t>40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bottom w:val="single" w:sz="8" w:space="0" w:color="000000"/>
              <w:insideH w:val="single" w:sz="8" w:space="0" w:color="000000"/>
            </w:tcBorders>
            <w:shd w:fill="FFFFFF" w:val="clear"/>
          </w:tcPr>
          <w:p>
            <w:pPr>
              <w:pStyle w:val="Normal"/>
              <w:jc w:val="center"/>
              <w:rPr/>
            </w:pPr>
            <w:r>
              <w:rPr/>
              <w:t>1,2</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29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957" w:type="dxa"/>
            <w:vMerge w:val="restart"/>
            <w:tcBorders>
              <w:left w:val="single" w:sz="8" w:space="0" w:color="000000"/>
              <w:bottom w:val="single" w:sz="8" w:space="0" w:color="000000"/>
              <w:insideH w:val="single" w:sz="8" w:space="0" w:color="000000"/>
            </w:tcBorders>
            <w:shd w:fill="FFFFFF" w:val="clear"/>
          </w:tcPr>
          <w:p>
            <w:pPr>
              <w:pStyle w:val="Normal"/>
              <w:jc w:val="both"/>
              <w:rPr/>
            </w:pPr>
            <w:r>
              <w:rPr/>
              <w:t>Биметаллические (сталеалюминиевые) БСА-КПЛ</w:t>
            </w:r>
          </w:p>
        </w:tc>
        <w:tc>
          <w:tcPr>
            <w:tcW w:w="1274" w:type="dxa"/>
            <w:tcBorders>
              <w:left w:val="single" w:sz="8" w:space="0" w:color="000000"/>
            </w:tcBorders>
            <w:shd w:fill="FFFFFF" w:val="clear"/>
            <w:tcMar>
              <w:left w:w="0" w:type="dxa"/>
              <w:right w:w="0" w:type="dxa"/>
            </w:tcMar>
          </w:tcPr>
          <w:p>
            <w:pPr>
              <w:pStyle w:val="Normal"/>
              <w:jc w:val="center"/>
              <w:rPr/>
            </w:pPr>
            <w:r>
              <w:rPr/>
              <w:t>5,1</w:t>
            </w:r>
          </w:p>
        </w:tc>
        <w:tc>
          <w:tcPr>
            <w:tcW w:w="1276" w:type="dxa"/>
            <w:tcBorders>
              <w:left w:val="single" w:sz="8" w:space="0" w:color="000000"/>
            </w:tcBorders>
            <w:shd w:fill="FFFFFF" w:val="clear"/>
            <w:tcMar>
              <w:left w:w="0" w:type="dxa"/>
              <w:right w:w="0" w:type="dxa"/>
            </w:tcMar>
          </w:tcPr>
          <w:p>
            <w:pPr>
              <w:pStyle w:val="Normal"/>
              <w:jc w:val="center"/>
              <w:rPr/>
            </w:pPr>
            <w:r>
              <w:rPr/>
              <w:t>180</w:t>
            </w:r>
          </w:p>
        </w:tc>
        <w:tc>
          <w:tcPr>
            <w:tcW w:w="1275" w:type="dxa"/>
            <w:tcBorders>
              <w:left w:val="single" w:sz="8" w:space="0" w:color="000000"/>
            </w:tcBorders>
            <w:shd w:fill="FFFFFF" w:val="clear"/>
            <w:tcMar>
              <w:left w:w="0" w:type="dxa"/>
              <w:right w:w="0" w:type="dxa"/>
            </w:tcMar>
          </w:tcPr>
          <w:p>
            <w:pPr>
              <w:pStyle w:val="Normal"/>
              <w:jc w:val="center"/>
              <w:rPr/>
            </w:pPr>
            <w:r>
              <w:rPr/>
              <w:t>125</w:t>
            </w:r>
          </w:p>
        </w:tc>
        <w:tc>
          <w:tcPr>
            <w:tcW w:w="1276" w:type="dxa"/>
            <w:tcBorders>
              <w:left w:val="single" w:sz="8" w:space="0" w:color="000000"/>
            </w:tcBorders>
            <w:shd w:fill="FFFFFF" w:val="clear"/>
            <w:tcMar>
              <w:left w:w="0" w:type="dxa"/>
              <w:right w:w="0" w:type="dxa"/>
            </w:tcMar>
          </w:tcPr>
          <w:p>
            <w:pPr>
              <w:pStyle w:val="Normal"/>
              <w:jc w:val="center"/>
              <w:rPr/>
            </w:pPr>
            <w:r>
              <w:rPr/>
              <w:t>90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bottom w:val="single" w:sz="8" w:space="0" w:color="000000"/>
              <w:insideH w:val="single" w:sz="8" w:space="0" w:color="000000"/>
            </w:tcBorders>
            <w:shd w:fill="FFFFFF" w:val="clear"/>
          </w:tcPr>
          <w:p>
            <w:pPr>
              <w:pStyle w:val="Normal"/>
              <w:jc w:val="center"/>
              <w:rPr/>
            </w:pPr>
            <w:r>
              <w:rPr/>
              <w:t>4,3</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180</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129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65</w:t>
            </w:r>
          </w:p>
        </w:tc>
      </w:tr>
      <w:tr>
        <w:trPr/>
        <w:tc>
          <w:tcPr>
            <w:tcW w:w="2957" w:type="dxa"/>
            <w:vMerge w:val="restart"/>
            <w:tcBorders>
              <w:left w:val="single" w:sz="8" w:space="0" w:color="000000"/>
              <w:bottom w:val="single" w:sz="8" w:space="0" w:color="000000"/>
              <w:insideH w:val="single" w:sz="8" w:space="0" w:color="000000"/>
            </w:tcBorders>
            <w:shd w:fill="FFFFFF" w:val="clear"/>
          </w:tcPr>
          <w:p>
            <w:pPr>
              <w:pStyle w:val="Normal"/>
              <w:jc w:val="both"/>
              <w:rPr/>
            </w:pPr>
            <w:r>
              <w:rPr/>
              <w:t>Стальные</w:t>
            </w:r>
          </w:p>
        </w:tc>
        <w:tc>
          <w:tcPr>
            <w:tcW w:w="1274" w:type="dxa"/>
            <w:tcBorders>
              <w:left w:val="single" w:sz="8" w:space="0" w:color="000000"/>
            </w:tcBorders>
            <w:shd w:fill="FFFFFF" w:val="clear"/>
            <w:tcMar>
              <w:left w:w="0" w:type="dxa"/>
              <w:right w:w="0" w:type="dxa"/>
            </w:tcMar>
          </w:tcPr>
          <w:p>
            <w:pPr>
              <w:pStyle w:val="Normal"/>
              <w:jc w:val="center"/>
              <w:rPr/>
            </w:pPr>
            <w:r>
              <w:rPr/>
              <w:t>5,0</w:t>
            </w:r>
          </w:p>
        </w:tc>
        <w:tc>
          <w:tcPr>
            <w:tcW w:w="1276" w:type="dxa"/>
            <w:tcBorders>
              <w:left w:val="single" w:sz="8" w:space="0" w:color="000000"/>
            </w:tcBorders>
            <w:shd w:fill="FFFFFF" w:val="clear"/>
            <w:tcMar>
              <w:left w:w="0" w:type="dxa"/>
              <w:right w:w="0" w:type="dxa"/>
            </w:tcMar>
          </w:tcPr>
          <w:p>
            <w:pPr>
              <w:pStyle w:val="Normal"/>
              <w:jc w:val="center"/>
              <w:rPr/>
            </w:pPr>
            <w:r>
              <w:rPr/>
              <w:t>150</w:t>
            </w:r>
          </w:p>
        </w:tc>
        <w:tc>
          <w:tcPr>
            <w:tcW w:w="1275" w:type="dxa"/>
            <w:tcBorders>
              <w:left w:val="single" w:sz="8" w:space="0" w:color="000000"/>
            </w:tcBorders>
            <w:shd w:fill="FFFFFF" w:val="clear"/>
            <w:tcMar>
              <w:left w:w="0" w:type="dxa"/>
              <w:right w:w="0" w:type="dxa"/>
            </w:tcMar>
          </w:tcPr>
          <w:p>
            <w:pPr>
              <w:pStyle w:val="Normal"/>
              <w:jc w:val="center"/>
              <w:rPr/>
            </w:pPr>
            <w:r>
              <w:rPr/>
              <w:t>130</w:t>
            </w:r>
          </w:p>
        </w:tc>
        <w:tc>
          <w:tcPr>
            <w:tcW w:w="1276" w:type="dxa"/>
            <w:tcBorders>
              <w:left w:val="single" w:sz="8" w:space="0" w:color="000000"/>
            </w:tcBorders>
            <w:shd w:fill="FFFFFF" w:val="clear"/>
            <w:tcMar>
              <w:left w:w="0" w:type="dxa"/>
              <w:right w:w="0" w:type="dxa"/>
            </w:tcMar>
          </w:tcPr>
          <w:p>
            <w:pPr>
              <w:pStyle w:val="Normal"/>
              <w:jc w:val="center"/>
              <w:rPr/>
            </w:pPr>
            <w:r>
              <w:rPr/>
              <w:t>70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45</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4,0</w:t>
            </w:r>
          </w:p>
        </w:tc>
        <w:tc>
          <w:tcPr>
            <w:tcW w:w="1276" w:type="dxa"/>
            <w:tcBorders>
              <w:left w:val="single" w:sz="8" w:space="0" w:color="000000"/>
            </w:tcBorders>
            <w:shd w:fill="FFFFFF" w:val="clear"/>
            <w:tcMar>
              <w:left w:w="0" w:type="dxa"/>
              <w:right w:w="0" w:type="dxa"/>
            </w:tcMar>
          </w:tcPr>
          <w:p>
            <w:pPr>
              <w:pStyle w:val="Normal"/>
              <w:jc w:val="center"/>
              <w:rPr/>
            </w:pPr>
            <w:r>
              <w:rPr/>
              <w:t>150</w:t>
            </w:r>
          </w:p>
        </w:tc>
        <w:tc>
          <w:tcPr>
            <w:tcW w:w="1275" w:type="dxa"/>
            <w:tcBorders>
              <w:left w:val="single" w:sz="8" w:space="0" w:color="000000"/>
            </w:tcBorders>
            <w:shd w:fill="FFFFFF" w:val="clear"/>
            <w:tcMar>
              <w:left w:w="0" w:type="dxa"/>
              <w:right w:w="0" w:type="dxa"/>
            </w:tcMar>
          </w:tcPr>
          <w:p>
            <w:pPr>
              <w:pStyle w:val="Normal"/>
              <w:jc w:val="center"/>
              <w:rPr/>
            </w:pPr>
            <w:r>
              <w:rPr/>
              <w:t>85</w:t>
            </w:r>
          </w:p>
        </w:tc>
        <w:tc>
          <w:tcPr>
            <w:tcW w:w="1276" w:type="dxa"/>
            <w:tcBorders>
              <w:left w:val="single" w:sz="8" w:space="0" w:color="000000"/>
            </w:tcBorders>
            <w:shd w:fill="FFFFFF" w:val="clear"/>
            <w:tcMar>
              <w:left w:w="0" w:type="dxa"/>
              <w:right w:w="0" w:type="dxa"/>
            </w:tcMar>
          </w:tcPr>
          <w:p>
            <w:pPr>
              <w:pStyle w:val="Normal"/>
              <w:jc w:val="center"/>
              <w:rPr/>
            </w:pPr>
            <w:r>
              <w:rPr/>
              <w:t>50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3,0</w:t>
            </w:r>
          </w:p>
        </w:tc>
        <w:tc>
          <w:tcPr>
            <w:tcW w:w="1276" w:type="dxa"/>
            <w:tcBorders>
              <w:left w:val="single" w:sz="8" w:space="0" w:color="000000"/>
            </w:tcBorders>
            <w:shd w:fill="FFFFFF" w:val="clear"/>
            <w:tcMar>
              <w:left w:w="0" w:type="dxa"/>
              <w:right w:w="0" w:type="dxa"/>
            </w:tcMar>
          </w:tcPr>
          <w:p>
            <w:pPr>
              <w:pStyle w:val="Normal"/>
              <w:jc w:val="center"/>
              <w:rPr/>
            </w:pPr>
            <w:r>
              <w:rPr/>
              <w:t>125</w:t>
            </w:r>
          </w:p>
        </w:tc>
        <w:tc>
          <w:tcPr>
            <w:tcW w:w="1275" w:type="dxa"/>
            <w:tcBorders>
              <w:left w:val="single" w:sz="8" w:space="0" w:color="000000"/>
            </w:tcBorders>
            <w:shd w:fill="FFFFFF" w:val="clear"/>
            <w:tcMar>
              <w:left w:w="0" w:type="dxa"/>
              <w:right w:w="0" w:type="dxa"/>
            </w:tcMar>
          </w:tcPr>
          <w:p>
            <w:pPr>
              <w:pStyle w:val="Normal"/>
              <w:jc w:val="center"/>
              <w:rPr/>
            </w:pPr>
            <w:r>
              <w:rPr/>
              <w:t>65</w:t>
            </w:r>
          </w:p>
        </w:tc>
        <w:tc>
          <w:tcPr>
            <w:tcW w:w="1276" w:type="dxa"/>
            <w:tcBorders>
              <w:left w:val="single" w:sz="8" w:space="0" w:color="000000"/>
            </w:tcBorders>
            <w:shd w:fill="FFFFFF" w:val="clear"/>
            <w:tcMar>
              <w:left w:w="0" w:type="dxa"/>
              <w:right w:w="0" w:type="dxa"/>
            </w:tcMar>
          </w:tcPr>
          <w:p>
            <w:pPr>
              <w:pStyle w:val="Normal"/>
              <w:jc w:val="center"/>
              <w:rPr/>
            </w:pPr>
            <w:r>
              <w:rPr/>
              <w:t>40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2,5</w:t>
            </w:r>
          </w:p>
        </w:tc>
        <w:tc>
          <w:tcPr>
            <w:tcW w:w="1276" w:type="dxa"/>
            <w:tcBorders>
              <w:left w:val="single" w:sz="8" w:space="0" w:color="000000"/>
            </w:tcBorders>
            <w:shd w:fill="FFFFFF" w:val="clear"/>
            <w:tcMar>
              <w:left w:w="0" w:type="dxa"/>
              <w:right w:w="0" w:type="dxa"/>
            </w:tcMar>
          </w:tcPr>
          <w:p>
            <w:pPr>
              <w:pStyle w:val="Normal"/>
              <w:jc w:val="center"/>
              <w:rPr/>
            </w:pPr>
            <w:r>
              <w:rPr/>
              <w:t>100</w:t>
            </w:r>
          </w:p>
        </w:tc>
        <w:tc>
          <w:tcPr>
            <w:tcW w:w="1275" w:type="dxa"/>
            <w:tcBorders>
              <w:left w:val="single" w:sz="8" w:space="0" w:color="000000"/>
            </w:tcBorders>
            <w:shd w:fill="FFFFFF" w:val="clear"/>
            <w:tcMar>
              <w:left w:w="0" w:type="dxa"/>
              <w:right w:w="0" w:type="dxa"/>
            </w:tcMar>
          </w:tcPr>
          <w:p>
            <w:pPr>
              <w:pStyle w:val="Normal"/>
              <w:jc w:val="center"/>
              <w:rPr/>
            </w:pPr>
            <w:r>
              <w:rPr/>
              <w:t>40</w:t>
            </w:r>
          </w:p>
        </w:tc>
        <w:tc>
          <w:tcPr>
            <w:tcW w:w="1276" w:type="dxa"/>
            <w:tcBorders>
              <w:left w:val="single" w:sz="8" w:space="0" w:color="000000"/>
            </w:tcBorders>
            <w:shd w:fill="FFFFFF" w:val="clear"/>
            <w:tcMar>
              <w:left w:w="0" w:type="dxa"/>
              <w:right w:w="0" w:type="dxa"/>
            </w:tcMar>
          </w:tcPr>
          <w:p>
            <w:pPr>
              <w:pStyle w:val="Normal"/>
              <w:jc w:val="center"/>
              <w:rPr/>
            </w:pPr>
            <w:r>
              <w:rPr/>
              <w:t>30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tcBorders>
            <w:shd w:fill="FFFFFF" w:val="clear"/>
          </w:tcPr>
          <w:p>
            <w:pPr>
              <w:pStyle w:val="Normal"/>
              <w:jc w:val="center"/>
              <w:rPr/>
            </w:pPr>
            <w:r>
              <w:rPr/>
              <w:t>2,0</w:t>
            </w:r>
          </w:p>
        </w:tc>
        <w:tc>
          <w:tcPr>
            <w:tcW w:w="1276" w:type="dxa"/>
            <w:tcBorders>
              <w:left w:val="single" w:sz="8" w:space="0" w:color="000000"/>
            </w:tcBorders>
            <w:shd w:fill="FFFFFF" w:val="clear"/>
            <w:tcMar>
              <w:left w:w="0" w:type="dxa"/>
              <w:right w:w="0" w:type="dxa"/>
            </w:tcMar>
          </w:tcPr>
          <w:p>
            <w:pPr>
              <w:pStyle w:val="Normal"/>
              <w:jc w:val="center"/>
              <w:rPr/>
            </w:pPr>
            <w:r>
              <w:rPr/>
              <w:t>100</w:t>
            </w:r>
          </w:p>
        </w:tc>
        <w:tc>
          <w:tcPr>
            <w:tcW w:w="1275" w:type="dxa"/>
            <w:tcBorders>
              <w:left w:val="single" w:sz="8" w:space="0" w:color="000000"/>
            </w:tcBorders>
            <w:shd w:fill="FFFFFF" w:val="clear"/>
            <w:tcMar>
              <w:left w:w="0" w:type="dxa"/>
              <w:right w:w="0" w:type="dxa"/>
            </w:tcMar>
          </w:tcPr>
          <w:p>
            <w:pPr>
              <w:pStyle w:val="Normal"/>
              <w:jc w:val="center"/>
              <w:rPr/>
            </w:pPr>
            <w:r>
              <w:rPr/>
              <w:t>40</w:t>
            </w:r>
          </w:p>
        </w:tc>
        <w:tc>
          <w:tcPr>
            <w:tcW w:w="1276" w:type="dxa"/>
            <w:tcBorders>
              <w:left w:val="single" w:sz="8" w:space="0" w:color="000000"/>
            </w:tcBorders>
            <w:shd w:fill="FFFFFF" w:val="clear"/>
            <w:tcMar>
              <w:left w:w="0" w:type="dxa"/>
              <w:right w:w="0" w:type="dxa"/>
            </w:tcMar>
          </w:tcPr>
          <w:p>
            <w:pPr>
              <w:pStyle w:val="Normal"/>
              <w:jc w:val="center"/>
              <w:rPr/>
            </w:pPr>
            <w:r>
              <w:rPr/>
              <w:t>30</w:t>
            </w:r>
          </w:p>
        </w:tc>
        <w:tc>
          <w:tcPr>
            <w:tcW w:w="129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2957"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274" w:type="dxa"/>
            <w:tcBorders>
              <w:left w:val="single" w:sz="8" w:space="0" w:color="000000"/>
              <w:bottom w:val="single" w:sz="8" w:space="0" w:color="000000"/>
              <w:insideH w:val="single" w:sz="8" w:space="0" w:color="000000"/>
            </w:tcBorders>
            <w:shd w:fill="FFFFFF" w:val="clear"/>
          </w:tcPr>
          <w:p>
            <w:pPr>
              <w:pStyle w:val="Normal"/>
              <w:jc w:val="center"/>
              <w:rPr/>
            </w:pPr>
            <w:r>
              <w:rPr/>
              <w:t>1,5</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27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127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29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0"/>
        <w:ind w:firstLine="283"/>
        <w:jc w:val="both"/>
        <w:rPr/>
      </w:pPr>
      <w:r>
        <w:rPr>
          <w:spacing w:val="40"/>
        </w:rPr>
        <w:t>Примечание</w:t>
      </w:r>
      <w:r>
        <w:rPr/>
        <w:t>. О - обычный, Н - нормальный, У - усиленный, ОУ - особо усиленный, типы линий - в соответствии с «Правилами пересечения воздушных линий связи и радиотрансляционных сетей с линиями электропередачи».</w:t>
      </w:r>
    </w:p>
    <w:p>
      <w:pPr>
        <w:pStyle w:val="Normal"/>
        <w:spacing w:before="120" w:after="0"/>
        <w:ind w:firstLine="283"/>
        <w:jc w:val="both"/>
        <w:rPr/>
      </w:pPr>
      <w:r>
        <w:rPr/>
        <w:t>11) опоры ЛС и ЛПВ,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p>
      <w:pPr>
        <w:pStyle w:val="Normal"/>
        <w:ind w:firstLine="283"/>
        <w:jc w:val="both"/>
        <w:rPr/>
      </w:pPr>
      <w:r>
        <w:rPr/>
        <w:t>12) 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pPr>
        <w:pStyle w:val="Normal"/>
        <w:ind w:firstLine="283"/>
        <w:jc w:val="both"/>
        <w:rPr/>
      </w:pPr>
      <w:r>
        <w:rPr/>
        <w:t>13) расстояния по вертикали от проводов ВЛ до пересекаемых проводов ЛС и ЛПВ в нормальном режиме ВЛ и при обрыве проводов в смежных пролетах ВЛ должны быть не менее приведенных в табл. 2.5.30.</w:t>
      </w:r>
    </w:p>
    <w:p>
      <w:pPr>
        <w:pStyle w:val="Normal"/>
        <w:ind w:firstLine="283"/>
        <w:jc w:val="both"/>
        <w:rPr/>
      </w:pPr>
      <w:r>
        <w:rP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w:t>
      </w:r>
      <w:r>
        <w:rPr>
          <w:vertAlign w:val="superscript"/>
        </w:rPr>
        <w:t>2</w:t>
      </w:r>
      <w:r>
        <w:rP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rPr/>
        <w:t xml:space="preserve"> и более проверка по аварийному режиму не требуется.</w:t>
      </w:r>
    </w:p>
    <w:p>
      <w:pPr>
        <w:pStyle w:val="Normal"/>
        <w:ind w:firstLine="283"/>
        <w:jc w:val="both"/>
        <w:rPr/>
      </w:pPr>
      <w:r>
        <w:rPr/>
        <w:t>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2.5.30, подлежат дополнительной проверке на условия отклонения проводов ВЛ при ветровом давлении, определенном согласно 2.5.56, направленном перпендикулярно оси ВЛ, и при неотклоненном положении проводов ЛС и ЛПВ.</w:t>
      </w:r>
    </w:p>
    <w:p>
      <w:pPr>
        <w:pStyle w:val="Normal"/>
        <w:ind w:firstLine="283"/>
        <w:jc w:val="both"/>
        <w:rPr/>
      </w:pPr>
      <w:r>
        <w:rPr/>
        <w:t>Расстояния между проводами следует принимать для наиболее неблагоприятного случая.</w:t>
      </w:r>
    </w:p>
    <w:p>
      <w:pPr>
        <w:pStyle w:val="Normal"/>
        <w:ind w:firstLine="283"/>
        <w:jc w:val="both"/>
        <w:rPr/>
      </w:pPr>
      <w:r>
        <w:rPr/>
        <w:t>При 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pPr>
        <w:pStyle w:val="Normal"/>
        <w:ind w:firstLine="283"/>
        <w:jc w:val="both"/>
        <w:rPr/>
      </w:pPr>
      <w:r>
        <w:rPr/>
        <w:t>14) на деревянных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 б) табл. 2.5.30 на ВЛ должны устанавливаться защитные аппараты. Защитные аппараты должны устанавливаться в соответствии с требованиями 2.5.229. При установке ИП на ВЛ должно быть предусмотрено автоматическое повторное включение;</w:t>
      </w:r>
    </w:p>
    <w:p>
      <w:pPr>
        <w:pStyle w:val="Normal"/>
        <w:spacing w:before="120" w:after="120"/>
        <w:jc w:val="right"/>
        <w:rPr/>
      </w:pPr>
      <w:r>
        <w:rPr>
          <w:spacing w:val="40"/>
        </w:rPr>
        <w:t>Таблица</w:t>
      </w:r>
      <w:r>
        <w:rPr/>
        <w:t xml:space="preserve"> 2.5.30</w:t>
      </w:r>
    </w:p>
    <w:p>
      <w:pPr>
        <w:pStyle w:val="Normal"/>
        <w:spacing w:before="0" w:after="120"/>
        <w:jc w:val="center"/>
        <w:rPr>
          <w:b/>
          <w:b/>
          <w:bCs/>
        </w:rPr>
      </w:pPr>
      <w:r>
        <w:rPr>
          <w:b/>
          <w:bCs/>
        </w:rPr>
        <w:t>Наименьшее расстояние по вертикали от проводов ВЛ до проводов ЛС и ЛПВ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611"/>
        <w:gridCol w:w="952"/>
        <w:gridCol w:w="955"/>
        <w:gridCol w:w="954"/>
        <w:gridCol w:w="954"/>
        <w:gridCol w:w="954"/>
        <w:gridCol w:w="975"/>
      </w:tblGrid>
      <w:tr>
        <w:trPr>
          <w:tblHeader w:val="true"/>
        </w:trPr>
        <w:tc>
          <w:tcPr>
            <w:tcW w:w="361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Расчетный режим ВЛ</w:t>
            </w:r>
          </w:p>
        </w:tc>
        <w:tc>
          <w:tcPr>
            <w:tcW w:w="5744"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361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952"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10</w:t>
            </w:r>
          </w:p>
        </w:tc>
        <w:tc>
          <w:tcPr>
            <w:tcW w:w="95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20 - 110</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97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500</w:t>
            </w:r>
          </w:p>
        </w:tc>
      </w:tr>
      <w:tr>
        <w:trPr/>
        <w:tc>
          <w:tcPr>
            <w:tcW w:w="3611" w:type="dxa"/>
            <w:tcBorders>
              <w:left w:val="single" w:sz="8" w:space="0" w:color="000000"/>
            </w:tcBorders>
            <w:shd w:fill="FFFFFF" w:val="clear"/>
          </w:tcPr>
          <w:p>
            <w:pPr>
              <w:pStyle w:val="Normal"/>
              <w:jc w:val="both"/>
              <w:rPr/>
            </w:pPr>
            <w:r>
              <w:rPr/>
              <w:t>Нормальный режим:</w:t>
            </w:r>
          </w:p>
        </w:tc>
        <w:tc>
          <w:tcPr>
            <w:tcW w:w="952" w:type="dxa"/>
            <w:tcBorders>
              <w:left w:val="single" w:sz="8" w:space="0" w:color="000000"/>
            </w:tcBorders>
            <w:shd w:fill="FFFFFF" w:val="clear"/>
            <w:tcMar>
              <w:left w:w="0" w:type="dxa"/>
              <w:right w:w="0" w:type="dxa"/>
            </w:tcMar>
          </w:tcPr>
          <w:p>
            <w:pPr>
              <w:pStyle w:val="Normal"/>
              <w:snapToGrid w:val="false"/>
              <w:rPr/>
            </w:pPr>
            <w:r>
              <w:rPr/>
            </w:r>
          </w:p>
        </w:tc>
        <w:tc>
          <w:tcPr>
            <w:tcW w:w="955" w:type="dxa"/>
            <w:tcBorders>
              <w:left w:val="single" w:sz="8" w:space="0" w:color="000000"/>
            </w:tcBorders>
            <w:shd w:fill="FFFFFF" w:val="clear"/>
            <w:tcMar>
              <w:left w:w="0" w:type="dxa"/>
              <w:right w:w="0" w:type="dxa"/>
            </w:tcMar>
          </w:tcPr>
          <w:p>
            <w:pPr>
              <w:pStyle w:val="Normal"/>
              <w:snapToGrid w:val="false"/>
              <w:rPr/>
            </w:pPr>
            <w:r>
              <w:rPr/>
            </w:r>
          </w:p>
        </w:tc>
        <w:tc>
          <w:tcPr>
            <w:tcW w:w="954" w:type="dxa"/>
            <w:tcBorders>
              <w:left w:val="single" w:sz="8" w:space="0" w:color="000000"/>
            </w:tcBorders>
            <w:shd w:fill="FFFFFF" w:val="clear"/>
            <w:tcMar>
              <w:left w:w="0" w:type="dxa"/>
              <w:right w:w="0" w:type="dxa"/>
            </w:tcMar>
          </w:tcPr>
          <w:p>
            <w:pPr>
              <w:pStyle w:val="Normal"/>
              <w:snapToGrid w:val="false"/>
              <w:rPr/>
            </w:pPr>
            <w:r>
              <w:rPr/>
            </w:r>
          </w:p>
        </w:tc>
        <w:tc>
          <w:tcPr>
            <w:tcW w:w="954" w:type="dxa"/>
            <w:tcBorders>
              <w:left w:val="single" w:sz="8" w:space="0" w:color="000000"/>
            </w:tcBorders>
            <w:shd w:fill="FFFFFF" w:val="clear"/>
            <w:tcMar>
              <w:left w:w="0" w:type="dxa"/>
              <w:right w:w="0" w:type="dxa"/>
            </w:tcMar>
          </w:tcPr>
          <w:p>
            <w:pPr>
              <w:pStyle w:val="Normal"/>
              <w:snapToGrid w:val="false"/>
              <w:rPr/>
            </w:pPr>
            <w:r>
              <w:rPr/>
            </w:r>
          </w:p>
        </w:tc>
        <w:tc>
          <w:tcPr>
            <w:tcW w:w="954" w:type="dxa"/>
            <w:tcBorders>
              <w:left w:val="single" w:sz="8" w:space="0" w:color="000000"/>
            </w:tcBorders>
            <w:shd w:fill="FFFFFF" w:val="clear"/>
            <w:tcMar>
              <w:left w:w="0" w:type="dxa"/>
              <w:right w:w="0" w:type="dxa"/>
            </w:tcMar>
          </w:tcPr>
          <w:p>
            <w:pPr>
              <w:pStyle w:val="Normal"/>
              <w:snapToGrid w:val="false"/>
              <w:rPr/>
            </w:pPr>
            <w:r>
              <w:rPr/>
            </w:r>
          </w:p>
        </w:tc>
        <w:tc>
          <w:tcPr>
            <w:tcW w:w="9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611" w:type="dxa"/>
            <w:tcBorders>
              <w:left w:val="single" w:sz="8" w:space="0" w:color="000000"/>
            </w:tcBorders>
            <w:shd w:fill="FFFFFF" w:val="clear"/>
          </w:tcPr>
          <w:p>
            <w:pPr>
              <w:pStyle w:val="Normal"/>
              <w:jc w:val="both"/>
              <w:rPr/>
            </w:pPr>
            <w:r>
              <w:rPr/>
              <w:t>а) ВЛ на деревянных опорах при наличии грозозащитных устройств, а также на металлических и железобетонных опорах</w:t>
            </w:r>
          </w:p>
        </w:tc>
        <w:tc>
          <w:tcPr>
            <w:tcW w:w="952" w:type="dxa"/>
            <w:tcBorders>
              <w:left w:val="single" w:sz="8" w:space="0" w:color="000000"/>
            </w:tcBorders>
            <w:shd w:fill="FFFFFF" w:val="clear"/>
            <w:tcMar>
              <w:left w:w="0" w:type="dxa"/>
              <w:right w:w="0" w:type="dxa"/>
            </w:tcMar>
          </w:tcPr>
          <w:p>
            <w:pPr>
              <w:pStyle w:val="Normal"/>
              <w:jc w:val="center"/>
              <w:rPr/>
            </w:pPr>
            <w:r>
              <w:rPr/>
              <w:t>2</w:t>
            </w:r>
          </w:p>
        </w:tc>
        <w:tc>
          <w:tcPr>
            <w:tcW w:w="955" w:type="dxa"/>
            <w:tcBorders>
              <w:left w:val="single" w:sz="8" w:space="0" w:color="000000"/>
            </w:tcBorders>
            <w:shd w:fill="FFFFFF" w:val="clear"/>
            <w:tcMar>
              <w:left w:w="0" w:type="dxa"/>
              <w:right w:w="0" w:type="dxa"/>
            </w:tcMar>
          </w:tcPr>
          <w:p>
            <w:pPr>
              <w:pStyle w:val="Normal"/>
              <w:jc w:val="center"/>
              <w:rPr/>
            </w:pPr>
            <w:r>
              <w:rPr/>
              <w:t>3</w:t>
            </w:r>
          </w:p>
        </w:tc>
        <w:tc>
          <w:tcPr>
            <w:tcW w:w="954" w:type="dxa"/>
            <w:tcBorders>
              <w:left w:val="single" w:sz="8" w:space="0" w:color="000000"/>
            </w:tcBorders>
            <w:shd w:fill="FFFFFF" w:val="clear"/>
            <w:tcMar>
              <w:left w:w="0" w:type="dxa"/>
              <w:right w:w="0" w:type="dxa"/>
            </w:tcMar>
          </w:tcPr>
          <w:p>
            <w:pPr>
              <w:pStyle w:val="Normal"/>
              <w:jc w:val="center"/>
              <w:rPr/>
            </w:pPr>
            <w:r>
              <w:rPr/>
              <w:t>4</w:t>
            </w:r>
          </w:p>
        </w:tc>
        <w:tc>
          <w:tcPr>
            <w:tcW w:w="954" w:type="dxa"/>
            <w:tcBorders>
              <w:left w:val="single" w:sz="8" w:space="0" w:color="000000"/>
            </w:tcBorders>
            <w:shd w:fill="FFFFFF" w:val="clear"/>
            <w:tcMar>
              <w:left w:w="0" w:type="dxa"/>
              <w:right w:w="0" w:type="dxa"/>
            </w:tcMar>
          </w:tcPr>
          <w:p>
            <w:pPr>
              <w:pStyle w:val="Normal"/>
              <w:jc w:val="center"/>
              <w:rPr/>
            </w:pPr>
            <w:r>
              <w:rPr/>
              <w:t>4</w:t>
            </w:r>
          </w:p>
        </w:tc>
        <w:tc>
          <w:tcPr>
            <w:tcW w:w="954" w:type="dxa"/>
            <w:tcBorders>
              <w:left w:val="single" w:sz="8" w:space="0" w:color="000000"/>
            </w:tcBorders>
            <w:shd w:fill="FFFFFF" w:val="clear"/>
            <w:tcMar>
              <w:left w:w="0" w:type="dxa"/>
              <w:right w:w="0" w:type="dxa"/>
            </w:tcMar>
          </w:tcPr>
          <w:p>
            <w:pPr>
              <w:pStyle w:val="Normal"/>
              <w:jc w:val="center"/>
              <w:rPr/>
            </w:pPr>
            <w:r>
              <w:rPr/>
              <w:t>5</w:t>
            </w:r>
          </w:p>
        </w:tc>
        <w:tc>
          <w:tcPr>
            <w:tcW w:w="9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3611" w:type="dxa"/>
            <w:tcBorders>
              <w:left w:val="single" w:sz="8" w:space="0" w:color="000000"/>
            </w:tcBorders>
            <w:shd w:fill="FFFFFF" w:val="clear"/>
          </w:tcPr>
          <w:p>
            <w:pPr>
              <w:pStyle w:val="Normal"/>
              <w:jc w:val="both"/>
              <w:rPr/>
            </w:pPr>
            <w:r>
              <w:rPr/>
              <w:t>б) ВЛ на деревянных опорах при отсутствии грозозащитных устройств</w:t>
            </w:r>
          </w:p>
        </w:tc>
        <w:tc>
          <w:tcPr>
            <w:tcW w:w="952" w:type="dxa"/>
            <w:tcBorders>
              <w:left w:val="single" w:sz="8" w:space="0" w:color="000000"/>
            </w:tcBorders>
            <w:shd w:fill="FFFFFF" w:val="clear"/>
            <w:tcMar>
              <w:left w:w="0" w:type="dxa"/>
              <w:right w:w="0" w:type="dxa"/>
            </w:tcMar>
          </w:tcPr>
          <w:p>
            <w:pPr>
              <w:pStyle w:val="Normal"/>
              <w:jc w:val="center"/>
              <w:rPr/>
            </w:pPr>
            <w:r>
              <w:rPr/>
              <w:t>4</w:t>
            </w:r>
          </w:p>
        </w:tc>
        <w:tc>
          <w:tcPr>
            <w:tcW w:w="955" w:type="dxa"/>
            <w:tcBorders>
              <w:left w:val="single" w:sz="8" w:space="0" w:color="000000"/>
            </w:tcBorders>
            <w:shd w:fill="FFFFFF" w:val="clear"/>
            <w:tcMar>
              <w:left w:w="0" w:type="dxa"/>
              <w:right w:w="0" w:type="dxa"/>
            </w:tcMar>
          </w:tcPr>
          <w:p>
            <w:pPr>
              <w:pStyle w:val="Normal"/>
              <w:jc w:val="center"/>
              <w:rPr/>
            </w:pPr>
            <w:r>
              <w:rPr/>
              <w:t>5</w:t>
            </w:r>
          </w:p>
        </w:tc>
        <w:tc>
          <w:tcPr>
            <w:tcW w:w="954" w:type="dxa"/>
            <w:tcBorders>
              <w:left w:val="single" w:sz="8" w:space="0" w:color="000000"/>
            </w:tcBorders>
            <w:shd w:fill="FFFFFF" w:val="clear"/>
            <w:tcMar>
              <w:left w:w="0" w:type="dxa"/>
              <w:right w:w="0" w:type="dxa"/>
            </w:tcMar>
          </w:tcPr>
          <w:p>
            <w:pPr>
              <w:pStyle w:val="Normal"/>
              <w:jc w:val="center"/>
              <w:rPr/>
            </w:pPr>
            <w:r>
              <w:rPr/>
              <w:t>6</w:t>
            </w:r>
          </w:p>
        </w:tc>
        <w:tc>
          <w:tcPr>
            <w:tcW w:w="954" w:type="dxa"/>
            <w:tcBorders>
              <w:left w:val="single" w:sz="8" w:space="0" w:color="000000"/>
            </w:tcBorders>
            <w:shd w:fill="FFFFFF" w:val="clear"/>
            <w:tcMar>
              <w:left w:w="0" w:type="dxa"/>
              <w:right w:w="0" w:type="dxa"/>
            </w:tcMar>
          </w:tcPr>
          <w:p>
            <w:pPr>
              <w:pStyle w:val="Normal"/>
              <w:jc w:val="center"/>
              <w:rPr/>
            </w:pPr>
            <w:r>
              <w:rPr/>
              <w:t>6</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3611" w:type="dxa"/>
            <w:tcBorders>
              <w:left w:val="single" w:sz="8" w:space="0" w:color="000000"/>
              <w:bottom w:val="single" w:sz="8" w:space="0" w:color="000000"/>
              <w:insideH w:val="single" w:sz="8" w:space="0" w:color="000000"/>
            </w:tcBorders>
            <w:shd w:fill="FFFFFF" w:val="clear"/>
          </w:tcPr>
          <w:p>
            <w:pPr>
              <w:pStyle w:val="Normal"/>
              <w:jc w:val="both"/>
              <w:rPr/>
            </w:pPr>
            <w:r>
              <w:rPr/>
              <w:t>Обрыв проводов в смежных пролетах</w:t>
            </w:r>
          </w:p>
        </w:tc>
        <w:tc>
          <w:tcPr>
            <w:tcW w:w="9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9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97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bl>
    <w:p>
      <w:pPr>
        <w:pStyle w:val="Normal"/>
        <w:spacing w:before="120" w:after="0"/>
        <w:ind w:firstLine="283"/>
        <w:jc w:val="both"/>
        <w:rPr/>
      </w:pPr>
      <w:r>
        <w:rPr/>
        <w:t>15) на деревянных опорах ЛС и ЛПВ,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ЛПВ.</w:t>
      </w:r>
    </w:p>
    <w:p>
      <w:pPr>
        <w:pStyle w:val="Normal"/>
        <w:ind w:firstLine="283"/>
        <w:jc w:val="both"/>
        <w:rPr/>
      </w:pPr>
      <w:r>
        <w:rPr/>
        <w:t>2.5.241. 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pPr>
        <w:pStyle w:val="Normal"/>
        <w:ind w:firstLine="283"/>
        <w:jc w:val="both"/>
        <w:rPr/>
      </w:pPr>
      <w:r>
        <w:rPr/>
        <w:t>2.5.242. При сближении ВЛ с ЛС и ЛПВ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pPr>
        <w:pStyle w:val="Normal"/>
        <w:ind w:firstLine="283"/>
        <w:jc w:val="both"/>
        <w:rPr/>
      </w:pPr>
      <w:r>
        <w:rPr/>
        <w:t>2.5.243. При сближении ВЛ с воздушными ЛС и ЛПВ наименьшие расстояния от крайних неотклоненных проводов ВЛ до опор ЛС и ЛПВ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табл. 2.5.31. При этом расстояние в свету от ближайшего неотклоненного провода ВЛ до вершин опор ЛС и ЛПВ должно быть не менее: 15 м - для ВЛ до 330 кВ, 20 м - для ВЛ 500 кВ, 30 м - для ВЛ 750 кВ.</w:t>
      </w:r>
    </w:p>
    <w:p>
      <w:pPr>
        <w:pStyle w:val="Normal"/>
        <w:ind w:firstLine="283"/>
        <w:jc w:val="both"/>
        <w:rPr/>
      </w:pPr>
      <w:r>
        <w:rPr/>
        <w:t>Шаг транспозиции ВЛ по условию влияния на ЛС и ЛПВ не нормируется.</w:t>
      </w:r>
    </w:p>
    <w:p>
      <w:pPr>
        <w:pStyle w:val="Normal"/>
        <w:spacing w:before="120" w:after="120"/>
        <w:jc w:val="right"/>
        <w:rPr/>
      </w:pPr>
      <w:r>
        <w:rPr>
          <w:spacing w:val="40"/>
        </w:rPr>
        <w:t>Таблица</w:t>
      </w:r>
      <w:r>
        <w:rPr/>
        <w:t xml:space="preserve"> 2.5.31</w:t>
      </w:r>
    </w:p>
    <w:p>
      <w:pPr>
        <w:pStyle w:val="Normal"/>
        <w:spacing w:before="0" w:after="120"/>
        <w:jc w:val="center"/>
        <w:rPr>
          <w:b/>
          <w:b/>
          <w:bCs/>
        </w:rPr>
      </w:pPr>
      <w:r>
        <w:rPr>
          <w:b/>
          <w:bCs/>
        </w:rPr>
        <w:t>Наименьшие расстояния между проводами ВЛ при наибольшем отклонении их ветром и опорами ЛС и ЛПВ в условиях стесненной трассы</w:t>
      </w:r>
    </w:p>
    <w:tbl>
      <w:tblPr>
        <w:tblW w:w="5000" w:type="pct"/>
        <w:jc w:val="center"/>
        <w:tblInd w:w="0" w:type="dxa"/>
        <w:tblBorders>
          <w:top w:val="single" w:sz="8" w:space="0" w:color="000000"/>
          <w:left w:val="single" w:sz="8" w:space="0" w:color="000000"/>
        </w:tblBorders>
        <w:tblCellMar>
          <w:top w:w="0" w:type="dxa"/>
          <w:left w:w="28" w:type="dxa"/>
          <w:bottom w:w="0" w:type="dxa"/>
          <w:right w:w="28" w:type="dxa"/>
        </w:tblCellMar>
      </w:tblPr>
      <w:tblGrid>
        <w:gridCol w:w="3937"/>
        <w:gridCol w:w="899"/>
        <w:gridCol w:w="900"/>
        <w:gridCol w:w="900"/>
        <w:gridCol w:w="899"/>
        <w:gridCol w:w="900"/>
        <w:gridCol w:w="920"/>
      </w:tblGrid>
      <w:tr>
        <w:trPr>
          <w:tblHeader w:val="true"/>
        </w:trPr>
        <w:tc>
          <w:tcPr>
            <w:tcW w:w="3937" w:type="dxa"/>
            <w:tcBorders>
              <w:top w:val="single" w:sz="8" w:space="0" w:color="000000"/>
              <w:left w:val="single" w:sz="8" w:space="0" w:color="000000"/>
            </w:tcBorders>
            <w:shd w:fill="FFFFFF" w:val="clear"/>
            <w:vAlign w:val="center"/>
          </w:tcPr>
          <w:p>
            <w:pPr>
              <w:pStyle w:val="Normal"/>
              <w:jc w:val="both"/>
              <w:rPr/>
            </w:pPr>
            <w:r>
              <w:rPr/>
              <w:t>Напряжение ВЛ, кВ</w:t>
            </w:r>
          </w:p>
        </w:tc>
        <w:tc>
          <w:tcPr>
            <w:tcW w:w="899"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До 20</w:t>
            </w:r>
          </w:p>
        </w:tc>
        <w:tc>
          <w:tcPr>
            <w:tcW w:w="900"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35 - 110</w:t>
            </w:r>
          </w:p>
        </w:tc>
        <w:tc>
          <w:tcPr>
            <w:tcW w:w="900"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150</w:t>
            </w:r>
          </w:p>
        </w:tc>
        <w:tc>
          <w:tcPr>
            <w:tcW w:w="899"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220</w:t>
            </w:r>
          </w:p>
        </w:tc>
        <w:tc>
          <w:tcPr>
            <w:tcW w:w="900" w:type="dxa"/>
            <w:tcBorders>
              <w:top w:val="single" w:sz="8" w:space="0" w:color="000000"/>
              <w:left w:val="single" w:sz="8" w:space="0" w:color="000000"/>
            </w:tcBorders>
            <w:shd w:fill="FFFFFF" w:val="clear"/>
            <w:tcMar>
              <w:left w:w="0" w:type="dxa"/>
              <w:right w:w="0" w:type="dxa"/>
            </w:tcMar>
            <w:vAlign w:val="center"/>
          </w:tcPr>
          <w:p>
            <w:pPr>
              <w:pStyle w:val="Normal"/>
              <w:jc w:val="center"/>
              <w:rPr/>
            </w:pPr>
            <w:r>
              <w:rPr/>
              <w:t>330</w:t>
            </w:r>
          </w:p>
        </w:tc>
        <w:tc>
          <w:tcPr>
            <w:tcW w:w="920" w:type="dxa"/>
            <w:tcBorders>
              <w:top w:val="single" w:sz="8" w:space="0" w:color="000000"/>
              <w:left w:val="single" w:sz="8" w:space="0" w:color="000000"/>
              <w:right w:val="single" w:sz="8" w:space="0" w:color="000000"/>
              <w:insideV w:val="single" w:sz="8" w:space="0" w:color="000000"/>
            </w:tcBorders>
            <w:shd w:fill="FFFFFF" w:val="clear"/>
            <w:tcMar>
              <w:left w:w="0" w:type="dxa"/>
              <w:right w:w="0" w:type="dxa"/>
            </w:tcMar>
            <w:vAlign w:val="center"/>
          </w:tcPr>
          <w:p>
            <w:pPr>
              <w:pStyle w:val="Normal"/>
              <w:jc w:val="center"/>
              <w:rPr/>
            </w:pPr>
            <w:r>
              <w:rPr/>
              <w:t>500 - 750</w:t>
            </w:r>
          </w:p>
        </w:tc>
      </w:tr>
      <w:tr>
        <w:trPr/>
        <w:tc>
          <w:tcPr>
            <w:tcW w:w="3937" w:type="dxa"/>
            <w:tcBorders>
              <w:left w:val="single" w:sz="8" w:space="0" w:color="000000"/>
              <w:bottom w:val="single" w:sz="8" w:space="0" w:color="000000"/>
              <w:insideH w:val="single" w:sz="8" w:space="0" w:color="000000"/>
            </w:tcBorders>
            <w:shd w:fill="FFFFFF" w:val="clear"/>
          </w:tcPr>
          <w:p>
            <w:pPr>
              <w:pStyle w:val="Normal"/>
              <w:jc w:val="both"/>
              <w:rPr/>
            </w:pPr>
            <w:r>
              <w:rPr/>
              <w:t>Наименьшее расстояние, м</w:t>
            </w:r>
          </w:p>
        </w:tc>
        <w:tc>
          <w:tcPr>
            <w:tcW w:w="8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9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9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8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9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w:t>
            </w:r>
          </w:p>
        </w:tc>
        <w:tc>
          <w:tcPr>
            <w:tcW w:w="9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bl>
    <w:p>
      <w:pPr>
        <w:pStyle w:val="Normal"/>
        <w:spacing w:before="120" w:after="0"/>
        <w:ind w:firstLine="283"/>
        <w:jc w:val="both"/>
        <w:rPr/>
      </w:pPr>
      <w:r>
        <w:rPr/>
        <w:t>Опоры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pPr>
        <w:pStyle w:val="Normal"/>
        <w:ind w:firstLine="283"/>
        <w:jc w:val="both"/>
        <w:rPr/>
      </w:pPr>
      <w:r>
        <w:rPr/>
        <w:t>2.5.244. При сближении ВЛ со штыревыми изоляторами на участках, имеющих углы поворота, с воздушными ЛС и ЛПВ расстояния между ними должны быть такими, чтобы провод, сорвавшийся с угловой опоры ВЛ, не мог оказаться от ближайшего провода ЛС и ЛПВ на расстояниях менее приведенных в табл. 2.5.31. При невозможности выполнить это требование провода ВЛ, отходящие с внутренней стороны поворота, должны иметь двойное крепление.</w:t>
      </w:r>
    </w:p>
    <w:p>
      <w:pPr>
        <w:pStyle w:val="Normal"/>
        <w:ind w:firstLine="283"/>
        <w:jc w:val="both"/>
        <w:rPr/>
      </w:pPr>
      <w:r>
        <w:rPr/>
        <w:t>2.5.245. При сближении ВЛ с подземными кабелями ЛС и ЛПВ наименьшие расстояния между ними и меры защиты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p>
      <w:pPr>
        <w:pStyle w:val="Normal"/>
        <w:ind w:firstLine="283"/>
        <w:jc w:val="both"/>
        <w:rPr/>
      </w:pPr>
      <w:r>
        <w:rPr/>
        <w:t>Наименьшие расстояния от заземлителя и подземной части опоры ВЛ до подземного кабеля ЛС и ЛПВ должны быть не менее приведенных в табл. 2.5.26.</w:t>
      </w:r>
    </w:p>
    <w:p>
      <w:pPr>
        <w:pStyle w:val="Normal"/>
        <w:ind w:firstLine="283"/>
        <w:jc w:val="both"/>
        <w:rPr/>
      </w:pPr>
      <w:r>
        <w:rPr/>
        <w:t>2.5.246. Расстояния от ВЛ до антенных сооружений передающих радиоцентров должны приниматься по табл. 2.5.32.</w:t>
      </w:r>
    </w:p>
    <w:p>
      <w:pPr>
        <w:pStyle w:val="Normal"/>
        <w:spacing w:before="120" w:after="120"/>
        <w:jc w:val="right"/>
        <w:rPr/>
      </w:pPr>
      <w:r>
        <w:rPr>
          <w:spacing w:val="40"/>
        </w:rPr>
        <w:t>Таблица</w:t>
      </w:r>
      <w:r>
        <w:rPr/>
        <w:t xml:space="preserve"> 2.5.32</w:t>
      </w:r>
    </w:p>
    <w:p>
      <w:pPr>
        <w:pStyle w:val="Normal"/>
        <w:spacing w:before="0" w:after="120"/>
        <w:jc w:val="center"/>
        <w:rPr>
          <w:b/>
          <w:b/>
          <w:bCs/>
        </w:rPr>
      </w:pPr>
      <w:r>
        <w:rPr>
          <w:b/>
          <w:bCs/>
        </w:rPr>
        <w:t>Наименьшие расстояния от ВЛ до антенных сооружений передающих радиоцентров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393"/>
        <w:gridCol w:w="2472"/>
        <w:gridCol w:w="2490"/>
      </w:tblGrid>
      <w:tr>
        <w:trPr>
          <w:tblHeader w:val="true"/>
        </w:trPr>
        <w:tc>
          <w:tcPr>
            <w:tcW w:w="439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Антенные сооружения</w:t>
            </w:r>
          </w:p>
        </w:tc>
        <w:tc>
          <w:tcPr>
            <w:tcW w:w="4962"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Расстояния, м, при напряжении ВЛ, кВ</w:t>
            </w:r>
          </w:p>
        </w:tc>
      </w:tr>
      <w:tr>
        <w:trPr>
          <w:tblHeader w:val="true"/>
        </w:trPr>
        <w:tc>
          <w:tcPr>
            <w:tcW w:w="439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2"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110</w:t>
            </w:r>
          </w:p>
        </w:tc>
        <w:tc>
          <w:tcPr>
            <w:tcW w:w="24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150 - 750</w:t>
            </w:r>
          </w:p>
        </w:tc>
      </w:tr>
      <w:tr>
        <w:trPr/>
        <w:tc>
          <w:tcPr>
            <w:tcW w:w="4393" w:type="dxa"/>
            <w:tcBorders>
              <w:left w:val="single" w:sz="8" w:space="0" w:color="000000"/>
            </w:tcBorders>
            <w:shd w:fill="FFFFFF" w:val="clear"/>
          </w:tcPr>
          <w:p>
            <w:pPr>
              <w:pStyle w:val="Normal"/>
              <w:jc w:val="both"/>
              <w:rPr/>
            </w:pPr>
            <w:r>
              <w:rPr/>
              <w:t>Средневолновые и длинноволновые передающие антенны</w:t>
            </w:r>
          </w:p>
        </w:tc>
        <w:tc>
          <w:tcPr>
            <w:tcW w:w="4962" w:type="dxa"/>
            <w:gridSpan w:val="2"/>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За пределами высокочастотного заземляющего устройства, но не менее 100</w:t>
            </w:r>
          </w:p>
        </w:tc>
      </w:tr>
      <w:tr>
        <w:trPr/>
        <w:tc>
          <w:tcPr>
            <w:tcW w:w="4393" w:type="dxa"/>
            <w:tcBorders>
              <w:left w:val="single" w:sz="8" w:space="0" w:color="000000"/>
            </w:tcBorders>
            <w:shd w:fill="FFFFFF" w:val="clear"/>
          </w:tcPr>
          <w:p>
            <w:pPr>
              <w:pStyle w:val="Normal"/>
              <w:jc w:val="both"/>
              <w:rPr/>
            </w:pPr>
            <w:r>
              <w:rPr/>
              <w:t>Коротковолновые передающие антенны:</w:t>
            </w:r>
          </w:p>
        </w:tc>
        <w:tc>
          <w:tcPr>
            <w:tcW w:w="2472" w:type="dxa"/>
            <w:tcBorders>
              <w:left w:val="single" w:sz="8" w:space="0" w:color="000000"/>
            </w:tcBorders>
            <w:shd w:fill="FFFFFF" w:val="clear"/>
            <w:tcMar>
              <w:left w:w="0" w:type="dxa"/>
              <w:right w:w="0" w:type="dxa"/>
            </w:tcMar>
          </w:tcPr>
          <w:p>
            <w:pPr>
              <w:pStyle w:val="Normal"/>
              <w:snapToGrid w:val="false"/>
              <w:rPr/>
            </w:pPr>
            <w:r>
              <w:rPr/>
            </w:r>
          </w:p>
        </w:tc>
        <w:tc>
          <w:tcPr>
            <w:tcW w:w="249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393" w:type="dxa"/>
            <w:tcBorders>
              <w:left w:val="single" w:sz="8" w:space="0" w:color="000000"/>
            </w:tcBorders>
            <w:shd w:fill="FFFFFF" w:val="clear"/>
          </w:tcPr>
          <w:p>
            <w:pPr>
              <w:pStyle w:val="Normal"/>
              <w:jc w:val="both"/>
              <w:rPr/>
            </w:pPr>
            <w:r>
              <w:rPr/>
              <w:t>в направлении наибольшего излучения</w:t>
            </w:r>
          </w:p>
        </w:tc>
        <w:tc>
          <w:tcPr>
            <w:tcW w:w="2472" w:type="dxa"/>
            <w:tcBorders>
              <w:left w:val="single" w:sz="8" w:space="0" w:color="000000"/>
            </w:tcBorders>
            <w:shd w:fill="FFFFFF" w:val="clear"/>
            <w:tcMar>
              <w:left w:w="0" w:type="dxa"/>
              <w:right w:w="0" w:type="dxa"/>
            </w:tcMar>
          </w:tcPr>
          <w:p>
            <w:pPr>
              <w:pStyle w:val="Normal"/>
              <w:jc w:val="center"/>
              <w:rPr/>
            </w:pPr>
            <w:r>
              <w:rPr/>
              <w:t>200</w:t>
            </w:r>
          </w:p>
        </w:tc>
        <w:tc>
          <w:tcPr>
            <w:tcW w:w="249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300</w:t>
            </w:r>
          </w:p>
        </w:tc>
      </w:tr>
      <w:tr>
        <w:trPr/>
        <w:tc>
          <w:tcPr>
            <w:tcW w:w="4393" w:type="dxa"/>
            <w:tcBorders>
              <w:left w:val="single" w:sz="8" w:space="0" w:color="000000"/>
            </w:tcBorders>
            <w:shd w:fill="FFFFFF" w:val="clear"/>
          </w:tcPr>
          <w:p>
            <w:pPr>
              <w:pStyle w:val="Normal"/>
              <w:jc w:val="both"/>
              <w:rPr/>
            </w:pPr>
            <w:r>
              <w:rPr/>
              <w:t>в остальных направлениях</w:t>
            </w:r>
          </w:p>
        </w:tc>
        <w:tc>
          <w:tcPr>
            <w:tcW w:w="2472" w:type="dxa"/>
            <w:tcBorders>
              <w:left w:val="single" w:sz="8" w:space="0" w:color="000000"/>
            </w:tcBorders>
            <w:shd w:fill="FFFFFF" w:val="clear"/>
            <w:tcMar>
              <w:left w:w="0" w:type="dxa"/>
              <w:right w:w="0" w:type="dxa"/>
            </w:tcMar>
          </w:tcPr>
          <w:p>
            <w:pPr>
              <w:pStyle w:val="Normal"/>
              <w:jc w:val="center"/>
              <w:rPr/>
            </w:pPr>
            <w:r>
              <w:rPr/>
              <w:t>50</w:t>
            </w:r>
          </w:p>
        </w:tc>
        <w:tc>
          <w:tcPr>
            <w:tcW w:w="249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4393" w:type="dxa"/>
            <w:tcBorders>
              <w:left w:val="single" w:sz="8" w:space="0" w:color="000000"/>
              <w:bottom w:val="single" w:sz="8" w:space="0" w:color="000000"/>
              <w:insideH w:val="single" w:sz="8" w:space="0" w:color="000000"/>
            </w:tcBorders>
            <w:shd w:fill="FFFFFF" w:val="clear"/>
          </w:tcPr>
          <w:p>
            <w:pPr>
              <w:pStyle w:val="Normal"/>
              <w:jc w:val="both"/>
              <w:rPr/>
            </w:pPr>
            <w:r>
              <w:rPr/>
              <w:t>Коротковолновые передающие слабонаправленные и ненаправленные антенны</w:t>
            </w:r>
          </w:p>
        </w:tc>
        <w:tc>
          <w:tcPr>
            <w:tcW w:w="247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249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200</w:t>
            </w:r>
          </w:p>
        </w:tc>
      </w:tr>
    </w:tbl>
    <w:p>
      <w:pPr>
        <w:pStyle w:val="Normal"/>
        <w:spacing w:before="120" w:after="0"/>
        <w:ind w:firstLine="283"/>
        <w:jc w:val="both"/>
        <w:rPr/>
      </w:pPr>
      <w:r>
        <w:rPr/>
        <w:t>2.5.247.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2.5.33. Возможность пересечения ВЛ со створом радиорелейной линии устанавливается при проектировании ВЛ.</w:t>
      </w:r>
    </w:p>
    <w:p>
      <w:pPr>
        <w:pStyle w:val="Normal"/>
        <w:ind w:firstLine="283"/>
        <w:jc w:val="both"/>
        <w:rPr/>
      </w:pPr>
      <w:r>
        <w:rPr/>
        <w:t>2.5.248. Расстояния от ВЛ до границ приемных радиоцентров и выделенных приемных пунктов радиофикации и местных радиоузлов должны приниматься по табл. 2.5.33.</w:t>
      </w:r>
    </w:p>
    <w:p>
      <w:pPr>
        <w:pStyle w:val="Normal"/>
        <w:ind w:firstLine="283"/>
        <w:jc w:val="both"/>
        <w:rPr/>
      </w:pPr>
      <w:r>
        <w:rP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p>
      <w:pPr>
        <w:pStyle w:val="Normal"/>
        <w:ind w:firstLine="283"/>
        <w:jc w:val="both"/>
        <w:rPr/>
      </w:pPr>
      <w:r>
        <w:rPr/>
        <w:t>Если соблюдение расстояний, указанных в табл. 2.5.33,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pPr>
        <w:pStyle w:val="Normal"/>
        <w:spacing w:before="120" w:after="120"/>
        <w:jc w:val="right"/>
        <w:rPr/>
      </w:pPr>
      <w:r>
        <w:rPr>
          <w:spacing w:val="40"/>
        </w:rPr>
        <w:t>Таблица</w:t>
      </w:r>
      <w:r>
        <w:rPr/>
        <w:t xml:space="preserve"> 2.5.33</w:t>
      </w:r>
    </w:p>
    <w:p>
      <w:pPr>
        <w:pStyle w:val="Normal"/>
        <w:spacing w:before="0" w:after="120"/>
        <w:jc w:val="center"/>
        <w:rPr>
          <w:b/>
          <w:b/>
          <w:bCs/>
        </w:rPr>
      </w:pPr>
      <w:r>
        <w:rPr>
          <w:b/>
          <w:bCs/>
        </w:rPr>
        <w:t>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199"/>
        <w:gridCol w:w="1378"/>
        <w:gridCol w:w="1378"/>
        <w:gridCol w:w="1400"/>
      </w:tblGrid>
      <w:tr>
        <w:trPr>
          <w:tblHeader w:val="true"/>
        </w:trPr>
        <w:tc>
          <w:tcPr>
            <w:tcW w:w="519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Радиоустройства</w:t>
            </w:r>
          </w:p>
        </w:tc>
        <w:tc>
          <w:tcPr>
            <w:tcW w:w="4156"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м, при напряжении ВЛ, кВ</w:t>
            </w:r>
          </w:p>
        </w:tc>
      </w:tr>
      <w:tr>
        <w:trPr>
          <w:tblHeader w:val="true"/>
        </w:trPr>
        <w:tc>
          <w:tcPr>
            <w:tcW w:w="519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78"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35</w:t>
            </w:r>
          </w:p>
        </w:tc>
        <w:tc>
          <w:tcPr>
            <w:tcW w:w="137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110 - 220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330 - 750</w:t>
            </w:r>
          </w:p>
        </w:tc>
      </w:tr>
      <w:tr>
        <w:trPr/>
        <w:tc>
          <w:tcPr>
            <w:tcW w:w="5199" w:type="dxa"/>
            <w:tcBorders>
              <w:left w:val="single" w:sz="8" w:space="0" w:color="000000"/>
            </w:tcBorders>
            <w:shd w:fill="FFFFFF" w:val="clear"/>
          </w:tcPr>
          <w:p>
            <w:pPr>
              <w:pStyle w:val="Normal"/>
              <w:jc w:val="both"/>
              <w:rPr/>
            </w:pPr>
            <w:r>
              <w:rPr/>
              <w:t>Магистральные, областные, районные, связные радиоцентры и радиорелейные станции в диаграмме направленности антенны</w:t>
            </w:r>
          </w:p>
        </w:tc>
        <w:tc>
          <w:tcPr>
            <w:tcW w:w="1378" w:type="dxa"/>
            <w:tcBorders>
              <w:left w:val="single" w:sz="8" w:space="0" w:color="000000"/>
            </w:tcBorders>
            <w:shd w:fill="FFFFFF" w:val="clear"/>
            <w:tcMar>
              <w:left w:w="0" w:type="dxa"/>
              <w:right w:w="0" w:type="dxa"/>
            </w:tcMar>
          </w:tcPr>
          <w:p>
            <w:pPr>
              <w:pStyle w:val="Normal"/>
              <w:jc w:val="center"/>
              <w:rPr/>
            </w:pPr>
            <w:r>
              <w:rPr/>
              <w:t>500</w:t>
            </w:r>
          </w:p>
        </w:tc>
        <w:tc>
          <w:tcPr>
            <w:tcW w:w="1378" w:type="dxa"/>
            <w:tcBorders>
              <w:left w:val="single" w:sz="8" w:space="0" w:color="000000"/>
            </w:tcBorders>
            <w:shd w:fill="FFFFFF" w:val="clear"/>
            <w:tcMar>
              <w:left w:w="0" w:type="dxa"/>
              <w:right w:w="0" w:type="dxa"/>
            </w:tcMar>
          </w:tcPr>
          <w:p>
            <w:pPr>
              <w:pStyle w:val="Normal"/>
              <w:jc w:val="center"/>
              <w:rPr/>
            </w:pPr>
            <w:r>
              <w:rPr/>
              <w:t>1000</w:t>
            </w:r>
          </w:p>
        </w:tc>
        <w:tc>
          <w:tcPr>
            <w:tcW w:w="140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2000</w:t>
            </w:r>
          </w:p>
        </w:tc>
      </w:tr>
      <w:tr>
        <w:trPr/>
        <w:tc>
          <w:tcPr>
            <w:tcW w:w="5199" w:type="dxa"/>
            <w:tcBorders>
              <w:left w:val="single" w:sz="8" w:space="0" w:color="000000"/>
            </w:tcBorders>
            <w:shd w:fill="FFFFFF" w:val="clear"/>
          </w:tcPr>
          <w:p>
            <w:pPr>
              <w:pStyle w:val="Normal"/>
              <w:jc w:val="both"/>
              <w:rPr/>
            </w:pPr>
            <w:r>
              <w:rPr/>
              <w:t>Радиолокационные станции, радиотехнические системы ближней навигации</w:t>
            </w:r>
          </w:p>
        </w:tc>
        <w:tc>
          <w:tcPr>
            <w:tcW w:w="1378" w:type="dxa"/>
            <w:tcBorders>
              <w:left w:val="single" w:sz="8" w:space="0" w:color="000000"/>
            </w:tcBorders>
            <w:shd w:fill="FFFFFF" w:val="clear"/>
            <w:tcMar>
              <w:left w:w="0" w:type="dxa"/>
              <w:right w:w="0" w:type="dxa"/>
            </w:tcMar>
          </w:tcPr>
          <w:p>
            <w:pPr>
              <w:pStyle w:val="Normal"/>
              <w:jc w:val="center"/>
              <w:rPr/>
            </w:pPr>
            <w:r>
              <w:rPr/>
              <w:t>1000</w:t>
            </w:r>
          </w:p>
        </w:tc>
        <w:tc>
          <w:tcPr>
            <w:tcW w:w="1378" w:type="dxa"/>
            <w:tcBorders>
              <w:left w:val="single" w:sz="8" w:space="0" w:color="000000"/>
            </w:tcBorders>
            <w:shd w:fill="FFFFFF" w:val="clear"/>
            <w:tcMar>
              <w:left w:w="0" w:type="dxa"/>
              <w:right w:w="0" w:type="dxa"/>
            </w:tcMar>
          </w:tcPr>
          <w:p>
            <w:pPr>
              <w:pStyle w:val="Normal"/>
              <w:jc w:val="center"/>
              <w:rPr/>
            </w:pPr>
            <w:r>
              <w:rPr/>
              <w:t>1000</w:t>
            </w:r>
          </w:p>
        </w:tc>
        <w:tc>
          <w:tcPr>
            <w:tcW w:w="140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1000</w:t>
            </w:r>
          </w:p>
        </w:tc>
      </w:tr>
      <w:tr>
        <w:trPr/>
        <w:tc>
          <w:tcPr>
            <w:tcW w:w="5199" w:type="dxa"/>
            <w:tcBorders>
              <w:left w:val="single" w:sz="8" w:space="0" w:color="000000"/>
            </w:tcBorders>
            <w:shd w:fill="FFFFFF" w:val="clear"/>
          </w:tcPr>
          <w:p>
            <w:pPr>
              <w:pStyle w:val="Normal"/>
              <w:jc w:val="both"/>
              <w:rPr/>
            </w:pPr>
            <w:r>
              <w:rPr/>
              <w:t>Автоматические ультракоротковолновые радиопеленгаторы</w:t>
            </w:r>
          </w:p>
        </w:tc>
        <w:tc>
          <w:tcPr>
            <w:tcW w:w="1378" w:type="dxa"/>
            <w:tcBorders>
              <w:left w:val="single" w:sz="8" w:space="0" w:color="000000"/>
            </w:tcBorders>
            <w:shd w:fill="FFFFFF" w:val="clear"/>
            <w:tcMar>
              <w:left w:w="0" w:type="dxa"/>
              <w:right w:w="0" w:type="dxa"/>
            </w:tcMar>
          </w:tcPr>
          <w:p>
            <w:pPr>
              <w:pStyle w:val="Normal"/>
              <w:jc w:val="center"/>
              <w:rPr/>
            </w:pPr>
            <w:r>
              <w:rPr/>
              <w:t>800</w:t>
            </w:r>
          </w:p>
        </w:tc>
        <w:tc>
          <w:tcPr>
            <w:tcW w:w="1378" w:type="dxa"/>
            <w:tcBorders>
              <w:left w:val="single" w:sz="8" w:space="0" w:color="000000"/>
            </w:tcBorders>
            <w:shd w:fill="FFFFFF" w:val="clear"/>
            <w:tcMar>
              <w:left w:w="0" w:type="dxa"/>
              <w:right w:w="0" w:type="dxa"/>
            </w:tcMar>
          </w:tcPr>
          <w:p>
            <w:pPr>
              <w:pStyle w:val="Normal"/>
              <w:jc w:val="center"/>
              <w:rPr/>
            </w:pPr>
            <w:r>
              <w:rPr/>
              <w:t>800</w:t>
            </w:r>
          </w:p>
        </w:tc>
        <w:tc>
          <w:tcPr>
            <w:tcW w:w="140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800</w:t>
            </w:r>
          </w:p>
        </w:tc>
      </w:tr>
      <w:tr>
        <w:trPr/>
        <w:tc>
          <w:tcPr>
            <w:tcW w:w="5199" w:type="dxa"/>
            <w:tcBorders>
              <w:left w:val="single" w:sz="8" w:space="0" w:color="000000"/>
            </w:tcBorders>
            <w:shd w:fill="FFFFFF" w:val="clear"/>
          </w:tcPr>
          <w:p>
            <w:pPr>
              <w:pStyle w:val="Normal"/>
              <w:jc w:val="both"/>
              <w:rPr/>
            </w:pPr>
            <w:r>
              <w:rPr/>
              <w:t>Коротковолновые радиопеленгаторы</w:t>
            </w:r>
          </w:p>
        </w:tc>
        <w:tc>
          <w:tcPr>
            <w:tcW w:w="1378" w:type="dxa"/>
            <w:tcBorders>
              <w:left w:val="single" w:sz="8" w:space="0" w:color="000000"/>
            </w:tcBorders>
            <w:shd w:fill="FFFFFF" w:val="clear"/>
            <w:tcMar>
              <w:left w:w="0" w:type="dxa"/>
              <w:right w:w="0" w:type="dxa"/>
            </w:tcMar>
          </w:tcPr>
          <w:p>
            <w:pPr>
              <w:pStyle w:val="Normal"/>
              <w:jc w:val="center"/>
              <w:rPr/>
            </w:pPr>
            <w:r>
              <w:rPr/>
              <w:t>700</w:t>
            </w:r>
          </w:p>
        </w:tc>
        <w:tc>
          <w:tcPr>
            <w:tcW w:w="1378" w:type="dxa"/>
            <w:tcBorders>
              <w:left w:val="single" w:sz="8" w:space="0" w:color="000000"/>
            </w:tcBorders>
            <w:shd w:fill="FFFFFF" w:val="clear"/>
            <w:tcMar>
              <w:left w:w="0" w:type="dxa"/>
              <w:right w:w="0" w:type="dxa"/>
            </w:tcMar>
          </w:tcPr>
          <w:p>
            <w:pPr>
              <w:pStyle w:val="Normal"/>
              <w:jc w:val="center"/>
              <w:rPr/>
            </w:pPr>
            <w:r>
              <w:rPr/>
              <w:t>700</w:t>
            </w:r>
          </w:p>
        </w:tc>
        <w:tc>
          <w:tcPr>
            <w:tcW w:w="140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700</w:t>
            </w:r>
          </w:p>
        </w:tc>
      </w:tr>
      <w:tr>
        <w:trPr/>
        <w:tc>
          <w:tcPr>
            <w:tcW w:w="5199" w:type="dxa"/>
            <w:tcBorders>
              <w:left w:val="single" w:sz="8" w:space="0" w:color="000000"/>
            </w:tcBorders>
            <w:shd w:fill="FFFFFF" w:val="clear"/>
          </w:tcPr>
          <w:p>
            <w:pPr>
              <w:pStyle w:val="Normal"/>
              <w:jc w:val="both"/>
              <w:rPr/>
            </w:pPr>
            <w:r>
              <w:rPr/>
              <w:t>Станции проводного вещания</w:t>
            </w:r>
          </w:p>
        </w:tc>
        <w:tc>
          <w:tcPr>
            <w:tcW w:w="1378" w:type="dxa"/>
            <w:tcBorders>
              <w:left w:val="single" w:sz="8" w:space="0" w:color="000000"/>
            </w:tcBorders>
            <w:shd w:fill="FFFFFF" w:val="clear"/>
            <w:tcMar>
              <w:left w:w="0" w:type="dxa"/>
              <w:right w:w="0" w:type="dxa"/>
            </w:tcMar>
          </w:tcPr>
          <w:p>
            <w:pPr>
              <w:pStyle w:val="Normal"/>
              <w:jc w:val="center"/>
              <w:rPr/>
            </w:pPr>
            <w:r>
              <w:rPr/>
              <w:t>200</w:t>
            </w:r>
          </w:p>
        </w:tc>
        <w:tc>
          <w:tcPr>
            <w:tcW w:w="1378" w:type="dxa"/>
            <w:tcBorders>
              <w:left w:val="single" w:sz="8" w:space="0" w:color="000000"/>
            </w:tcBorders>
            <w:shd w:fill="FFFFFF" w:val="clear"/>
            <w:tcMar>
              <w:left w:w="0" w:type="dxa"/>
              <w:right w:w="0" w:type="dxa"/>
            </w:tcMar>
          </w:tcPr>
          <w:p>
            <w:pPr>
              <w:pStyle w:val="Normal"/>
              <w:jc w:val="center"/>
              <w:rPr/>
            </w:pPr>
            <w:r>
              <w:rPr/>
              <w:t>300</w:t>
            </w:r>
          </w:p>
        </w:tc>
        <w:tc>
          <w:tcPr>
            <w:tcW w:w="140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5199" w:type="dxa"/>
            <w:tcBorders>
              <w:left w:val="single" w:sz="8" w:space="0" w:color="000000"/>
              <w:bottom w:val="single" w:sz="8" w:space="0" w:color="000000"/>
              <w:insideH w:val="single" w:sz="8" w:space="0" w:color="000000"/>
            </w:tcBorders>
            <w:shd w:fill="FFFFFF" w:val="clear"/>
          </w:tcPr>
          <w:p>
            <w:pPr>
              <w:pStyle w:val="Normal"/>
              <w:jc w:val="both"/>
              <w:rPr/>
            </w:pPr>
            <w:r>
              <w:rPr/>
              <w:t>Радиорелейные станции вне зоны направленности их антенн и створы радиорелейных линий</w:t>
            </w:r>
          </w:p>
        </w:tc>
        <w:tc>
          <w:tcPr>
            <w:tcW w:w="13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3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140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250</w:t>
            </w:r>
          </w:p>
        </w:tc>
      </w:tr>
    </w:tbl>
    <w:p>
      <w:pPr>
        <w:pStyle w:val="Normal"/>
        <w:spacing w:before="120" w:after="0"/>
        <w:ind w:firstLine="283"/>
        <w:jc w:val="both"/>
        <w:rPr/>
      </w:pPr>
      <w:r>
        <w:rPr/>
        <w:t>расстояния от ВЛ до телецентров и радиодомов должны быть не менее: 400 м - для ВЛ до 20 кВ, 700 м - для ВЛ 35 - 150 кВ, 1000 м - для ВЛ 220 - 750 кВ.</w:t>
      </w:r>
    </w:p>
    <w:p>
      <w:pPr>
        <w:pStyle w:val="Heading3"/>
        <w:rPr/>
      </w:pPr>
      <w:r>
        <w:rPr/>
        <w:t>ПЕРЕСЕЧЕНИЕ И СБЛИЖЕНИЕ ВЛ С ЖЕЛЕЗНЫМИ ДОРОГАМИ</w:t>
      </w:r>
    </w:p>
    <w:p>
      <w:pPr>
        <w:pStyle w:val="Normal"/>
        <w:ind w:firstLine="284"/>
        <w:jc w:val="both"/>
        <w:rPr/>
      </w:pPr>
      <w:r>
        <w:rPr/>
        <w:t>2.5.249. Пересечение ВЛ с железными дорогами следует выполнять, как правило, воздушными переходами. На железных дорогах с особо интенсивным движением</w:t>
      </w:r>
      <w:r>
        <w:rPr>
          <w:vertAlign w:val="superscript"/>
        </w:rPr>
        <w:t>*</w:t>
      </w:r>
      <w:r>
        <w:rPr/>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pPr>
        <w:pStyle w:val="Normal"/>
        <w:spacing w:before="120" w:after="0"/>
        <w:ind w:firstLine="283"/>
        <w:jc w:val="both"/>
        <w:rPr/>
      </w:pPr>
      <w:r>
        <w:rPr>
          <w:vertAlign w:val="superscript"/>
        </w:rPr>
        <w:t>*</w:t>
      </w:r>
      <w:r>
        <w:rPr/>
        <w:t xml:space="preserve">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pPr>
        <w:pStyle w:val="Normal"/>
        <w:spacing w:before="120" w:after="0"/>
        <w:ind w:firstLine="283"/>
        <w:jc w:val="both"/>
        <w:rPr/>
      </w:pPr>
      <w:r>
        <w:rPr/>
        <w:t>Пересечение ВЛ с железными дорогами в горловинах железнодорожных станций и в местах сопряжения анкерных участков контактной сети запрещается.</w:t>
      </w:r>
    </w:p>
    <w:p>
      <w:pPr>
        <w:pStyle w:val="Normal"/>
        <w:ind w:firstLine="283"/>
        <w:jc w:val="both"/>
        <w:rPr/>
      </w:pPr>
      <w:r>
        <w:rPr/>
        <w:t>Угол пересечения ВЛ с электрифицированными</w:t>
      </w:r>
      <w:r>
        <w:rPr>
          <w:vertAlign w:val="superscript"/>
        </w:rPr>
        <w:t>*</w:t>
      </w:r>
      <w:r>
        <w:rPr/>
        <w:t xml:space="preserve"> или подлежащими электрификации</w:t>
      </w:r>
      <w:r>
        <w:rPr>
          <w:vertAlign w:val="superscript"/>
        </w:rPr>
        <w:t>**</w:t>
      </w:r>
      <w:r>
        <w:rPr/>
        <w:t xml:space="preserve"> железными дорогами, а также угол пересечения ВЛ 750 кВ с железными дорогами общего пользования должен быть близким к 90°, но не менее 65°.</w:t>
      </w:r>
    </w:p>
    <w:p>
      <w:pPr>
        <w:pStyle w:val="Normal"/>
        <w:ind w:firstLine="283"/>
        <w:jc w:val="both"/>
        <w:rPr/>
      </w:pPr>
      <w:r>
        <w:rP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pPr>
        <w:pStyle w:val="Normal"/>
        <w:spacing w:before="120" w:after="0"/>
        <w:ind w:firstLine="283"/>
        <w:jc w:val="both"/>
        <w:rPr/>
      </w:pPr>
      <w:r>
        <w:rPr>
          <w:vertAlign w:val="superscript"/>
        </w:rPr>
        <w:t>*</w:t>
      </w:r>
      <w:r>
        <w:rPr/>
        <w:t xml:space="preserve"> К электрифицированным железным дорогам относятся все электрифицированные дороги независимо от рода тока и значения напряжения контактной сети.</w:t>
      </w:r>
    </w:p>
    <w:p>
      <w:pPr>
        <w:pStyle w:val="Normal"/>
        <w:ind w:firstLine="283"/>
        <w:jc w:val="both"/>
        <w:rPr/>
      </w:pPr>
      <w:r>
        <w:rPr>
          <w:vertAlign w:val="superscript"/>
        </w:rPr>
        <w:t>**</w:t>
      </w:r>
      <w:r>
        <w:rPr/>
        <w:t xml:space="preserve">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pPr>
        <w:pStyle w:val="Normal"/>
        <w:spacing w:before="120" w:after="0"/>
        <w:ind w:firstLine="283"/>
        <w:jc w:val="both"/>
        <w:rPr/>
      </w:pPr>
      <w:r>
        <w:rPr/>
        <w:t>2.5.250. При пересечении и сближении ВЛ с железными дорогами расстояния от основания опоры ВЛ до габарита приближения строений</w:t>
      </w:r>
      <w:r>
        <w:rPr>
          <w:vertAlign w:val="superscript"/>
        </w:rPr>
        <w:t>*</w:t>
      </w:r>
      <w:r>
        <w:rPr/>
        <w:t xml:space="preserve">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3 м. На участках стесненной трассы допускается эти расстояния принимать не менее: 3 м - для ВЛ до 20 кВ, 6 м - для ВЛ 35 - 150 кВ, 8 м - для ВЛ 220 - 330 кВ, 10 м - для ВЛ 500 кВ и 20 м - для ВЛ 750 кВ.</w:t>
      </w:r>
    </w:p>
    <w:p>
      <w:pPr>
        <w:pStyle w:val="Normal"/>
        <w:ind w:firstLine="283"/>
        <w:jc w:val="both"/>
        <w:rPr/>
      </w:pPr>
      <w:r>
        <w:rPr/>
        <w:t>Защита пересечений ВЛ с контактной сетью защитными аппаратами осуществляется в соответствии с требованиями, приведенными в 2.5.229.</w:t>
      </w:r>
    </w:p>
    <w:p>
      <w:pPr>
        <w:pStyle w:val="Normal"/>
        <w:spacing w:before="120" w:after="0"/>
        <w:ind w:firstLine="283"/>
        <w:jc w:val="both"/>
        <w:rPr/>
      </w:pPr>
      <w:r>
        <w:rPr>
          <w:vertAlign w:val="superscript"/>
        </w:rPr>
        <w:t>*</w:t>
      </w:r>
      <w:r>
        <w:rPr/>
        <w:t xml:space="preserve">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pPr>
        <w:pStyle w:val="Normal"/>
        <w:spacing w:before="120" w:after="0"/>
        <w:ind w:firstLine="283"/>
        <w:jc w:val="both"/>
        <w:rPr/>
      </w:pPr>
      <w:r>
        <w:rPr/>
        <w:t>2.5.251.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2.5.34.</w:t>
      </w:r>
    </w:p>
    <w:p>
      <w:pPr>
        <w:pStyle w:val="Normal"/>
        <w:ind w:firstLine="283"/>
        <w:jc w:val="both"/>
        <w:rPr/>
      </w:pPr>
      <w:r>
        <w:rPr/>
        <w:t>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2.5.55).</w:t>
      </w:r>
    </w:p>
    <w:p>
      <w:pPr>
        <w:pStyle w:val="Normal"/>
        <w:ind w:firstLine="283"/>
        <w:jc w:val="both"/>
        <w:rPr/>
      </w:pPr>
      <w:r>
        <w:rPr/>
        <w:t>При отсутствии данных об электрических нагрузках ВЛ температура проводов принимается равной плюс 70 °С.</w:t>
      </w:r>
    </w:p>
    <w:p>
      <w:pPr>
        <w:pStyle w:val="Normal"/>
        <w:ind w:firstLine="283"/>
        <w:jc w:val="both"/>
        <w:rPr/>
      </w:pPr>
      <w:r>
        <w:rPr/>
        <w:t>В аварийном режиме расстояния проверяются при пересечении ВЛ с проводами площадью сечения алюминиевой части менее 185 мм</w:t>
      </w:r>
      <w:r>
        <w:rPr>
          <w:vertAlign w:val="superscript"/>
        </w:rPr>
        <w:t>2</w:t>
      </w:r>
      <w:r>
        <w:rPr/>
        <w:t xml:space="preserve"> для условий среднегодовой температуры без гололеда и ветра, без учета нагрева проводов электрическим током.</w:t>
      </w:r>
    </w:p>
    <w:p>
      <w:pPr>
        <w:pStyle w:val="Normal"/>
        <w:ind w:firstLine="283"/>
        <w:jc w:val="both"/>
        <w:rPr/>
      </w:pPr>
      <w:r>
        <w:rPr/>
        <w:t>При площади сечения алюминиевой части проводов 185 мм</w:t>
      </w:r>
      <w:r>
        <w:rPr>
          <w:vertAlign w:val="superscript"/>
        </w:rPr>
        <w:t>2</w:t>
      </w:r>
      <w:r>
        <w:rPr/>
        <w:t xml:space="preserve">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7 м - для ВЛ напряжением до 110 кВ, 8 м - для ВЛ 150 - 220 кВ, 9 м - для ВЛ 330 - 500 кВ и 10 м - для ВЛ 750 кВ. В исключительных случаях на участках стесненной трассы допускается подвеска проводов ВЛ и контактной сети на общих опорах.</w:t>
      </w:r>
    </w:p>
    <w:p>
      <w:pPr>
        <w:pStyle w:val="Normal"/>
        <w:ind w:firstLine="283"/>
        <w:jc w:val="both"/>
        <w:rPr/>
      </w:pPr>
      <w:r>
        <w:rPr/>
        <w:t>При пересечении и сближении ВЛ с железными дорогами, вдоль которых проходят линии связи и сигнализации, необходимо, кроме табл. 2.5.34, руководствоваться также требованиями, предъявляемыми к пересечениям и сближениям ВЛ с сооружениями связи.</w:t>
      </w:r>
    </w:p>
    <w:p>
      <w:pPr>
        <w:pStyle w:val="Normal"/>
        <w:spacing w:before="120" w:after="120"/>
        <w:jc w:val="right"/>
        <w:rPr/>
      </w:pPr>
      <w:r>
        <w:rPr>
          <w:spacing w:val="40"/>
        </w:rPr>
        <w:t>Таблица</w:t>
      </w:r>
      <w:r>
        <w:rPr/>
        <w:t xml:space="preserve"> 2.5.34</w:t>
      </w:r>
    </w:p>
    <w:p>
      <w:pPr>
        <w:pStyle w:val="Normal"/>
        <w:spacing w:before="0" w:after="120"/>
        <w:jc w:val="center"/>
        <w:rPr>
          <w:b/>
          <w:b/>
          <w:bCs/>
        </w:rPr>
      </w:pPr>
      <w:r>
        <w:rPr>
          <w:b/>
          <w:bCs/>
        </w:rPr>
        <w:t>Наименьшие расстояния при пересечении и сближении ВЛ с железными дорогами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415"/>
        <w:gridCol w:w="584"/>
        <w:gridCol w:w="118"/>
        <w:gridCol w:w="704"/>
        <w:gridCol w:w="89"/>
        <w:gridCol w:w="618"/>
        <w:gridCol w:w="627"/>
        <w:gridCol w:w="77"/>
        <w:gridCol w:w="535"/>
        <w:gridCol w:w="167"/>
        <w:gridCol w:w="446"/>
        <w:gridCol w:w="258"/>
        <w:gridCol w:w="697"/>
        <w:gridCol w:w="20"/>
      </w:tblGrid>
      <w:tr>
        <w:trPr>
          <w:tblHeader w:val="true"/>
        </w:trPr>
        <w:tc>
          <w:tcPr>
            <w:tcW w:w="441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Пересечение или сближение</w:t>
            </w:r>
          </w:p>
        </w:tc>
        <w:tc>
          <w:tcPr>
            <w:tcW w:w="4940" w:type="dxa"/>
            <w:gridSpan w:val="1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Наименьшие расстояния, м, при напряжении ВЛ, кВ</w:t>
            </w:r>
          </w:p>
        </w:tc>
      </w:tr>
      <w:tr>
        <w:trPr>
          <w:tblHeader w:val="true"/>
        </w:trPr>
        <w:tc>
          <w:tcPr>
            <w:tcW w:w="441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702"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До 20</w:t>
            </w:r>
          </w:p>
        </w:tc>
        <w:tc>
          <w:tcPr>
            <w:tcW w:w="70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35-100</w:t>
            </w:r>
          </w:p>
        </w:tc>
        <w:tc>
          <w:tcPr>
            <w:tcW w:w="707"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704"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702"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704"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71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9355" w:type="dxa"/>
            <w:gridSpan w:val="13"/>
            <w:tcBorders>
              <w:left w:val="single" w:sz="8" w:space="0" w:color="000000"/>
              <w:bottom w:val="single" w:sz="8" w:space="0" w:color="000000"/>
              <w:right w:val="single" w:sz="8" w:space="0" w:color="000000"/>
              <w:insideH w:val="single" w:sz="8" w:space="0" w:color="000000"/>
              <w:insideV w:val="single" w:sz="8" w:space="0" w:color="000000"/>
            </w:tcBorders>
            <w:shd w:fill="FFFFFF" w:val="clear"/>
          </w:tcPr>
          <w:p>
            <w:pPr>
              <w:pStyle w:val="Normal"/>
              <w:spacing w:before="120" w:after="120"/>
              <w:jc w:val="center"/>
              <w:rPr>
                <w:i/>
                <w:i/>
                <w:iCs/>
              </w:rPr>
            </w:pPr>
            <w:r>
              <w:rPr>
                <w:i/>
                <w:iCs/>
              </w:rPr>
              <w:t>При пересечении</w:t>
            </w:r>
          </w:p>
        </w:tc>
      </w:tr>
      <w:tr>
        <w:trPr/>
        <w:tc>
          <w:tcPr>
            <w:tcW w:w="4415" w:type="dxa"/>
            <w:tcBorders>
              <w:left w:val="single" w:sz="8" w:space="0" w:color="000000"/>
            </w:tcBorders>
            <w:shd w:fill="FFFFFF" w:val="clear"/>
            <w:tcMar>
              <w:left w:w="0" w:type="dxa"/>
              <w:right w:w="0" w:type="dxa"/>
            </w:tcMar>
          </w:tcPr>
          <w:p>
            <w:pPr>
              <w:pStyle w:val="Normal"/>
              <w:jc w:val="both"/>
              <w:rPr>
                <w:i/>
                <w:i/>
                <w:iCs/>
              </w:rPr>
            </w:pPr>
            <w:r>
              <w:rPr>
                <w:i/>
                <w:iCs/>
              </w:rPr>
              <w:t>Для неэлектрифицированных железных дорог</w:t>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tcBorders>
              <w:left w:val="single" w:sz="8" w:space="0" w:color="000000"/>
            </w:tcBorders>
            <w:shd w:fill="FFFFFF" w:val="clear"/>
          </w:tcPr>
          <w:p>
            <w:pPr>
              <w:pStyle w:val="Normal"/>
              <w:snapToGrid w:val="false"/>
              <w:rPr/>
            </w:pPr>
            <w:r>
              <w:rPr/>
            </w:r>
          </w:p>
        </w:tc>
        <w:tc>
          <w:tcPr>
            <w:tcW w:w="707"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Mar>
              <w:left w:w="0" w:type="dxa"/>
              <w:right w:w="0" w:type="dxa"/>
            </w:tcMar>
          </w:tcPr>
          <w:p>
            <w:pPr>
              <w:pStyle w:val="Normal"/>
              <w:jc w:val="both"/>
              <w:rPr/>
            </w:pPr>
            <w:r>
              <w:rPr/>
              <w:t>от провода до головки рельса в нормальном режиме ВЛ по вертикали:</w:t>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tcBorders>
              <w:left w:val="single" w:sz="8" w:space="0" w:color="000000"/>
            </w:tcBorders>
            <w:shd w:fill="FFFFFF" w:val="clear"/>
          </w:tcPr>
          <w:p>
            <w:pPr>
              <w:pStyle w:val="Normal"/>
              <w:snapToGrid w:val="false"/>
              <w:rPr/>
            </w:pPr>
            <w:r>
              <w:rPr/>
            </w:r>
          </w:p>
        </w:tc>
        <w:tc>
          <w:tcPr>
            <w:tcW w:w="707"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Mar>
              <w:left w:w="0" w:type="dxa"/>
              <w:right w:w="0" w:type="dxa"/>
            </w:tcMar>
          </w:tcPr>
          <w:p>
            <w:pPr>
              <w:pStyle w:val="Normal"/>
              <w:jc w:val="both"/>
              <w:rPr/>
            </w:pPr>
            <w:r>
              <w:rPr/>
              <w:t>железных дорог широкой и узкой колеи общего пользования</w:t>
            </w:r>
          </w:p>
        </w:tc>
        <w:tc>
          <w:tcPr>
            <w:tcW w:w="702" w:type="dxa"/>
            <w:gridSpan w:val="2"/>
            <w:tcBorders>
              <w:left w:val="single" w:sz="8" w:space="0" w:color="000000"/>
            </w:tcBorders>
            <w:shd w:fill="FFFFFF" w:val="clear"/>
            <w:tcMar>
              <w:left w:w="0" w:type="dxa"/>
              <w:right w:w="0" w:type="dxa"/>
            </w:tcMar>
          </w:tcPr>
          <w:p>
            <w:pPr>
              <w:pStyle w:val="Normal"/>
              <w:jc w:val="center"/>
              <w:rPr/>
            </w:pPr>
            <w:r>
              <w:rPr/>
              <w:t>7,5</w:t>
            </w:r>
          </w:p>
        </w:tc>
        <w:tc>
          <w:tcPr>
            <w:tcW w:w="704" w:type="dxa"/>
            <w:tcBorders>
              <w:left w:val="single" w:sz="8" w:space="0" w:color="000000"/>
            </w:tcBorders>
            <w:shd w:fill="FFFFFF" w:val="clear"/>
          </w:tcPr>
          <w:p>
            <w:pPr>
              <w:pStyle w:val="Normal"/>
              <w:jc w:val="center"/>
              <w:rPr/>
            </w:pPr>
            <w:r>
              <w:rPr/>
              <w:t>7,5</w:t>
            </w:r>
          </w:p>
        </w:tc>
        <w:tc>
          <w:tcPr>
            <w:tcW w:w="707" w:type="dxa"/>
            <w:gridSpan w:val="2"/>
            <w:tcBorders>
              <w:left w:val="single" w:sz="8" w:space="0" w:color="000000"/>
            </w:tcBorders>
            <w:shd w:fill="FFFFFF" w:val="clear"/>
            <w:tcMar>
              <w:left w:w="0" w:type="dxa"/>
              <w:right w:w="0" w:type="dxa"/>
            </w:tcMar>
          </w:tcPr>
          <w:p>
            <w:pPr>
              <w:pStyle w:val="Normal"/>
              <w:jc w:val="center"/>
              <w:rPr/>
            </w:pPr>
            <w:r>
              <w:rPr/>
              <w:t>8</w:t>
            </w:r>
          </w:p>
        </w:tc>
        <w:tc>
          <w:tcPr>
            <w:tcW w:w="704" w:type="dxa"/>
            <w:gridSpan w:val="2"/>
            <w:tcBorders>
              <w:left w:val="single" w:sz="8" w:space="0" w:color="000000"/>
            </w:tcBorders>
            <w:shd w:fill="FFFFFF" w:val="clear"/>
            <w:tcMar>
              <w:left w:w="0" w:type="dxa"/>
              <w:right w:w="0" w:type="dxa"/>
            </w:tcMar>
          </w:tcPr>
          <w:p>
            <w:pPr>
              <w:pStyle w:val="Normal"/>
              <w:jc w:val="center"/>
              <w:rPr/>
            </w:pPr>
            <w:r>
              <w:rPr/>
              <w:t>8,5</w:t>
            </w:r>
          </w:p>
        </w:tc>
        <w:tc>
          <w:tcPr>
            <w:tcW w:w="702" w:type="dxa"/>
            <w:gridSpan w:val="2"/>
            <w:tcBorders>
              <w:left w:val="single" w:sz="8" w:space="0" w:color="000000"/>
            </w:tcBorders>
            <w:shd w:fill="FFFFFF" w:val="clear"/>
            <w:tcMar>
              <w:left w:w="0" w:type="dxa"/>
              <w:right w:w="0" w:type="dxa"/>
            </w:tcMar>
          </w:tcPr>
          <w:p>
            <w:pPr>
              <w:pStyle w:val="Normal"/>
              <w:jc w:val="center"/>
              <w:rPr/>
            </w:pPr>
            <w:r>
              <w:rPr/>
              <w:t>9</w:t>
            </w:r>
          </w:p>
        </w:tc>
        <w:tc>
          <w:tcPr>
            <w:tcW w:w="704" w:type="dxa"/>
            <w:gridSpan w:val="2"/>
            <w:tcBorders>
              <w:left w:val="single" w:sz="8" w:space="0" w:color="000000"/>
            </w:tcBorders>
            <w:shd w:fill="FFFFFF" w:val="clear"/>
            <w:tcMar>
              <w:left w:w="0" w:type="dxa"/>
              <w:right w:w="0" w:type="dxa"/>
            </w:tcMar>
          </w:tcPr>
          <w:p>
            <w:pPr>
              <w:pStyle w:val="Normal"/>
              <w:jc w:val="center"/>
              <w:rPr/>
            </w:pPr>
            <w:r>
              <w:rPr/>
              <w:t>9,5</w:t>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4415" w:type="dxa"/>
            <w:tcBorders>
              <w:left w:val="single" w:sz="8" w:space="0" w:color="000000"/>
            </w:tcBorders>
            <w:shd w:fill="FFFFFF" w:val="clear"/>
            <w:tcMar>
              <w:left w:w="0" w:type="dxa"/>
              <w:right w:w="0" w:type="dxa"/>
            </w:tcMar>
          </w:tcPr>
          <w:p>
            <w:pPr>
              <w:pStyle w:val="Normal"/>
              <w:jc w:val="both"/>
              <w:rPr/>
            </w:pPr>
            <w:r>
              <w:rPr/>
              <w:t>железных дорог широкой колеи необщего пользования</w:t>
            </w:r>
          </w:p>
        </w:tc>
        <w:tc>
          <w:tcPr>
            <w:tcW w:w="702" w:type="dxa"/>
            <w:gridSpan w:val="2"/>
            <w:tcBorders>
              <w:left w:val="single" w:sz="8" w:space="0" w:color="000000"/>
            </w:tcBorders>
            <w:shd w:fill="FFFFFF" w:val="clear"/>
            <w:tcMar>
              <w:left w:w="0" w:type="dxa"/>
              <w:right w:w="0" w:type="dxa"/>
            </w:tcMar>
          </w:tcPr>
          <w:p>
            <w:pPr>
              <w:pStyle w:val="Normal"/>
              <w:jc w:val="center"/>
              <w:rPr/>
            </w:pPr>
            <w:r>
              <w:rPr/>
              <w:t>7,5</w:t>
            </w:r>
          </w:p>
        </w:tc>
        <w:tc>
          <w:tcPr>
            <w:tcW w:w="704" w:type="dxa"/>
            <w:tcBorders>
              <w:left w:val="single" w:sz="8" w:space="0" w:color="000000"/>
            </w:tcBorders>
            <w:shd w:fill="FFFFFF" w:val="clear"/>
          </w:tcPr>
          <w:p>
            <w:pPr>
              <w:pStyle w:val="Normal"/>
              <w:jc w:val="center"/>
              <w:rPr/>
            </w:pPr>
            <w:r>
              <w:rPr/>
              <w:t>7,5</w:t>
            </w:r>
          </w:p>
        </w:tc>
        <w:tc>
          <w:tcPr>
            <w:tcW w:w="707" w:type="dxa"/>
            <w:gridSpan w:val="2"/>
            <w:tcBorders>
              <w:left w:val="single" w:sz="8" w:space="0" w:color="000000"/>
            </w:tcBorders>
            <w:shd w:fill="FFFFFF" w:val="clear"/>
            <w:tcMar>
              <w:left w:w="0" w:type="dxa"/>
              <w:right w:w="0" w:type="dxa"/>
            </w:tcMar>
          </w:tcPr>
          <w:p>
            <w:pPr>
              <w:pStyle w:val="Normal"/>
              <w:jc w:val="center"/>
              <w:rPr/>
            </w:pPr>
            <w:r>
              <w:rPr/>
              <w:t>8</w:t>
            </w:r>
          </w:p>
        </w:tc>
        <w:tc>
          <w:tcPr>
            <w:tcW w:w="704" w:type="dxa"/>
            <w:gridSpan w:val="2"/>
            <w:tcBorders>
              <w:left w:val="single" w:sz="8" w:space="0" w:color="000000"/>
            </w:tcBorders>
            <w:shd w:fill="FFFFFF" w:val="clear"/>
            <w:tcMar>
              <w:left w:w="0" w:type="dxa"/>
              <w:right w:w="0" w:type="dxa"/>
            </w:tcMar>
          </w:tcPr>
          <w:p>
            <w:pPr>
              <w:pStyle w:val="Normal"/>
              <w:jc w:val="center"/>
              <w:rPr/>
            </w:pPr>
            <w:r>
              <w:rPr/>
              <w:t>8,5</w:t>
            </w:r>
          </w:p>
        </w:tc>
        <w:tc>
          <w:tcPr>
            <w:tcW w:w="702" w:type="dxa"/>
            <w:gridSpan w:val="2"/>
            <w:tcBorders>
              <w:left w:val="single" w:sz="8" w:space="0" w:color="000000"/>
            </w:tcBorders>
            <w:shd w:fill="FFFFFF" w:val="clear"/>
            <w:tcMar>
              <w:left w:w="0" w:type="dxa"/>
              <w:right w:w="0" w:type="dxa"/>
            </w:tcMar>
          </w:tcPr>
          <w:p>
            <w:pPr>
              <w:pStyle w:val="Normal"/>
              <w:jc w:val="center"/>
              <w:rPr/>
            </w:pPr>
            <w:r>
              <w:rPr/>
              <w:t>9</w:t>
            </w:r>
          </w:p>
        </w:tc>
        <w:tc>
          <w:tcPr>
            <w:tcW w:w="704" w:type="dxa"/>
            <w:gridSpan w:val="2"/>
            <w:tcBorders>
              <w:left w:val="single" w:sz="8" w:space="0" w:color="000000"/>
            </w:tcBorders>
            <w:shd w:fill="FFFFFF" w:val="clear"/>
            <w:tcMar>
              <w:left w:w="0" w:type="dxa"/>
              <w:right w:w="0" w:type="dxa"/>
            </w:tcMar>
          </w:tcPr>
          <w:p>
            <w:pPr>
              <w:pStyle w:val="Normal"/>
              <w:jc w:val="center"/>
              <w:rPr/>
            </w:pPr>
            <w:r>
              <w:rPr/>
              <w:t>9,5</w:t>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w:t>
            </w:r>
          </w:p>
        </w:tc>
      </w:tr>
      <w:tr>
        <w:trPr/>
        <w:tc>
          <w:tcPr>
            <w:tcW w:w="4415" w:type="dxa"/>
            <w:tcBorders>
              <w:left w:val="single" w:sz="8" w:space="0" w:color="000000"/>
            </w:tcBorders>
            <w:shd w:fill="FFFFFF" w:val="clear"/>
            <w:tcMar>
              <w:left w:w="0" w:type="dxa"/>
              <w:right w:w="0" w:type="dxa"/>
            </w:tcMar>
          </w:tcPr>
          <w:p>
            <w:pPr>
              <w:pStyle w:val="Normal"/>
              <w:jc w:val="both"/>
              <w:rPr/>
            </w:pPr>
            <w:r>
              <w:rPr/>
              <w:t>железных дорог узкой колеи необщего пользования</w:t>
            </w:r>
          </w:p>
        </w:tc>
        <w:tc>
          <w:tcPr>
            <w:tcW w:w="702" w:type="dxa"/>
            <w:gridSpan w:val="2"/>
            <w:tcBorders>
              <w:left w:val="single" w:sz="8" w:space="0" w:color="000000"/>
            </w:tcBorders>
            <w:shd w:fill="FFFFFF" w:val="clear"/>
            <w:tcMar>
              <w:left w:w="0" w:type="dxa"/>
              <w:right w:w="0" w:type="dxa"/>
            </w:tcMar>
          </w:tcPr>
          <w:p>
            <w:pPr>
              <w:pStyle w:val="Normal"/>
              <w:jc w:val="center"/>
              <w:rPr/>
            </w:pPr>
            <w:r>
              <w:rPr/>
              <w:t>6,5</w:t>
            </w:r>
          </w:p>
        </w:tc>
        <w:tc>
          <w:tcPr>
            <w:tcW w:w="704" w:type="dxa"/>
            <w:tcBorders>
              <w:left w:val="single" w:sz="8" w:space="0" w:color="000000"/>
            </w:tcBorders>
            <w:shd w:fill="FFFFFF" w:val="clear"/>
          </w:tcPr>
          <w:p>
            <w:pPr>
              <w:pStyle w:val="Normal"/>
              <w:jc w:val="center"/>
              <w:rPr/>
            </w:pPr>
            <w:r>
              <w:rPr/>
              <w:t>6,5</w:t>
            </w:r>
          </w:p>
        </w:tc>
        <w:tc>
          <w:tcPr>
            <w:tcW w:w="707" w:type="dxa"/>
            <w:gridSpan w:val="2"/>
            <w:tcBorders>
              <w:left w:val="single" w:sz="8" w:space="0" w:color="000000"/>
            </w:tcBorders>
            <w:shd w:fill="FFFFFF" w:val="clear"/>
            <w:tcMar>
              <w:left w:w="0" w:type="dxa"/>
              <w:right w:w="0" w:type="dxa"/>
            </w:tcMar>
          </w:tcPr>
          <w:p>
            <w:pPr>
              <w:pStyle w:val="Normal"/>
              <w:jc w:val="center"/>
              <w:rPr/>
            </w:pPr>
            <w:r>
              <w:rPr/>
              <w:t>7</w:t>
            </w:r>
          </w:p>
        </w:tc>
        <w:tc>
          <w:tcPr>
            <w:tcW w:w="704" w:type="dxa"/>
            <w:gridSpan w:val="2"/>
            <w:tcBorders>
              <w:left w:val="single" w:sz="8" w:space="0" w:color="000000"/>
            </w:tcBorders>
            <w:shd w:fill="FFFFFF" w:val="clear"/>
            <w:tcMar>
              <w:left w:w="0" w:type="dxa"/>
              <w:right w:w="0" w:type="dxa"/>
            </w:tcMar>
          </w:tcPr>
          <w:p>
            <w:pPr>
              <w:pStyle w:val="Normal"/>
              <w:jc w:val="center"/>
              <w:rPr/>
            </w:pPr>
            <w:r>
              <w:rPr/>
              <w:t>7,5</w:t>
            </w:r>
          </w:p>
        </w:tc>
        <w:tc>
          <w:tcPr>
            <w:tcW w:w="702" w:type="dxa"/>
            <w:gridSpan w:val="2"/>
            <w:tcBorders>
              <w:left w:val="single" w:sz="8" w:space="0" w:color="000000"/>
            </w:tcBorders>
            <w:shd w:fill="FFFFFF" w:val="clear"/>
            <w:tcMar>
              <w:left w:w="0" w:type="dxa"/>
              <w:right w:w="0" w:type="dxa"/>
            </w:tcMar>
          </w:tcPr>
          <w:p>
            <w:pPr>
              <w:pStyle w:val="Normal"/>
              <w:jc w:val="center"/>
              <w:rPr/>
            </w:pPr>
            <w:r>
              <w:rPr/>
              <w:t>8</w:t>
            </w:r>
          </w:p>
        </w:tc>
        <w:tc>
          <w:tcPr>
            <w:tcW w:w="704" w:type="dxa"/>
            <w:gridSpan w:val="2"/>
            <w:tcBorders>
              <w:left w:val="single" w:sz="8" w:space="0" w:color="000000"/>
            </w:tcBorders>
            <w:shd w:fill="FFFFFF" w:val="clear"/>
            <w:tcMar>
              <w:left w:w="0" w:type="dxa"/>
              <w:right w:w="0" w:type="dxa"/>
            </w:tcMar>
          </w:tcPr>
          <w:p>
            <w:pPr>
              <w:pStyle w:val="Normal"/>
              <w:jc w:val="center"/>
              <w:rPr/>
            </w:pPr>
            <w:r>
              <w:rPr/>
              <w:t>8,5</w:t>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w:t>
            </w:r>
          </w:p>
        </w:tc>
      </w:tr>
      <w:tr>
        <w:trPr/>
        <w:tc>
          <w:tcPr>
            <w:tcW w:w="4415" w:type="dxa"/>
            <w:tcBorders>
              <w:left w:val="single" w:sz="8" w:space="0" w:color="000000"/>
            </w:tcBorders>
            <w:shd w:fill="FFFFFF" w:val="clear"/>
            <w:tcMar>
              <w:left w:w="0" w:type="dxa"/>
              <w:right w:w="0" w:type="dxa"/>
            </w:tcMar>
          </w:tcPr>
          <w:p>
            <w:pPr>
              <w:pStyle w:val="Normal"/>
              <w:jc w:val="both"/>
              <w:rPr/>
            </w:pPr>
            <w:r>
              <w:rPr/>
              <w:t>от провода до головки рельса при обрыве провода ВЛ в смежном пролете по вертикали:</w:t>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tcBorders>
              <w:left w:val="single" w:sz="8" w:space="0" w:color="000000"/>
            </w:tcBorders>
            <w:shd w:fill="FFFFFF" w:val="clear"/>
          </w:tcPr>
          <w:p>
            <w:pPr>
              <w:pStyle w:val="Normal"/>
              <w:snapToGrid w:val="false"/>
              <w:rPr/>
            </w:pPr>
            <w:r>
              <w:rPr/>
            </w:r>
          </w:p>
        </w:tc>
        <w:tc>
          <w:tcPr>
            <w:tcW w:w="707"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02" w:type="dxa"/>
            <w:gridSpan w:val="2"/>
            <w:tcBorders>
              <w:left w:val="single" w:sz="8" w:space="0" w:color="000000"/>
            </w:tcBorders>
            <w:shd w:fill="FFFFFF" w:val="clear"/>
            <w:tcMar>
              <w:left w:w="0" w:type="dxa"/>
              <w:right w:w="0" w:type="dxa"/>
            </w:tcMar>
          </w:tcPr>
          <w:p>
            <w:pPr>
              <w:pStyle w:val="Normal"/>
              <w:snapToGrid w:val="false"/>
              <w:rPr/>
            </w:pPr>
            <w:r>
              <w:rPr/>
            </w:r>
          </w:p>
        </w:tc>
        <w:tc>
          <w:tcPr>
            <w:tcW w:w="704" w:type="dxa"/>
            <w:gridSpan w:val="2"/>
            <w:tcBorders>
              <w:left w:val="single" w:sz="8" w:space="0" w:color="000000"/>
            </w:tcBorders>
            <w:shd w:fill="FFFFFF" w:val="clear"/>
            <w:tcMar>
              <w:left w:w="0" w:type="dxa"/>
              <w:right w:w="0" w:type="dxa"/>
            </w:tcMar>
          </w:tcPr>
          <w:p>
            <w:pPr>
              <w:pStyle w:val="Normal"/>
              <w:snapToGrid w:val="false"/>
              <w:rPr/>
            </w:pPr>
            <w:r>
              <w:rPr/>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Mar>
              <w:left w:w="0" w:type="dxa"/>
              <w:right w:w="0" w:type="dxa"/>
            </w:tcMar>
          </w:tcPr>
          <w:p>
            <w:pPr>
              <w:pStyle w:val="Normal"/>
              <w:jc w:val="both"/>
              <w:rPr/>
            </w:pPr>
            <w:r>
              <w:rPr/>
              <w:t>железных дорог широкой колеи</w:t>
            </w:r>
          </w:p>
        </w:tc>
        <w:tc>
          <w:tcPr>
            <w:tcW w:w="702" w:type="dxa"/>
            <w:gridSpan w:val="2"/>
            <w:tcBorders>
              <w:left w:val="single" w:sz="8" w:space="0" w:color="000000"/>
            </w:tcBorders>
            <w:shd w:fill="FFFFFF" w:val="clear"/>
            <w:tcMar>
              <w:left w:w="0" w:type="dxa"/>
              <w:right w:w="0" w:type="dxa"/>
            </w:tcMar>
          </w:tcPr>
          <w:p>
            <w:pPr>
              <w:pStyle w:val="Normal"/>
              <w:jc w:val="center"/>
              <w:rPr/>
            </w:pPr>
            <w:r>
              <w:rPr/>
              <w:t>6</w:t>
            </w:r>
          </w:p>
        </w:tc>
        <w:tc>
          <w:tcPr>
            <w:tcW w:w="704" w:type="dxa"/>
            <w:tcBorders>
              <w:left w:val="single" w:sz="8" w:space="0" w:color="000000"/>
            </w:tcBorders>
            <w:shd w:fill="FFFFFF" w:val="clear"/>
          </w:tcPr>
          <w:p>
            <w:pPr>
              <w:pStyle w:val="Normal"/>
              <w:jc w:val="center"/>
              <w:rPr/>
            </w:pPr>
            <w:r>
              <w:rPr/>
              <w:t>6</w:t>
            </w:r>
          </w:p>
        </w:tc>
        <w:tc>
          <w:tcPr>
            <w:tcW w:w="707" w:type="dxa"/>
            <w:gridSpan w:val="2"/>
            <w:tcBorders>
              <w:left w:val="single" w:sz="8" w:space="0" w:color="000000"/>
            </w:tcBorders>
            <w:shd w:fill="FFFFFF" w:val="clear"/>
            <w:tcMar>
              <w:left w:w="0" w:type="dxa"/>
              <w:right w:w="0" w:type="dxa"/>
            </w:tcMar>
          </w:tcPr>
          <w:p>
            <w:pPr>
              <w:pStyle w:val="Normal"/>
              <w:jc w:val="center"/>
              <w:rPr/>
            </w:pPr>
            <w:r>
              <w:rPr/>
              <w:t>6,5</w:t>
            </w:r>
          </w:p>
        </w:tc>
        <w:tc>
          <w:tcPr>
            <w:tcW w:w="704" w:type="dxa"/>
            <w:gridSpan w:val="2"/>
            <w:tcBorders>
              <w:left w:val="single" w:sz="8" w:space="0" w:color="000000"/>
            </w:tcBorders>
            <w:shd w:fill="FFFFFF" w:val="clear"/>
            <w:tcMar>
              <w:left w:w="0" w:type="dxa"/>
              <w:right w:w="0" w:type="dxa"/>
            </w:tcMar>
          </w:tcPr>
          <w:p>
            <w:pPr>
              <w:pStyle w:val="Normal"/>
              <w:jc w:val="center"/>
              <w:rPr/>
            </w:pPr>
            <w:r>
              <w:rPr/>
              <w:t>6,5</w:t>
            </w:r>
          </w:p>
        </w:tc>
        <w:tc>
          <w:tcPr>
            <w:tcW w:w="702" w:type="dxa"/>
            <w:gridSpan w:val="2"/>
            <w:tcBorders>
              <w:left w:val="single" w:sz="8" w:space="0" w:color="000000"/>
            </w:tcBorders>
            <w:shd w:fill="FFFFFF" w:val="clear"/>
            <w:tcMar>
              <w:left w:w="0" w:type="dxa"/>
              <w:right w:w="0" w:type="dxa"/>
            </w:tcMar>
          </w:tcPr>
          <w:p>
            <w:pPr>
              <w:pStyle w:val="Normal"/>
              <w:jc w:val="center"/>
              <w:rPr/>
            </w:pPr>
            <w:r>
              <w:rPr/>
              <w:t>7</w:t>
            </w:r>
          </w:p>
        </w:tc>
        <w:tc>
          <w:tcPr>
            <w:tcW w:w="704" w:type="dxa"/>
            <w:gridSpan w:val="2"/>
            <w:tcBorders>
              <w:left w:val="single" w:sz="8" w:space="0" w:color="000000"/>
            </w:tcBorders>
            <w:shd w:fill="FFFFFF" w:val="clear"/>
            <w:tcMar>
              <w:left w:w="0" w:type="dxa"/>
              <w:right w:w="0" w:type="dxa"/>
            </w:tcMar>
          </w:tcPr>
          <w:p>
            <w:pPr>
              <w:pStyle w:val="Normal"/>
              <w:jc w:val="center"/>
              <w:rPr/>
            </w:pPr>
            <w:r>
              <w:rPr/>
              <w:t>-</w:t>
            </w:r>
          </w:p>
        </w:tc>
        <w:tc>
          <w:tcPr>
            <w:tcW w:w="71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44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железных дорог узкой колеи</w:t>
            </w:r>
          </w:p>
        </w:tc>
        <w:tc>
          <w:tcPr>
            <w:tcW w:w="702"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704" w:type="dxa"/>
            <w:tcBorders>
              <w:left w:val="single" w:sz="8" w:space="0" w:color="000000"/>
              <w:bottom w:val="single" w:sz="8" w:space="0" w:color="000000"/>
              <w:insideH w:val="single" w:sz="8" w:space="0" w:color="000000"/>
            </w:tcBorders>
            <w:shd w:fill="FFFFFF" w:val="clear"/>
          </w:tcPr>
          <w:p>
            <w:pPr>
              <w:pStyle w:val="Normal"/>
              <w:jc w:val="center"/>
              <w:rPr/>
            </w:pPr>
            <w:r>
              <w:rPr/>
              <w:t>4,5</w:t>
            </w:r>
          </w:p>
        </w:tc>
        <w:tc>
          <w:tcPr>
            <w:tcW w:w="707"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04"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02"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04"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1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4415" w:type="dxa"/>
            <w:tcBorders>
              <w:left w:val="single" w:sz="8" w:space="0" w:color="000000"/>
            </w:tcBorders>
            <w:shd w:fill="FFFFFF" w:val="clear"/>
          </w:tcPr>
          <w:p>
            <w:pPr>
              <w:pStyle w:val="Normal"/>
              <w:jc w:val="both"/>
              <w:rPr/>
            </w:pPr>
            <w:r>
              <w:rPr>
                <w:i/>
                <w:iCs/>
              </w:rPr>
              <w:t>Для электрифицированных или подлежащих электрификации железных дорог</w:t>
            </w:r>
            <w:r>
              <w:rPr/>
              <w:t xml:space="preserve"> от проводов ВЛ до наивысшего провода или несущего троса:</w:t>
            </w:r>
          </w:p>
        </w:tc>
        <w:tc>
          <w:tcPr>
            <w:tcW w:w="4940" w:type="dxa"/>
            <w:gridSpan w:val="12"/>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Pr>
          <w:p>
            <w:pPr>
              <w:pStyle w:val="Normal"/>
              <w:jc w:val="both"/>
              <w:rPr/>
            </w:pPr>
            <w:r>
              <w:rPr/>
              <w:t>в нормальном режиме по вертикали</w:t>
            </w:r>
          </w:p>
        </w:tc>
        <w:tc>
          <w:tcPr>
            <w:tcW w:w="4940" w:type="dxa"/>
            <w:gridSpan w:val="12"/>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Как при пересечении ВЛ между собой в соответствии с табл. 2.5.24 (см. также 2.5.229)</w:t>
            </w:r>
          </w:p>
        </w:tc>
      </w:tr>
      <w:tr>
        <w:trPr/>
        <w:tc>
          <w:tcPr>
            <w:tcW w:w="44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при обрыве провода в соседнем пролете</w:t>
            </w:r>
          </w:p>
        </w:tc>
        <w:tc>
          <w:tcPr>
            <w:tcW w:w="5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911" w:type="dxa"/>
            <w:gridSpan w:val="3"/>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618" w:type="dxa"/>
            <w:tcBorders>
              <w:left w:val="single" w:sz="8" w:space="0" w:color="000000"/>
              <w:bottom w:val="single" w:sz="8" w:space="0" w:color="000000"/>
              <w:insideH w:val="single" w:sz="8" w:space="0" w:color="000000"/>
            </w:tcBorders>
            <w:shd w:fill="FFFFFF" w:val="clear"/>
          </w:tcPr>
          <w:p>
            <w:pPr>
              <w:pStyle w:val="Normal"/>
              <w:jc w:val="center"/>
              <w:rPr/>
            </w:pPr>
            <w:r>
              <w:rPr/>
              <w:t>2</w:t>
            </w:r>
          </w:p>
        </w:tc>
        <w:tc>
          <w:tcPr>
            <w:tcW w:w="62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612"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13"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975"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9355" w:type="dxa"/>
            <w:gridSpan w:val="13"/>
            <w:tcBorders>
              <w:left w:val="single" w:sz="8" w:space="0" w:color="000000"/>
              <w:bottom w:val="single" w:sz="8" w:space="0" w:color="000000"/>
              <w:right w:val="single" w:sz="8" w:space="0" w:color="000000"/>
              <w:insideH w:val="single" w:sz="8" w:space="0" w:color="000000"/>
              <w:insideV w:val="single" w:sz="8" w:space="0" w:color="000000"/>
            </w:tcBorders>
            <w:shd w:fill="FFFFFF" w:val="clear"/>
          </w:tcPr>
          <w:p>
            <w:pPr>
              <w:pStyle w:val="Normal"/>
              <w:spacing w:before="120" w:after="120"/>
              <w:jc w:val="center"/>
              <w:rPr>
                <w:i/>
                <w:i/>
                <w:iCs/>
              </w:rPr>
            </w:pPr>
            <w:r>
              <w:rPr>
                <w:i/>
                <w:iCs/>
              </w:rPr>
              <w:t>При сближении или параллельном следовании</w:t>
            </w:r>
          </w:p>
        </w:tc>
      </w:tr>
      <w:tr>
        <w:trPr/>
        <w:tc>
          <w:tcPr>
            <w:tcW w:w="44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i/>
                <w:iCs/>
              </w:rPr>
              <w:t>Для неэлектрифицированных железных дорог</w:t>
            </w:r>
            <w:r>
              <w:rPr/>
              <w:t xml:space="preserve"> на участках стесненной трассы от отклоненного провода ВЛ до габарита приближения строений по горизонтали</w:t>
            </w:r>
          </w:p>
        </w:tc>
        <w:tc>
          <w:tcPr>
            <w:tcW w:w="58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911" w:type="dxa"/>
            <w:gridSpan w:val="3"/>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18" w:type="dxa"/>
            <w:tcBorders>
              <w:left w:val="single" w:sz="8" w:space="0" w:color="000000"/>
              <w:bottom w:val="single" w:sz="8" w:space="0" w:color="000000"/>
              <w:insideH w:val="single" w:sz="8" w:space="0" w:color="000000"/>
            </w:tcBorders>
            <w:shd w:fill="FFFFFF" w:val="clear"/>
          </w:tcPr>
          <w:p>
            <w:pPr>
              <w:pStyle w:val="Normal"/>
              <w:jc w:val="center"/>
              <w:rPr/>
            </w:pPr>
            <w:r>
              <w:rPr/>
              <w:t>2,5</w:t>
            </w:r>
          </w:p>
        </w:tc>
        <w:tc>
          <w:tcPr>
            <w:tcW w:w="62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12"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613" w:type="dxa"/>
            <w:gridSpan w:val="2"/>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975"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5,5</w:t>
            </w:r>
          </w:p>
        </w:tc>
      </w:tr>
      <w:tr>
        <w:trPr/>
        <w:tc>
          <w:tcPr>
            <w:tcW w:w="4415" w:type="dxa"/>
            <w:tcBorders>
              <w:left w:val="single" w:sz="8" w:space="0" w:color="000000"/>
            </w:tcBorders>
            <w:shd w:fill="FFFFFF" w:val="clear"/>
          </w:tcPr>
          <w:p>
            <w:pPr>
              <w:pStyle w:val="Normal"/>
              <w:jc w:val="both"/>
              <w:rPr/>
            </w:pPr>
            <w:r>
              <w:rPr>
                <w:i/>
                <w:iCs/>
              </w:rPr>
              <w:t>Для электрифицированных или подлежащих электрификации железных дорог</w:t>
            </w:r>
            <w:r>
              <w:rPr/>
              <w:t xml:space="preserve"> от крайнего провода ВЛ до крайнего провода, подвешенного с полевой стороны опоры контактной сети, по горизонтали</w:t>
            </w:r>
          </w:p>
        </w:tc>
        <w:tc>
          <w:tcPr>
            <w:tcW w:w="4940" w:type="dxa"/>
            <w:gridSpan w:val="12"/>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Как при сближении ВЛ между собой в соответствии с табл. 2.5.25</w:t>
            </w:r>
          </w:p>
        </w:tc>
      </w:tr>
      <w:tr>
        <w:trPr/>
        <w:tc>
          <w:tcPr>
            <w:tcW w:w="4415" w:type="dxa"/>
            <w:tcBorders>
              <w:left w:val="single" w:sz="8" w:space="0" w:color="000000"/>
              <w:bottom w:val="single" w:sz="8" w:space="0" w:color="000000"/>
              <w:insideH w:val="single" w:sz="8" w:space="0" w:color="000000"/>
            </w:tcBorders>
            <w:shd w:fill="FFFFFF" w:val="clear"/>
          </w:tcPr>
          <w:p>
            <w:pPr>
              <w:pStyle w:val="Normal"/>
              <w:jc w:val="both"/>
              <w:rPr/>
            </w:pPr>
            <w:r>
              <w:rPr/>
              <w:t>То же, но при отсутствии проводов с полевой стороны опор контактной сети</w:t>
            </w:r>
          </w:p>
        </w:tc>
        <w:tc>
          <w:tcPr>
            <w:tcW w:w="4940" w:type="dxa"/>
            <w:gridSpan w:val="1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Как при сближении ВЛ с сооружениями в соответствии с 2.5.216</w:t>
            </w:r>
          </w:p>
        </w:tc>
      </w:tr>
      <w:tr>
        <w:trPr/>
        <w:tc>
          <w:tcPr>
            <w:tcW w:w="4415" w:type="dxa"/>
            <w:tcBorders/>
            <w:shd w:fill="FFFFFF" w:val="clear"/>
            <w:tcMar>
              <w:left w:w="0" w:type="dxa"/>
              <w:right w:w="0" w:type="dxa"/>
            </w:tcMar>
            <w:vAlign w:val="center"/>
          </w:tcPr>
          <w:p>
            <w:pPr>
              <w:pStyle w:val="Normal"/>
              <w:snapToGrid w:val="false"/>
              <w:rPr/>
            </w:pPr>
            <w:r>
              <w:rPr/>
            </w:r>
          </w:p>
        </w:tc>
        <w:tc>
          <w:tcPr>
            <w:tcW w:w="584" w:type="dxa"/>
            <w:tcBorders/>
            <w:shd w:fill="FFFFFF" w:val="clear"/>
            <w:tcMar>
              <w:left w:w="0" w:type="dxa"/>
              <w:right w:w="0" w:type="dxa"/>
            </w:tcMar>
            <w:vAlign w:val="center"/>
          </w:tcPr>
          <w:p>
            <w:pPr>
              <w:pStyle w:val="Normal"/>
              <w:snapToGrid w:val="false"/>
              <w:rPr/>
            </w:pPr>
            <w:r>
              <w:rPr/>
            </w:r>
          </w:p>
        </w:tc>
        <w:tc>
          <w:tcPr>
            <w:tcW w:w="118" w:type="dxa"/>
            <w:tcBorders/>
            <w:shd w:fill="FFFFFF" w:val="clear"/>
            <w:tcMar>
              <w:left w:w="0" w:type="dxa"/>
              <w:right w:w="0" w:type="dxa"/>
            </w:tcMar>
            <w:vAlign w:val="center"/>
          </w:tcPr>
          <w:p>
            <w:pPr>
              <w:pStyle w:val="Normal"/>
              <w:snapToGrid w:val="false"/>
              <w:rPr/>
            </w:pPr>
            <w:r>
              <w:rPr/>
            </w:r>
          </w:p>
        </w:tc>
        <w:tc>
          <w:tcPr>
            <w:tcW w:w="704" w:type="dxa"/>
            <w:tcBorders/>
            <w:shd w:fill="FFFFFF" w:val="clear"/>
            <w:tcMar>
              <w:left w:w="0" w:type="dxa"/>
              <w:right w:w="0" w:type="dxa"/>
            </w:tcMar>
            <w:vAlign w:val="center"/>
          </w:tcPr>
          <w:p>
            <w:pPr>
              <w:pStyle w:val="Normal"/>
              <w:snapToGrid w:val="false"/>
              <w:rPr/>
            </w:pPr>
            <w:r>
              <w:rPr/>
            </w:r>
          </w:p>
        </w:tc>
        <w:tc>
          <w:tcPr>
            <w:tcW w:w="89" w:type="dxa"/>
            <w:tcBorders/>
            <w:shd w:fill="FFFFFF" w:val="clear"/>
            <w:tcMar>
              <w:left w:w="0" w:type="dxa"/>
              <w:right w:w="0" w:type="dxa"/>
            </w:tcMar>
            <w:vAlign w:val="center"/>
          </w:tcPr>
          <w:p>
            <w:pPr>
              <w:pStyle w:val="Normal"/>
              <w:snapToGrid w:val="false"/>
              <w:rPr/>
            </w:pPr>
            <w:r>
              <w:rPr/>
            </w:r>
          </w:p>
        </w:tc>
        <w:tc>
          <w:tcPr>
            <w:tcW w:w="618" w:type="dxa"/>
            <w:tcBorders/>
            <w:shd w:fill="FFFFFF" w:val="clear"/>
            <w:tcMar>
              <w:left w:w="0" w:type="dxa"/>
              <w:right w:w="0" w:type="dxa"/>
            </w:tcMar>
            <w:vAlign w:val="center"/>
          </w:tcPr>
          <w:p>
            <w:pPr>
              <w:pStyle w:val="Normal"/>
              <w:snapToGrid w:val="false"/>
              <w:rPr/>
            </w:pPr>
            <w:r>
              <w:rPr/>
            </w:r>
          </w:p>
        </w:tc>
        <w:tc>
          <w:tcPr>
            <w:tcW w:w="627" w:type="dxa"/>
            <w:tcBorders/>
            <w:shd w:fill="FFFFFF" w:val="clear"/>
            <w:tcMar>
              <w:left w:w="0" w:type="dxa"/>
              <w:right w:w="0" w:type="dxa"/>
            </w:tcMar>
            <w:vAlign w:val="center"/>
          </w:tcPr>
          <w:p>
            <w:pPr>
              <w:pStyle w:val="Normal"/>
              <w:snapToGrid w:val="false"/>
              <w:rPr/>
            </w:pPr>
            <w:r>
              <w:rPr/>
            </w:r>
          </w:p>
        </w:tc>
        <w:tc>
          <w:tcPr>
            <w:tcW w:w="77" w:type="dxa"/>
            <w:tcBorders/>
            <w:shd w:fill="FFFFFF" w:val="clear"/>
            <w:tcMar>
              <w:left w:w="0" w:type="dxa"/>
              <w:right w:w="0" w:type="dxa"/>
            </w:tcMar>
            <w:vAlign w:val="center"/>
          </w:tcPr>
          <w:p>
            <w:pPr>
              <w:pStyle w:val="Normal"/>
              <w:snapToGrid w:val="false"/>
              <w:rPr/>
            </w:pPr>
            <w:r>
              <w:rPr/>
            </w:r>
          </w:p>
        </w:tc>
        <w:tc>
          <w:tcPr>
            <w:tcW w:w="535" w:type="dxa"/>
            <w:tcBorders/>
            <w:shd w:fill="FFFFFF" w:val="clear"/>
            <w:tcMar>
              <w:left w:w="0" w:type="dxa"/>
              <w:right w:w="0" w:type="dxa"/>
            </w:tcMar>
            <w:vAlign w:val="center"/>
          </w:tcPr>
          <w:p>
            <w:pPr>
              <w:pStyle w:val="Normal"/>
              <w:snapToGrid w:val="false"/>
              <w:rPr/>
            </w:pPr>
            <w:r>
              <w:rPr/>
            </w:r>
          </w:p>
        </w:tc>
        <w:tc>
          <w:tcPr>
            <w:tcW w:w="167" w:type="dxa"/>
            <w:tcBorders/>
            <w:shd w:fill="FFFFFF" w:val="clear"/>
            <w:tcMar>
              <w:left w:w="0" w:type="dxa"/>
              <w:right w:w="0" w:type="dxa"/>
            </w:tcMar>
            <w:vAlign w:val="center"/>
          </w:tcPr>
          <w:p>
            <w:pPr>
              <w:pStyle w:val="Normal"/>
              <w:snapToGrid w:val="false"/>
              <w:rPr/>
            </w:pPr>
            <w:r>
              <w:rPr/>
            </w:r>
          </w:p>
        </w:tc>
        <w:tc>
          <w:tcPr>
            <w:tcW w:w="446" w:type="dxa"/>
            <w:tcBorders/>
            <w:shd w:fill="FFFFFF" w:val="clear"/>
            <w:tcMar>
              <w:left w:w="0" w:type="dxa"/>
              <w:right w:w="0" w:type="dxa"/>
            </w:tcMar>
            <w:vAlign w:val="center"/>
          </w:tcPr>
          <w:p>
            <w:pPr>
              <w:pStyle w:val="Normal"/>
              <w:snapToGrid w:val="false"/>
              <w:rPr/>
            </w:pPr>
            <w:r>
              <w:rPr/>
            </w:r>
          </w:p>
        </w:tc>
        <w:tc>
          <w:tcPr>
            <w:tcW w:w="258" w:type="dxa"/>
            <w:tcBorders/>
            <w:shd w:fill="FFFFFF" w:val="clear"/>
            <w:tcMar>
              <w:left w:w="0" w:type="dxa"/>
              <w:right w:w="0" w:type="dxa"/>
            </w:tcMar>
            <w:vAlign w:val="center"/>
          </w:tcPr>
          <w:p>
            <w:pPr>
              <w:pStyle w:val="Normal"/>
              <w:snapToGrid w:val="false"/>
              <w:rPr/>
            </w:pPr>
            <w:r>
              <w:rPr/>
            </w:r>
          </w:p>
        </w:tc>
        <w:tc>
          <w:tcPr>
            <w:tcW w:w="697" w:type="dxa"/>
            <w:tcBorders/>
            <w:shd w:fill="FFFFFF" w:val="clear"/>
            <w:tcMar>
              <w:left w:w="0" w:type="dxa"/>
              <w:right w:w="0" w:type="dxa"/>
            </w:tcMar>
            <w:vAlign w:val="center"/>
          </w:tcPr>
          <w:p>
            <w:pPr>
              <w:pStyle w:val="Normal"/>
              <w:snapToGrid w:val="false"/>
              <w:rPr/>
            </w:pPr>
            <w:r>
              <w:rPr/>
            </w:r>
          </w:p>
        </w:tc>
      </w:tr>
    </w:tbl>
    <w:p>
      <w:pPr>
        <w:pStyle w:val="Normal"/>
        <w:spacing w:before="120" w:after="0"/>
        <w:ind w:firstLine="283"/>
        <w:jc w:val="both"/>
        <w:rPr/>
      </w:pPr>
      <w:r>
        <w:rPr/>
        <w:t>2.5.252.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Pr>
          <w:vertAlign w:val="superscript"/>
        </w:rPr>
        <w:t>*</w:t>
      </w:r>
      <w:r>
        <w:rPr/>
        <w:t xml:space="preserve"> поездов эти опоры должны быть металлическими.</w:t>
      </w:r>
    </w:p>
    <w:p>
      <w:pPr>
        <w:pStyle w:val="Normal"/>
        <w:spacing w:before="120" w:after="0"/>
        <w:ind w:firstLine="283"/>
        <w:jc w:val="both"/>
        <w:rPr/>
      </w:pPr>
      <w:r>
        <w:rPr>
          <w:vertAlign w:val="superscript"/>
        </w:rPr>
        <w:t>*</w:t>
      </w:r>
      <w:r>
        <w:rPr/>
        <w:t xml:space="preserve">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pPr>
        <w:pStyle w:val="Normal"/>
        <w:spacing w:before="120" w:after="0"/>
        <w:ind w:firstLine="283"/>
        <w:jc w:val="both"/>
        <w:rPr/>
      </w:pPr>
      <w:r>
        <w:rP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p>
      <w:pPr>
        <w:pStyle w:val="Normal"/>
        <w:ind w:firstLine="283"/>
        <w:jc w:val="both"/>
        <w:rPr/>
      </w:pPr>
      <w:r>
        <w:rP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Z-образными связями) или А-образными.</w:t>
      </w:r>
    </w:p>
    <w:p>
      <w:pPr>
        <w:pStyle w:val="Normal"/>
        <w:ind w:firstLine="283"/>
        <w:jc w:val="both"/>
        <w:rPr/>
      </w:pPr>
      <w:r>
        <w:rPr/>
        <w:t>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p>
      <w:pPr>
        <w:pStyle w:val="Normal"/>
        <w:ind w:firstLine="283"/>
        <w:jc w:val="both"/>
        <w:rPr/>
      </w:pPr>
      <w:r>
        <w:rPr/>
        <w:t>2.5.253.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2.5.112. Применение штыревых изоляторов в пролетах пересечений ВЛ с железными дорогами не допускается.</w:t>
      </w:r>
    </w:p>
    <w:p>
      <w:pPr>
        <w:pStyle w:val="Normal"/>
        <w:ind w:firstLine="283"/>
        <w:jc w:val="both"/>
        <w:rPr/>
      </w:pPr>
      <w:r>
        <w:rPr/>
        <w:t>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p>
      <w:pPr>
        <w:pStyle w:val="Normal"/>
        <w:ind w:firstLine="283"/>
        <w:jc w:val="both"/>
        <w:rPr/>
      </w:pPr>
      <w:r>
        <w:rPr/>
        <w:t>2.5.254. При пересечении ВЛ с железной дорогой, имеющей лесозащитные насаждения, следует руководствоваться требованиями 2.5.207.</w:t>
      </w:r>
    </w:p>
    <w:p>
      <w:pPr>
        <w:pStyle w:val="Normal"/>
        <w:ind w:firstLine="283"/>
        <w:jc w:val="both"/>
        <w:rPr/>
      </w:pPr>
      <w:r>
        <w:rPr/>
        <w:t>2.5.255. Минимальные расстояния от ВЛ до мостов железных дорог с пролетом 20 м и менее следует принимать такими же, как до соответствующих железных дорог по табл. 2.5.34, а с пролетом более 20 м устанавливаются при проектировании ВЛ.</w:t>
      </w:r>
    </w:p>
    <w:p>
      <w:pPr>
        <w:pStyle w:val="Heading3"/>
        <w:rPr/>
      </w:pPr>
      <w:r>
        <w:rPr/>
        <w:t>ПЕРЕСЕЧЕНИЕ И СБЛИЖЕНИЕ ВЛ С АВТОМОБИЛЬНЫМИ ДОРОГАМИ</w:t>
      </w:r>
    </w:p>
    <w:p>
      <w:pPr>
        <w:pStyle w:val="Normal"/>
        <w:ind w:firstLine="284"/>
        <w:jc w:val="both"/>
        <w:rPr/>
      </w:pPr>
      <w:r>
        <w:rPr/>
        <w:t>2.5.256. Требования, приведенные в 2.5.256 - 2.5.263, распространяются на пересечения и сближения с автомобильными дорогами:</w:t>
      </w:r>
    </w:p>
    <w:p>
      <w:pPr>
        <w:pStyle w:val="Normal"/>
        <w:ind w:firstLine="284"/>
        <w:jc w:val="both"/>
        <w:rPr/>
      </w:pPr>
      <w:r>
        <w:rPr/>
        <w:t>общего пользования и подъездными к промпредприятиям (категорий IА, IБ, II - V по строительным нормам и правилам на автомобильные дороги);</w:t>
      </w:r>
    </w:p>
    <w:p>
      <w:pPr>
        <w:pStyle w:val="Normal"/>
        <w:ind w:firstLine="284"/>
        <w:jc w:val="both"/>
        <w:rPr/>
      </w:pPr>
      <w:r>
        <w:rPr/>
        <w:t>внутрихозяйственными в сельскохозяйственных предприятиях (категорий I-С - III-С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pPr>
        <w:pStyle w:val="Normal"/>
        <w:ind w:firstLine="284"/>
        <w:jc w:val="both"/>
        <w:rPr/>
      </w:pPr>
      <w:r>
        <w:rPr/>
        <w:t>Пересечение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pPr>
        <w:pStyle w:val="Normal"/>
        <w:ind w:firstLine="284"/>
        <w:jc w:val="both"/>
        <w:rPr/>
      </w:pPr>
      <w:r>
        <w:rPr/>
        <w:t>Угол пересечения с автомобильными дорогами не нормируется.</w:t>
      </w:r>
    </w:p>
    <w:p>
      <w:pPr>
        <w:pStyle w:val="Normal"/>
        <w:ind w:firstLine="284"/>
        <w:jc w:val="both"/>
        <w:rPr/>
      </w:pPr>
      <w:r>
        <w:rPr/>
        <w:t>2.5.257. При пересечении автомобильных дорог категорий IА и IБ опоры ВЛ, ограничивающие пролет пересечения, должны быть анкерного типа нормальной конструкции.</w:t>
      </w:r>
    </w:p>
    <w:p>
      <w:pPr>
        <w:pStyle w:val="Normal"/>
        <w:ind w:firstLine="284"/>
        <w:jc w:val="both"/>
        <w:rPr/>
      </w:pPr>
      <w:r>
        <w:rPr/>
        <w:t>На ВЛ с подвесными изоляторами и нерасщепленным проводом в фазе с площадью сечения алюминиевой части 120 мм</w:t>
      </w:r>
      <w:r>
        <w:rPr>
          <w:vertAlign w:val="superscript"/>
        </w:rPr>
        <w:t>2</w:t>
      </w:r>
      <w:r>
        <w:rPr/>
        <w:t xml:space="preserve"> и более натяжные гирлянды изоляторов для провода должны быть двухцепными раздельным креплением каждой цепи к опоре.</w:t>
      </w:r>
    </w:p>
    <w:p>
      <w:pPr>
        <w:pStyle w:val="Normal"/>
        <w:ind w:firstLine="284"/>
        <w:jc w:val="both"/>
        <w:rPr/>
      </w:pPr>
      <w:r>
        <w:rPr/>
        <w:t>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p>
      <w:pPr>
        <w:pStyle w:val="Normal"/>
        <w:ind w:firstLine="284"/>
        <w:jc w:val="both"/>
        <w:rPr/>
      </w:pPr>
      <w:r>
        <w:rPr/>
        <w:t>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2.5.262. Крепление проводов на этих опорах должно осуществляться поддерживающими двухцепными гирляндами изоляторов с глухими зажимами.</w:t>
      </w:r>
    </w:p>
    <w:p>
      <w:pPr>
        <w:pStyle w:val="Normal"/>
        <w:ind w:firstLine="284"/>
        <w:jc w:val="both"/>
        <w:rPr/>
      </w:pPr>
      <w:r>
        <w:rPr/>
        <w:t>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w:t>
      </w:r>
    </w:p>
    <w:p>
      <w:pPr>
        <w:pStyle w:val="Normal"/>
        <w:ind w:firstLine="284"/>
        <w:jc w:val="both"/>
        <w:rPr/>
      </w:pPr>
      <w:r>
        <w:rPr/>
        <w:t>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p>
      <w:pPr>
        <w:pStyle w:val="Normal"/>
        <w:ind w:firstLine="284"/>
        <w:jc w:val="both"/>
        <w:rPr/>
      </w:pPr>
      <w:r>
        <w:rPr/>
        <w:t>При сооружении новых автомобильных дорог всех категорий и прохождении их под действующими ВЛ 500 - 750 кВ переустройство ВЛ не требуется, если выдерживаются наименьшие расстояния в соответствии с табл. 2.5.35.</w:t>
      </w:r>
    </w:p>
    <w:p>
      <w:pPr>
        <w:pStyle w:val="Normal"/>
        <w:ind w:firstLine="284"/>
        <w:jc w:val="both"/>
        <w:rPr/>
      </w:pPr>
      <w:r>
        <w:rPr/>
        <w:t>2.5.258. Расстояния при пересечении и сближении ВЛ с автомобильными дорогами должны быть не менее приведенных в табл. 2.5.35.</w:t>
      </w:r>
    </w:p>
    <w:p>
      <w:pPr>
        <w:pStyle w:val="Normal"/>
        <w:spacing w:before="120" w:after="120"/>
        <w:jc w:val="right"/>
        <w:rPr/>
      </w:pPr>
      <w:r>
        <w:rPr>
          <w:spacing w:val="40"/>
        </w:rPr>
        <w:t>Таблица</w:t>
      </w:r>
      <w:r>
        <w:rPr/>
        <w:t xml:space="preserve"> 2.5.35</w:t>
      </w:r>
    </w:p>
    <w:p>
      <w:pPr>
        <w:pStyle w:val="Normal"/>
        <w:spacing w:before="0" w:after="120"/>
        <w:jc w:val="center"/>
        <w:rPr>
          <w:b/>
          <w:b/>
          <w:bCs/>
        </w:rPr>
      </w:pPr>
      <w:r>
        <w:rPr>
          <w:b/>
          <w:bCs/>
        </w:rPr>
        <w:t>Наименьшие расстояния при пересечении и сближении ВЛ с автомобильными дорогами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095"/>
        <w:gridCol w:w="746"/>
        <w:gridCol w:w="749"/>
        <w:gridCol w:w="749"/>
        <w:gridCol w:w="749"/>
        <w:gridCol w:w="749"/>
        <w:gridCol w:w="749"/>
        <w:gridCol w:w="769"/>
      </w:tblGrid>
      <w:tr>
        <w:trPr>
          <w:tblHeader w:val="true"/>
        </w:trPr>
        <w:tc>
          <w:tcPr>
            <w:tcW w:w="409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Пересечение, сближение или параллельное следование</w:t>
            </w:r>
          </w:p>
        </w:tc>
        <w:tc>
          <w:tcPr>
            <w:tcW w:w="5260"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Наименьшие расстояния, м, при напряжении ВЛ, кВ</w:t>
            </w:r>
          </w:p>
        </w:tc>
      </w:tr>
      <w:tr>
        <w:trPr>
          <w:tblHeader w:val="true"/>
        </w:trPr>
        <w:tc>
          <w:tcPr>
            <w:tcW w:w="409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746"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35 - 110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7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095" w:type="dxa"/>
            <w:tcBorders>
              <w:left w:val="single" w:sz="8" w:space="0" w:color="000000"/>
            </w:tcBorders>
            <w:shd w:fill="FFFFFF" w:val="clear"/>
          </w:tcPr>
          <w:p>
            <w:pPr>
              <w:pStyle w:val="Normal"/>
              <w:jc w:val="both"/>
              <w:rPr>
                <w:i/>
                <w:i/>
                <w:iCs/>
              </w:rPr>
            </w:pPr>
            <w:r>
              <w:rPr>
                <w:i/>
                <w:iCs/>
              </w:rPr>
              <w:t>Расстояние по вертикали:</w:t>
            </w:r>
          </w:p>
        </w:tc>
        <w:tc>
          <w:tcPr>
            <w:tcW w:w="746" w:type="dxa"/>
            <w:tcBorders>
              <w:left w:val="single" w:sz="8" w:space="0" w:color="000000"/>
            </w:tcBorders>
            <w:shd w:fill="FFFFFF" w:val="clear"/>
            <w:tcMar>
              <w:left w:w="0" w:type="dxa"/>
              <w:right w:w="0" w:type="dxa"/>
            </w:tcMar>
          </w:tcPr>
          <w:p>
            <w:pPr>
              <w:pStyle w:val="Normal"/>
              <w:snapToGrid w:val="false"/>
              <w:rPr/>
            </w:pPr>
            <w:r>
              <w:rPr/>
            </w:r>
          </w:p>
        </w:tc>
        <w:tc>
          <w:tcPr>
            <w:tcW w:w="749" w:type="dxa"/>
            <w:tcBorders>
              <w:left w:val="single" w:sz="8" w:space="0" w:color="000000"/>
            </w:tcBorders>
            <w:shd w:fill="FFFFFF" w:val="clear"/>
            <w:tcMar>
              <w:left w:w="0" w:type="dxa"/>
              <w:right w:w="0" w:type="dxa"/>
            </w:tcMar>
          </w:tcPr>
          <w:p>
            <w:pPr>
              <w:pStyle w:val="Normal"/>
              <w:snapToGrid w:val="false"/>
              <w:rPr/>
            </w:pPr>
            <w:r>
              <w:rPr/>
            </w:r>
          </w:p>
        </w:tc>
        <w:tc>
          <w:tcPr>
            <w:tcW w:w="749" w:type="dxa"/>
            <w:tcBorders>
              <w:left w:val="single" w:sz="8" w:space="0" w:color="000000"/>
            </w:tcBorders>
            <w:shd w:fill="FFFFFF" w:val="clear"/>
            <w:tcMar>
              <w:left w:w="0" w:type="dxa"/>
              <w:right w:w="0" w:type="dxa"/>
            </w:tcMar>
          </w:tcPr>
          <w:p>
            <w:pPr>
              <w:pStyle w:val="Normal"/>
              <w:snapToGrid w:val="false"/>
              <w:rPr/>
            </w:pPr>
            <w:r>
              <w:rPr/>
            </w:r>
          </w:p>
        </w:tc>
        <w:tc>
          <w:tcPr>
            <w:tcW w:w="749" w:type="dxa"/>
            <w:tcBorders>
              <w:left w:val="single" w:sz="8" w:space="0" w:color="000000"/>
            </w:tcBorders>
            <w:shd w:fill="FFFFFF" w:val="clear"/>
            <w:tcMar>
              <w:left w:w="0" w:type="dxa"/>
              <w:right w:w="0" w:type="dxa"/>
            </w:tcMar>
          </w:tcPr>
          <w:p>
            <w:pPr>
              <w:pStyle w:val="Normal"/>
              <w:snapToGrid w:val="false"/>
              <w:rPr/>
            </w:pPr>
            <w:r>
              <w:rPr/>
            </w:r>
          </w:p>
        </w:tc>
        <w:tc>
          <w:tcPr>
            <w:tcW w:w="749" w:type="dxa"/>
            <w:tcBorders>
              <w:left w:val="single" w:sz="8" w:space="0" w:color="000000"/>
            </w:tcBorders>
            <w:shd w:fill="FFFFFF" w:val="clear"/>
            <w:tcMar>
              <w:left w:w="0" w:type="dxa"/>
              <w:right w:w="0" w:type="dxa"/>
            </w:tcMar>
          </w:tcPr>
          <w:p>
            <w:pPr>
              <w:pStyle w:val="Normal"/>
              <w:snapToGrid w:val="false"/>
              <w:rPr/>
            </w:pPr>
            <w:r>
              <w:rPr/>
            </w:r>
          </w:p>
        </w:tc>
        <w:tc>
          <w:tcPr>
            <w:tcW w:w="749" w:type="dxa"/>
            <w:tcBorders>
              <w:left w:val="single" w:sz="8" w:space="0" w:color="000000"/>
            </w:tcBorders>
            <w:shd w:fill="FFFFFF" w:val="clear"/>
            <w:tcMar>
              <w:left w:w="0" w:type="dxa"/>
              <w:right w:w="0" w:type="dxa"/>
            </w:tcMar>
          </w:tcPr>
          <w:p>
            <w:pPr>
              <w:pStyle w:val="Normal"/>
              <w:snapToGrid w:val="false"/>
              <w:rPr/>
            </w:pPr>
            <w:r>
              <w:rPr/>
            </w:r>
          </w:p>
        </w:tc>
        <w:tc>
          <w:tcPr>
            <w:tcW w:w="7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095" w:type="dxa"/>
            <w:tcBorders>
              <w:left w:val="single" w:sz="8" w:space="0" w:color="000000"/>
            </w:tcBorders>
            <w:shd w:fill="FFFFFF" w:val="clear"/>
          </w:tcPr>
          <w:p>
            <w:pPr>
              <w:pStyle w:val="Normal"/>
              <w:jc w:val="both"/>
              <w:rPr/>
            </w:pPr>
            <w:r>
              <w:rPr/>
              <w:t>а) от провода до покрытия проезжей части дорог всех категорий</w:t>
            </w:r>
          </w:p>
        </w:tc>
        <w:tc>
          <w:tcPr>
            <w:tcW w:w="746" w:type="dxa"/>
            <w:tcBorders>
              <w:left w:val="single" w:sz="8" w:space="0" w:color="000000"/>
            </w:tcBorders>
            <w:shd w:fill="FFFFFF" w:val="clear"/>
            <w:tcMar>
              <w:left w:w="0" w:type="dxa"/>
              <w:right w:w="0" w:type="dxa"/>
            </w:tcMar>
          </w:tcPr>
          <w:p>
            <w:pPr>
              <w:pStyle w:val="Normal"/>
              <w:jc w:val="center"/>
              <w:rPr/>
            </w:pPr>
            <w:r>
              <w:rPr/>
              <w:t>7</w:t>
            </w:r>
          </w:p>
        </w:tc>
        <w:tc>
          <w:tcPr>
            <w:tcW w:w="749" w:type="dxa"/>
            <w:tcBorders>
              <w:left w:val="single" w:sz="8" w:space="0" w:color="000000"/>
            </w:tcBorders>
            <w:shd w:fill="FFFFFF" w:val="clear"/>
            <w:tcMar>
              <w:left w:w="0" w:type="dxa"/>
              <w:right w:w="0" w:type="dxa"/>
            </w:tcMar>
          </w:tcPr>
          <w:p>
            <w:pPr>
              <w:pStyle w:val="Normal"/>
              <w:jc w:val="center"/>
              <w:rPr/>
            </w:pPr>
            <w:r>
              <w:rPr/>
              <w:t>7</w:t>
            </w:r>
          </w:p>
        </w:tc>
        <w:tc>
          <w:tcPr>
            <w:tcW w:w="749" w:type="dxa"/>
            <w:tcBorders>
              <w:left w:val="single" w:sz="8" w:space="0" w:color="000000"/>
            </w:tcBorders>
            <w:shd w:fill="FFFFFF" w:val="clear"/>
            <w:tcMar>
              <w:left w:w="0" w:type="dxa"/>
              <w:right w:w="0" w:type="dxa"/>
            </w:tcMar>
          </w:tcPr>
          <w:p>
            <w:pPr>
              <w:pStyle w:val="Normal"/>
              <w:jc w:val="center"/>
              <w:rPr/>
            </w:pPr>
            <w:r>
              <w:rPr/>
              <w:t>7,5</w:t>
            </w:r>
          </w:p>
        </w:tc>
        <w:tc>
          <w:tcPr>
            <w:tcW w:w="749" w:type="dxa"/>
            <w:tcBorders>
              <w:left w:val="single" w:sz="8" w:space="0" w:color="000000"/>
            </w:tcBorders>
            <w:shd w:fill="FFFFFF" w:val="clear"/>
            <w:tcMar>
              <w:left w:w="0" w:type="dxa"/>
              <w:right w:w="0" w:type="dxa"/>
            </w:tcMar>
          </w:tcPr>
          <w:p>
            <w:pPr>
              <w:pStyle w:val="Normal"/>
              <w:jc w:val="center"/>
              <w:rPr/>
            </w:pPr>
            <w:r>
              <w:rPr/>
              <w:t>8</w:t>
            </w:r>
          </w:p>
        </w:tc>
        <w:tc>
          <w:tcPr>
            <w:tcW w:w="749" w:type="dxa"/>
            <w:tcBorders>
              <w:left w:val="single" w:sz="8" w:space="0" w:color="000000"/>
            </w:tcBorders>
            <w:shd w:fill="FFFFFF" w:val="clear"/>
            <w:tcMar>
              <w:left w:w="0" w:type="dxa"/>
              <w:right w:w="0" w:type="dxa"/>
            </w:tcMar>
          </w:tcPr>
          <w:p>
            <w:pPr>
              <w:pStyle w:val="Normal"/>
              <w:jc w:val="center"/>
              <w:rPr/>
            </w:pPr>
            <w:r>
              <w:rPr/>
              <w:t>8,5</w:t>
            </w:r>
          </w:p>
        </w:tc>
        <w:tc>
          <w:tcPr>
            <w:tcW w:w="749" w:type="dxa"/>
            <w:tcBorders>
              <w:left w:val="single" w:sz="8" w:space="0" w:color="000000"/>
            </w:tcBorders>
            <w:shd w:fill="FFFFFF" w:val="clear"/>
            <w:tcMar>
              <w:left w:w="0" w:type="dxa"/>
              <w:right w:w="0" w:type="dxa"/>
            </w:tcMar>
          </w:tcPr>
          <w:p>
            <w:pPr>
              <w:pStyle w:val="Normal"/>
              <w:jc w:val="center"/>
              <w:rPr/>
            </w:pPr>
            <w:r>
              <w:rPr/>
              <w:t>9,5</w:t>
            </w:r>
          </w:p>
        </w:tc>
        <w:tc>
          <w:tcPr>
            <w:tcW w:w="7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w:t>
            </w:r>
          </w:p>
        </w:tc>
      </w:tr>
      <w:tr>
        <w:trPr/>
        <w:tc>
          <w:tcPr>
            <w:tcW w:w="4095" w:type="dxa"/>
            <w:tcBorders>
              <w:left w:val="single" w:sz="8" w:space="0" w:color="000000"/>
              <w:bottom w:val="single" w:sz="8" w:space="0" w:color="000000"/>
              <w:insideH w:val="single" w:sz="8" w:space="0" w:color="000000"/>
            </w:tcBorders>
            <w:shd w:fill="FFFFFF" w:val="clear"/>
          </w:tcPr>
          <w:p>
            <w:pPr>
              <w:pStyle w:val="Normal"/>
              <w:jc w:val="both"/>
              <w:rPr/>
            </w:pPr>
            <w:r>
              <w:rPr/>
              <w:t>б) то же, при обрыве провода в смежном пролете</w:t>
            </w:r>
          </w:p>
        </w:tc>
        <w:tc>
          <w:tcPr>
            <w:tcW w:w="7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4095" w:type="dxa"/>
            <w:tcBorders>
              <w:left w:val="single" w:sz="8" w:space="0" w:color="000000"/>
            </w:tcBorders>
            <w:shd w:fill="FFFFFF" w:val="clear"/>
          </w:tcPr>
          <w:p>
            <w:pPr>
              <w:pStyle w:val="Normal"/>
              <w:jc w:val="both"/>
              <w:rPr>
                <w:i/>
                <w:i/>
                <w:iCs/>
              </w:rPr>
            </w:pPr>
            <w:r>
              <w:rPr>
                <w:i/>
                <w:iCs/>
              </w:rPr>
              <w:t>Расстояние по горизонтали:</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095" w:type="dxa"/>
            <w:tcBorders>
              <w:left w:val="single" w:sz="8" w:space="0" w:color="000000"/>
            </w:tcBorders>
            <w:shd w:fill="FFFFFF" w:val="clear"/>
          </w:tcPr>
          <w:p>
            <w:pPr>
              <w:pStyle w:val="Normal"/>
              <w:jc w:val="both"/>
              <w:rPr/>
            </w:pPr>
            <w:r>
              <w:rPr/>
              <w:t>1. При пересечении дорог всех категорий, за исключением III-С и V:</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095" w:type="dxa"/>
            <w:tcBorders>
              <w:left w:val="single" w:sz="8" w:space="0" w:color="000000"/>
            </w:tcBorders>
            <w:shd w:fill="FFFFFF" w:val="clear"/>
          </w:tcPr>
          <w:p>
            <w:pPr>
              <w:pStyle w:val="Normal"/>
              <w:jc w:val="both"/>
              <w:rPr/>
            </w:pPr>
            <w:r>
              <w:rPr/>
              <w:t>а) от основания или любой части опоры до бровки земляного полотна дороги</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Высота опоры</w:t>
            </w:r>
          </w:p>
        </w:tc>
      </w:tr>
      <w:tr>
        <w:trPr/>
        <w:tc>
          <w:tcPr>
            <w:tcW w:w="4095" w:type="dxa"/>
            <w:tcBorders>
              <w:left w:val="single" w:sz="8" w:space="0" w:color="000000"/>
            </w:tcBorders>
            <w:shd w:fill="FFFFFF" w:val="clear"/>
          </w:tcPr>
          <w:p>
            <w:pPr>
              <w:pStyle w:val="Normal"/>
              <w:jc w:val="both"/>
              <w:rPr/>
            </w:pPr>
            <w:r>
              <w:rPr/>
              <w:t>б) в стесненных условиях от основания или любой части опоры до подошвы насыпи или до наружной бровки кювета дорог категорий IА, IБ и II</w:t>
            </w:r>
          </w:p>
        </w:tc>
        <w:tc>
          <w:tcPr>
            <w:tcW w:w="746" w:type="dxa"/>
            <w:tcBorders>
              <w:left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tcBorders>
            <w:shd w:fill="FFFFFF" w:val="clear"/>
            <w:tcMar>
              <w:left w:w="0" w:type="dxa"/>
              <w:right w:w="0" w:type="dxa"/>
            </w:tcMar>
          </w:tcPr>
          <w:p>
            <w:pPr>
              <w:pStyle w:val="Normal"/>
              <w:jc w:val="center"/>
              <w:rPr/>
            </w:pPr>
            <w:r>
              <w:rPr/>
              <w:t>10</w:t>
            </w:r>
          </w:p>
        </w:tc>
        <w:tc>
          <w:tcPr>
            <w:tcW w:w="749" w:type="dxa"/>
            <w:tcBorders>
              <w:left w:val="single" w:sz="8" w:space="0" w:color="000000"/>
            </w:tcBorders>
            <w:shd w:fill="FFFFFF" w:val="clear"/>
            <w:tcMar>
              <w:left w:w="0" w:type="dxa"/>
              <w:right w:w="0" w:type="dxa"/>
            </w:tcMar>
          </w:tcPr>
          <w:p>
            <w:pPr>
              <w:pStyle w:val="Normal"/>
              <w:jc w:val="center"/>
              <w:rPr/>
            </w:pPr>
            <w:r>
              <w:rPr/>
              <w:t>10</w:t>
            </w:r>
          </w:p>
        </w:tc>
        <w:tc>
          <w:tcPr>
            <w:tcW w:w="7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4095" w:type="dxa"/>
            <w:tcBorders>
              <w:left w:val="single" w:sz="8" w:space="0" w:color="000000"/>
              <w:bottom w:val="single" w:sz="8" w:space="0" w:color="000000"/>
              <w:insideH w:val="single" w:sz="8" w:space="0" w:color="000000"/>
            </w:tcBorders>
            <w:shd w:fill="FFFFFF" w:val="clear"/>
          </w:tcPr>
          <w:p>
            <w:pPr>
              <w:pStyle w:val="Normal"/>
              <w:jc w:val="both"/>
              <w:rPr/>
            </w:pPr>
            <w:r>
              <w:rPr/>
              <w:t>в) то же, до дороги категорий III, IV, I-С, II-С</w:t>
            </w:r>
          </w:p>
        </w:tc>
        <w:tc>
          <w:tcPr>
            <w:tcW w:w="7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4095" w:type="dxa"/>
            <w:tcBorders>
              <w:left w:val="single" w:sz="8" w:space="0" w:color="000000"/>
            </w:tcBorders>
            <w:shd w:fill="FFFFFF" w:val="clear"/>
          </w:tcPr>
          <w:p>
            <w:pPr>
              <w:pStyle w:val="Normal"/>
              <w:jc w:val="both"/>
              <w:rPr/>
            </w:pPr>
            <w:r>
              <w:rPr/>
              <w:t>2. При пересечении дороги категорий III-С и V:</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095" w:type="dxa"/>
            <w:tcBorders>
              <w:left w:val="single" w:sz="8" w:space="0" w:color="000000"/>
            </w:tcBorders>
            <w:shd w:fill="FFFFFF" w:val="clear"/>
          </w:tcPr>
          <w:p>
            <w:pPr>
              <w:pStyle w:val="Normal"/>
              <w:jc w:val="both"/>
              <w:rPr/>
            </w:pPr>
            <w:r>
              <w:rPr/>
              <w:t>а) от основания или любой части опоры до бровки земляного полотна дороги</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Высота опоры</w:t>
            </w:r>
          </w:p>
        </w:tc>
      </w:tr>
      <w:tr>
        <w:trPr/>
        <w:tc>
          <w:tcPr>
            <w:tcW w:w="4095" w:type="dxa"/>
            <w:tcBorders>
              <w:left w:val="single" w:sz="8" w:space="0" w:color="000000"/>
              <w:bottom w:val="single" w:sz="8" w:space="0" w:color="000000"/>
              <w:insideH w:val="single" w:sz="8" w:space="0" w:color="000000"/>
            </w:tcBorders>
            <w:shd w:fill="FFFFFF" w:val="clear"/>
          </w:tcPr>
          <w:p>
            <w:pPr>
              <w:pStyle w:val="Normal"/>
              <w:jc w:val="both"/>
              <w:rPr/>
            </w:pPr>
            <w:r>
              <w:rPr/>
              <w:t>б) в стесненных условиях от основания или любой части опоры до подошвы насыпи, наружной бровки, выемки или боковой водоотводящей канавы</w:t>
            </w:r>
          </w:p>
        </w:tc>
        <w:tc>
          <w:tcPr>
            <w:tcW w:w="7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4095" w:type="dxa"/>
            <w:tcBorders>
              <w:left w:val="single" w:sz="8" w:space="0" w:color="000000"/>
            </w:tcBorders>
            <w:shd w:fill="FFFFFF" w:val="clear"/>
          </w:tcPr>
          <w:p>
            <w:pPr>
              <w:pStyle w:val="Normal"/>
              <w:jc w:val="both"/>
              <w:rPr/>
            </w:pPr>
            <w:r>
              <w:rPr/>
              <w:t>3. При параллельном следовании с дорогами всех категорий:</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095" w:type="dxa"/>
            <w:tcBorders>
              <w:left w:val="single" w:sz="8" w:space="0" w:color="000000"/>
            </w:tcBorders>
            <w:shd w:fill="FFFFFF" w:val="clear"/>
          </w:tcPr>
          <w:p>
            <w:pPr>
              <w:pStyle w:val="Normal"/>
              <w:jc w:val="both"/>
              <w:rPr/>
            </w:pPr>
            <w:r>
              <w:rPr/>
              <w:t>а) от основания или любой части опоры до бровки земляного полотна дороги</w:t>
            </w:r>
          </w:p>
        </w:tc>
        <w:tc>
          <w:tcPr>
            <w:tcW w:w="5260" w:type="dxa"/>
            <w:gridSpan w:val="7"/>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Высота опоры плюс 5 м</w:t>
            </w:r>
          </w:p>
        </w:tc>
      </w:tr>
      <w:tr>
        <w:trPr/>
        <w:tc>
          <w:tcPr>
            <w:tcW w:w="4095" w:type="dxa"/>
            <w:tcBorders>
              <w:left w:val="single" w:sz="8" w:space="0" w:color="000000"/>
            </w:tcBorders>
            <w:shd w:fill="FFFFFF" w:val="clear"/>
          </w:tcPr>
          <w:p>
            <w:pPr>
              <w:pStyle w:val="Normal"/>
              <w:jc w:val="both"/>
              <w:rPr/>
            </w:pPr>
            <w:r>
              <w:rPr/>
              <w:t>б) от крайнего неотклоненного провода до бровки земляного полотна</w:t>
            </w:r>
          </w:p>
        </w:tc>
        <w:tc>
          <w:tcPr>
            <w:tcW w:w="746" w:type="dxa"/>
            <w:tcBorders>
              <w:left w:val="single" w:sz="8" w:space="0" w:color="000000"/>
            </w:tcBorders>
            <w:shd w:fill="FFFFFF" w:val="clear"/>
            <w:tcMar>
              <w:left w:w="0" w:type="dxa"/>
              <w:right w:w="0" w:type="dxa"/>
            </w:tcMar>
          </w:tcPr>
          <w:p>
            <w:pPr>
              <w:pStyle w:val="Normal"/>
              <w:jc w:val="center"/>
              <w:rPr/>
            </w:pPr>
            <w:r>
              <w:rPr/>
              <w:t>10</w:t>
            </w:r>
          </w:p>
        </w:tc>
        <w:tc>
          <w:tcPr>
            <w:tcW w:w="749" w:type="dxa"/>
            <w:tcBorders>
              <w:left w:val="single" w:sz="8" w:space="0" w:color="000000"/>
            </w:tcBorders>
            <w:shd w:fill="FFFFFF" w:val="clear"/>
            <w:tcMar>
              <w:left w:w="0" w:type="dxa"/>
              <w:right w:w="0" w:type="dxa"/>
            </w:tcMar>
          </w:tcPr>
          <w:p>
            <w:pPr>
              <w:pStyle w:val="Normal"/>
              <w:jc w:val="center"/>
              <w:rPr/>
            </w:pPr>
            <w:r>
              <w:rPr/>
              <w:t>15</w:t>
            </w:r>
          </w:p>
        </w:tc>
        <w:tc>
          <w:tcPr>
            <w:tcW w:w="749" w:type="dxa"/>
            <w:tcBorders>
              <w:left w:val="single" w:sz="8" w:space="0" w:color="000000"/>
            </w:tcBorders>
            <w:shd w:fill="FFFFFF" w:val="clear"/>
            <w:tcMar>
              <w:left w:w="0" w:type="dxa"/>
              <w:right w:w="0" w:type="dxa"/>
            </w:tcMar>
          </w:tcPr>
          <w:p>
            <w:pPr>
              <w:pStyle w:val="Normal"/>
              <w:jc w:val="center"/>
              <w:rPr/>
            </w:pPr>
            <w:r>
              <w:rPr/>
              <w:t>15</w:t>
            </w:r>
          </w:p>
        </w:tc>
        <w:tc>
          <w:tcPr>
            <w:tcW w:w="749" w:type="dxa"/>
            <w:tcBorders>
              <w:left w:val="single" w:sz="8" w:space="0" w:color="000000"/>
            </w:tcBorders>
            <w:shd w:fill="FFFFFF" w:val="clear"/>
            <w:tcMar>
              <w:left w:w="0" w:type="dxa"/>
              <w:right w:w="0" w:type="dxa"/>
            </w:tcMar>
          </w:tcPr>
          <w:p>
            <w:pPr>
              <w:pStyle w:val="Normal"/>
              <w:jc w:val="center"/>
              <w:rPr/>
            </w:pPr>
            <w:r>
              <w:rPr/>
              <w:t>15</w:t>
            </w:r>
          </w:p>
        </w:tc>
        <w:tc>
          <w:tcPr>
            <w:tcW w:w="749" w:type="dxa"/>
            <w:tcBorders>
              <w:left w:val="single" w:sz="8" w:space="0" w:color="000000"/>
            </w:tcBorders>
            <w:shd w:fill="FFFFFF" w:val="clear"/>
            <w:tcMar>
              <w:left w:w="0" w:type="dxa"/>
              <w:right w:w="0" w:type="dxa"/>
            </w:tcMar>
          </w:tcPr>
          <w:p>
            <w:pPr>
              <w:pStyle w:val="Normal"/>
              <w:jc w:val="center"/>
              <w:rPr/>
            </w:pPr>
            <w:r>
              <w:rPr/>
              <w:t>20</w:t>
            </w:r>
            <w:r>
              <w:rPr>
                <w:vertAlign w:val="superscript"/>
              </w:rPr>
              <w:t>*</w:t>
            </w:r>
          </w:p>
        </w:tc>
        <w:tc>
          <w:tcPr>
            <w:tcW w:w="749" w:type="dxa"/>
            <w:tcBorders>
              <w:left w:val="single" w:sz="8" w:space="0" w:color="000000"/>
            </w:tcBorders>
            <w:shd w:fill="FFFFFF" w:val="clear"/>
            <w:tcMar>
              <w:left w:w="0" w:type="dxa"/>
              <w:right w:w="0" w:type="dxa"/>
            </w:tcMar>
          </w:tcPr>
          <w:p>
            <w:pPr>
              <w:pStyle w:val="Normal"/>
              <w:jc w:val="center"/>
              <w:rPr/>
            </w:pPr>
            <w:r>
              <w:rPr/>
              <w:t>30</w:t>
            </w:r>
            <w:r>
              <w:rPr>
                <w:vertAlign w:val="superscript"/>
              </w:rPr>
              <w:t>*</w:t>
            </w:r>
          </w:p>
        </w:tc>
        <w:tc>
          <w:tcPr>
            <w:tcW w:w="76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r>
              <w:rPr>
                <w:vertAlign w:val="superscript"/>
              </w:rPr>
              <w:t>*</w:t>
            </w:r>
          </w:p>
        </w:tc>
      </w:tr>
      <w:tr>
        <w:trPr/>
        <w:tc>
          <w:tcPr>
            <w:tcW w:w="4095" w:type="dxa"/>
            <w:tcBorders>
              <w:left w:val="single" w:sz="8" w:space="0" w:color="000000"/>
              <w:bottom w:val="single" w:sz="8" w:space="0" w:color="000000"/>
              <w:insideH w:val="single" w:sz="8" w:space="0" w:color="000000"/>
            </w:tcBorders>
            <w:shd w:fill="FFFFFF" w:val="clear"/>
          </w:tcPr>
          <w:p>
            <w:pPr>
              <w:pStyle w:val="Normal"/>
              <w:jc w:val="both"/>
              <w:rPr/>
            </w:pPr>
            <w:r>
              <w:rPr/>
              <w:t>в) то же, в стесненных условиях</w:t>
            </w:r>
          </w:p>
        </w:tc>
        <w:tc>
          <w:tcPr>
            <w:tcW w:w="7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w:t>
            </w:r>
          </w:p>
        </w:tc>
        <w:tc>
          <w:tcPr>
            <w:tcW w:w="74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7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bl>
    <w:p>
      <w:pPr>
        <w:pStyle w:val="Normal"/>
        <w:spacing w:before="120" w:after="0"/>
        <w:ind w:firstLine="283"/>
        <w:jc w:val="both"/>
        <w:rPr/>
      </w:pPr>
      <w:r>
        <w:rPr>
          <w:vertAlign w:val="superscript"/>
        </w:rPr>
        <w:t>*</w:t>
      </w:r>
      <w:r>
        <w:rPr/>
        <w:t xml:space="preserve"> С учетом предельно допустимых уровней напряженности электрического поля.</w:t>
      </w:r>
    </w:p>
    <w:p>
      <w:pPr>
        <w:pStyle w:val="Normal"/>
        <w:spacing w:before="120" w:after="0"/>
        <w:ind w:firstLine="283"/>
        <w:jc w:val="both"/>
        <w:rPr/>
      </w:pPr>
      <w:r>
        <w:rPr/>
        <w:t>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2.5.35.</w:t>
      </w:r>
    </w:p>
    <w:p>
      <w:pPr>
        <w:pStyle w:val="Normal"/>
        <w:ind w:firstLine="283"/>
        <w:jc w:val="both"/>
        <w:rPr/>
      </w:pPr>
      <w:r>
        <w:rPr/>
        <w:t>Наименьшие расстояния по вертикали в нормальном режиме работы ВЛ от проводов до проезжей части дорог должны приниматься:</w:t>
      </w:r>
    </w:p>
    <w:p>
      <w:pPr>
        <w:pStyle w:val="Normal"/>
        <w:ind w:firstLine="283"/>
        <w:jc w:val="both"/>
        <w:rPr/>
      </w:pPr>
      <w:r>
        <w:rPr/>
        <w:t>без учета нагрева провода электрическим током при высшей температуре воздуха для ВЛ 500 кВ и ниже, при температуре воздуха по 2.5.17 при предельно допустимых значениях интенсивности электрической и магнитной составляющих электромагнитного поля для ВЛ 750 кВ;</w:t>
      </w:r>
    </w:p>
    <w:p>
      <w:pPr>
        <w:pStyle w:val="Normal"/>
        <w:ind w:firstLine="283"/>
        <w:jc w:val="both"/>
        <w:rPr/>
      </w:pPr>
      <w:r>
        <w:rPr/>
        <w:t>при расчетной линейной гололедной нагрузке по 2.5.55 и температуре воздуха при гололеде согласно 2.5.51.</w:t>
      </w:r>
    </w:p>
    <w:p>
      <w:pPr>
        <w:pStyle w:val="Normal"/>
        <w:ind w:firstLine="283"/>
        <w:jc w:val="both"/>
        <w:rPr/>
      </w:pPr>
      <w:r>
        <w:rPr/>
        <w:t>2.5.259. Расстояния по вертикали от проводов ВЛ с площадью сечения алюминиевой части менее 185 мм</w:t>
      </w:r>
      <w:r>
        <w:rPr>
          <w:vertAlign w:val="superscript"/>
        </w:rPr>
        <w:t>2</w:t>
      </w:r>
      <w:r>
        <w:rPr/>
        <w:t xml:space="preserve">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2.5.35.</w:t>
      </w:r>
    </w:p>
    <w:p>
      <w:pPr>
        <w:pStyle w:val="Normal"/>
        <w:ind w:firstLine="283"/>
        <w:jc w:val="both"/>
        <w:rPr/>
      </w:pPr>
      <w:r>
        <w:rPr/>
        <w:t>2.5.260.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pPr>
        <w:pStyle w:val="Normal"/>
        <w:ind w:firstLine="283"/>
        <w:jc w:val="both"/>
        <w:rPr/>
      </w:pPr>
      <w:r>
        <w:rPr/>
        <w:t>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p>
      <w:pPr>
        <w:pStyle w:val="Normal"/>
        <w:ind w:firstLine="283"/>
        <w:jc w:val="both"/>
        <w:rPr/>
      </w:pPr>
      <w:r>
        <w:rPr/>
        <w:t>Подвеска дорожных знаков на тросах-растяжках в пределах охранных зон ВЛ не допускается.</w:t>
      </w:r>
    </w:p>
    <w:p>
      <w:pPr>
        <w:pStyle w:val="Normal"/>
        <w:ind w:firstLine="283"/>
        <w:jc w:val="both"/>
        <w:rPr/>
      </w:pPr>
      <w:r>
        <w:rPr/>
        <w:t>2.5.261. При сближении или пересечении зеленых насаждений, расположенных вдоль автомобильных дорог, следует руководствоваться 2.5.207.</w:t>
      </w:r>
    </w:p>
    <w:p>
      <w:pPr>
        <w:pStyle w:val="Normal"/>
        <w:ind w:firstLine="283"/>
        <w:jc w:val="both"/>
        <w:rPr/>
      </w:pPr>
      <w:r>
        <w:rPr/>
        <w:t>2.5.262. Для предотвращения наездов транспортных средств на опоры ВЛ, расположенные на расстоянии менее 4 м от кромки проезжей части, должны применяться дорожные ограждения I группы</w:t>
      </w:r>
      <w:r>
        <w:rPr>
          <w:vertAlign w:val="superscript"/>
        </w:rPr>
        <w:t>*</w:t>
      </w:r>
      <w:r>
        <w:rPr/>
        <w:t>.</w:t>
      </w:r>
    </w:p>
    <w:p>
      <w:pPr>
        <w:pStyle w:val="Normal"/>
        <w:spacing w:before="120" w:after="0"/>
        <w:ind w:firstLine="283"/>
        <w:jc w:val="both"/>
        <w:rPr/>
      </w:pPr>
      <w:r>
        <w:rPr>
          <w:vertAlign w:val="superscript"/>
        </w:rPr>
        <w:t>*</w:t>
      </w:r>
      <w:r>
        <w:rPr/>
        <w:t xml:space="preserve"> Определение дорожных ограждений I группы приведено в строительных нормах и правилах на автомобильные дороги.</w:t>
      </w:r>
    </w:p>
    <w:p>
      <w:pPr>
        <w:pStyle w:val="Normal"/>
        <w:spacing w:before="120" w:after="0"/>
        <w:ind w:firstLine="283"/>
        <w:jc w:val="both"/>
        <w:rPr/>
      </w:pPr>
      <w:r>
        <w:rPr/>
        <w:t>2.5.263. Минимальные расстояния от ВЛ до мостов автомобильных дорог с пролетом 20 м и менее следует принимать такими же, как до соответствующих автомобильных дорог по табл. 2.5.35, а с пролетом более 20 м - устанавливаются при проектировании ВЛ.</w:t>
      </w:r>
    </w:p>
    <w:p>
      <w:pPr>
        <w:pStyle w:val="Heading3"/>
        <w:rPr/>
      </w:pPr>
      <w:r>
        <w:rPr/>
        <w:t>ПЕРЕСЕЧЕНИЕ, СБЛИЖЕНИЕ ИЛИ ПАРАЛЛЕЛЬНОЕ СЛЕДОВАНИЕ ВЛ С ТРОЛЛЕЙБУСНЫМИ И ТРАМВАЙНЫМИ ЛИНИЯМИ</w:t>
      </w:r>
    </w:p>
    <w:p>
      <w:pPr>
        <w:pStyle w:val="Normal"/>
        <w:ind w:firstLine="283"/>
        <w:jc w:val="both"/>
        <w:rPr/>
      </w:pPr>
      <w:r>
        <w:rPr/>
        <w:t>2.5.264. Угол пересечения ВЛ с троллейбусными и трамвайными линиями следует принимать близким 90°, но не менее 60°.</w:t>
      </w:r>
    </w:p>
    <w:p>
      <w:pPr>
        <w:pStyle w:val="Normal"/>
        <w:ind w:firstLine="283"/>
        <w:jc w:val="both"/>
        <w:rPr/>
      </w:pPr>
      <w:r>
        <w:rPr/>
        <w:t>2.5.265. При пересечении троллейбусных и трамвайных линий опоры ВЛ, ограничивающие пролет пересечения, должны быть анкерными нормальной конструкции.</w:t>
      </w:r>
    </w:p>
    <w:p>
      <w:pPr>
        <w:pStyle w:val="Normal"/>
        <w:ind w:firstLine="283"/>
        <w:jc w:val="both"/>
        <w:rPr/>
      </w:pPr>
      <w:r>
        <w:rPr/>
        <w:t>Для ВЛ с проводами площадью сечения алюминиевой части 120 мм</w:t>
      </w:r>
      <w:r>
        <w:rPr>
          <w:vertAlign w:val="superscript"/>
        </w:rPr>
        <w:t>2</w:t>
      </w:r>
      <w:r>
        <w:rPr/>
        <w:t xml:space="preserve"> и более или со стальными канатами типа ТК сечением 50 мм</w:t>
      </w:r>
      <w:r>
        <w:rPr>
          <w:vertAlign w:val="superscript"/>
        </w:rPr>
        <w:t>2</w:t>
      </w:r>
      <w:r>
        <w:rPr/>
        <w:t xml:space="preserve"> и более допускаются также промежуточные опоры с подвеской проводов в глухих зажимах или с двойным креплением на штыревых изоляторах.</w:t>
      </w:r>
    </w:p>
    <w:p>
      <w:pPr>
        <w:pStyle w:val="Normal"/>
        <w:ind w:firstLine="283"/>
        <w:jc w:val="both"/>
        <w:rPr/>
      </w:pPr>
      <w:r>
        <w:rPr/>
        <w:t>В случае применения анкерных опор на ВЛ с подвесными изоляторами и нерасщепленным проводом в фазе с площадью сечения алюминиевой части 120 мм</w:t>
      </w:r>
      <w:r>
        <w:rPr>
          <w:vertAlign w:val="superscript"/>
        </w:rPr>
        <w:t>2</w:t>
      </w:r>
      <w:r>
        <w:rPr/>
        <w:t xml:space="preserve"> и более натяжные гирлянды изоляторов для провода должны быть двухцепными с раздельным креплением каждой цепи к опоре.</w:t>
      </w:r>
    </w:p>
    <w:p>
      <w:pPr>
        <w:pStyle w:val="Normal"/>
        <w:ind w:firstLine="283"/>
        <w:jc w:val="both"/>
        <w:rPr/>
      </w:pPr>
      <w:r>
        <w:rPr/>
        <w:t>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 2.5.36.</w:t>
      </w:r>
    </w:p>
    <w:p>
      <w:pPr>
        <w:pStyle w:val="Normal"/>
        <w:ind w:firstLine="283"/>
        <w:jc w:val="both"/>
        <w:rPr/>
      </w:pPr>
      <w:r>
        <w:rPr/>
        <w:t>Для ВЛЗ с проводами площадью сечения алюминиевой части 120 мм</w:t>
      </w:r>
      <w:r>
        <w:rPr>
          <w:vertAlign w:val="superscript"/>
        </w:rPr>
        <w:t>2</w:t>
      </w:r>
      <w:r>
        <w:rPr/>
        <w:t xml:space="preserve"> и более допускается применение промежуточных опор с усиленным креплением защищенных проводов.</w:t>
      </w:r>
    </w:p>
    <w:p>
      <w:pPr>
        <w:pStyle w:val="Normal"/>
        <w:ind w:firstLine="283"/>
        <w:jc w:val="both"/>
        <w:rPr/>
      </w:pPr>
      <w:r>
        <w:rPr/>
        <w:t>2.5.266.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2.5.36:</w:t>
      </w:r>
    </w:p>
    <w:p>
      <w:pPr>
        <w:pStyle w:val="Normal"/>
        <w:ind w:firstLine="283"/>
        <w:jc w:val="both"/>
        <w:rPr/>
      </w:pPr>
      <w:r>
        <w:rPr/>
        <w:t>при высшей температуре воздуха без учета нагрева провода электрическим током;</w:t>
      </w:r>
    </w:p>
    <w:p>
      <w:pPr>
        <w:pStyle w:val="Normal"/>
        <w:ind w:firstLine="283"/>
        <w:jc w:val="both"/>
        <w:rPr/>
      </w:pPr>
      <w:r>
        <w:rPr/>
        <w:t>при расчетной линейной гололедной нагрузке по 2.5.55 и температуре воздуха при гололеде согласно 2.5.51.</w:t>
      </w:r>
    </w:p>
    <w:p>
      <w:pPr>
        <w:pStyle w:val="Normal"/>
        <w:ind w:firstLine="283"/>
        <w:jc w:val="both"/>
        <w:rPr/>
      </w:pPr>
      <w:r>
        <w:rPr/>
        <w:t>Расстояния по вертикали от проводов ВЛ площадью сечения алюминиевой части менее 185 мм</w:t>
      </w:r>
      <w:r>
        <w:rPr>
          <w:vertAlign w:val="superscript"/>
        </w:rPr>
        <w:t>2</w:t>
      </w:r>
      <w:r>
        <w:rPr/>
        <w:t xml:space="preserve">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 2.5.36.</w:t>
      </w:r>
    </w:p>
    <w:p>
      <w:pPr>
        <w:pStyle w:val="Normal"/>
        <w:spacing w:before="120" w:after="120"/>
        <w:jc w:val="right"/>
        <w:rPr/>
      </w:pPr>
      <w:r>
        <w:rPr>
          <w:spacing w:val="40"/>
        </w:rPr>
        <w:t>Таблица</w:t>
      </w:r>
      <w:r>
        <w:rPr/>
        <w:t xml:space="preserve"> 2.5.36</w:t>
      </w:r>
    </w:p>
    <w:p>
      <w:pPr>
        <w:pStyle w:val="Normal"/>
        <w:spacing w:before="0" w:after="120"/>
        <w:jc w:val="center"/>
        <w:rPr>
          <w:b/>
          <w:b/>
          <w:bCs/>
        </w:rPr>
      </w:pPr>
      <w:r>
        <w:rPr>
          <w:b/>
          <w:bCs/>
        </w:rPr>
        <w:t>Наименьшие расстояния от проводов ВЛ при пересечении, сближении или параллельном следовании с троллейбусными и трамвайными линиями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241"/>
        <w:gridCol w:w="819"/>
        <w:gridCol w:w="820"/>
        <w:gridCol w:w="819"/>
        <w:gridCol w:w="819"/>
        <w:gridCol w:w="837"/>
      </w:tblGrid>
      <w:tr>
        <w:trPr>
          <w:tblHeader w:val="true"/>
        </w:trPr>
        <w:tc>
          <w:tcPr>
            <w:tcW w:w="524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Пересечение, сближение или параллельное следование</w:t>
            </w:r>
          </w:p>
        </w:tc>
        <w:tc>
          <w:tcPr>
            <w:tcW w:w="4114"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524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19"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82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35-110</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150-220</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83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500</w:t>
            </w:r>
          </w:p>
        </w:tc>
      </w:tr>
      <w:tr>
        <w:trPr/>
        <w:tc>
          <w:tcPr>
            <w:tcW w:w="5241" w:type="dxa"/>
            <w:tcBorders>
              <w:left w:val="single" w:sz="8" w:space="0" w:color="000000"/>
            </w:tcBorders>
            <w:shd w:fill="FFFFFF" w:val="clear"/>
          </w:tcPr>
          <w:p>
            <w:pPr>
              <w:pStyle w:val="Normal"/>
              <w:jc w:val="both"/>
              <w:rPr>
                <w:i/>
                <w:i/>
                <w:iCs/>
              </w:rPr>
            </w:pPr>
            <w:r>
              <w:rPr>
                <w:i/>
                <w:iCs/>
              </w:rPr>
              <w:t>Расстояние по вертикали от проводов ВЛ:</w:t>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20"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241" w:type="dxa"/>
            <w:tcBorders>
              <w:left w:val="single" w:sz="8" w:space="0" w:color="000000"/>
            </w:tcBorders>
            <w:shd w:fill="FFFFFF" w:val="clear"/>
          </w:tcPr>
          <w:p>
            <w:pPr>
              <w:pStyle w:val="Normal"/>
              <w:jc w:val="both"/>
              <w:rPr/>
            </w:pPr>
            <w:r>
              <w:rPr/>
              <w:t>а) при пересечении с троллейбусной линией в нормальном режиме ВЛ:</w:t>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20"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241" w:type="dxa"/>
            <w:tcBorders>
              <w:left w:val="single" w:sz="8" w:space="0" w:color="000000"/>
            </w:tcBorders>
            <w:shd w:fill="FFFFFF" w:val="clear"/>
          </w:tcPr>
          <w:p>
            <w:pPr>
              <w:pStyle w:val="Normal"/>
              <w:jc w:val="both"/>
              <w:rPr/>
            </w:pPr>
            <w:r>
              <w:rPr/>
              <w:t>до высшей отметки проезжей части</w:t>
            </w:r>
          </w:p>
        </w:tc>
        <w:tc>
          <w:tcPr>
            <w:tcW w:w="819" w:type="dxa"/>
            <w:tcBorders>
              <w:left w:val="single" w:sz="8" w:space="0" w:color="000000"/>
            </w:tcBorders>
            <w:shd w:fill="FFFFFF" w:val="clear"/>
            <w:tcMar>
              <w:left w:w="0" w:type="dxa"/>
              <w:right w:w="0" w:type="dxa"/>
            </w:tcMar>
          </w:tcPr>
          <w:p>
            <w:pPr>
              <w:pStyle w:val="Normal"/>
              <w:jc w:val="center"/>
              <w:rPr/>
            </w:pPr>
            <w:r>
              <w:rPr/>
              <w:t>11</w:t>
            </w:r>
          </w:p>
        </w:tc>
        <w:tc>
          <w:tcPr>
            <w:tcW w:w="820" w:type="dxa"/>
            <w:tcBorders>
              <w:left w:val="single" w:sz="8" w:space="0" w:color="000000"/>
            </w:tcBorders>
            <w:shd w:fill="FFFFFF" w:val="clear"/>
            <w:tcMar>
              <w:left w:w="0" w:type="dxa"/>
              <w:right w:w="0" w:type="dxa"/>
            </w:tcMar>
          </w:tcPr>
          <w:p>
            <w:pPr>
              <w:pStyle w:val="Normal"/>
              <w:jc w:val="center"/>
              <w:rPr/>
            </w:pPr>
            <w:r>
              <w:rPr/>
              <w:t>11</w:t>
            </w:r>
          </w:p>
        </w:tc>
        <w:tc>
          <w:tcPr>
            <w:tcW w:w="819" w:type="dxa"/>
            <w:tcBorders>
              <w:left w:val="single" w:sz="8" w:space="0" w:color="000000"/>
            </w:tcBorders>
            <w:shd w:fill="FFFFFF" w:val="clear"/>
            <w:tcMar>
              <w:left w:w="0" w:type="dxa"/>
              <w:right w:w="0" w:type="dxa"/>
            </w:tcMar>
          </w:tcPr>
          <w:p>
            <w:pPr>
              <w:pStyle w:val="Normal"/>
              <w:jc w:val="center"/>
              <w:rPr/>
            </w:pPr>
            <w:r>
              <w:rPr/>
              <w:t>12</w:t>
            </w:r>
          </w:p>
        </w:tc>
        <w:tc>
          <w:tcPr>
            <w:tcW w:w="819" w:type="dxa"/>
            <w:tcBorders>
              <w:left w:val="single" w:sz="8" w:space="0" w:color="000000"/>
            </w:tcBorders>
            <w:shd w:fill="FFFFFF" w:val="clear"/>
            <w:tcMar>
              <w:left w:w="0" w:type="dxa"/>
              <w:right w:w="0" w:type="dxa"/>
            </w:tcMar>
          </w:tcPr>
          <w:p>
            <w:pPr>
              <w:pStyle w:val="Normal"/>
              <w:jc w:val="center"/>
              <w:rPr/>
            </w:pPr>
            <w:r>
              <w:rPr/>
              <w:t>13</w:t>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13</w:t>
            </w:r>
          </w:p>
        </w:tc>
      </w:tr>
      <w:tr>
        <w:trPr/>
        <w:tc>
          <w:tcPr>
            <w:tcW w:w="5241" w:type="dxa"/>
            <w:tcBorders>
              <w:left w:val="single" w:sz="8" w:space="0" w:color="000000"/>
            </w:tcBorders>
            <w:shd w:fill="FFFFFF" w:val="clear"/>
          </w:tcPr>
          <w:p>
            <w:pPr>
              <w:pStyle w:val="Normal"/>
              <w:jc w:val="both"/>
              <w:rPr/>
            </w:pPr>
            <w:r>
              <w:rPr/>
              <w:t>до проводов контактной сети или несущих тросов</w:t>
            </w:r>
          </w:p>
        </w:tc>
        <w:tc>
          <w:tcPr>
            <w:tcW w:w="819" w:type="dxa"/>
            <w:tcBorders>
              <w:left w:val="single" w:sz="8" w:space="0" w:color="000000"/>
            </w:tcBorders>
            <w:shd w:fill="FFFFFF" w:val="clear"/>
            <w:tcMar>
              <w:left w:w="0" w:type="dxa"/>
              <w:right w:w="0" w:type="dxa"/>
            </w:tcMar>
          </w:tcPr>
          <w:p>
            <w:pPr>
              <w:pStyle w:val="Normal"/>
              <w:jc w:val="center"/>
              <w:rPr/>
            </w:pPr>
            <w:r>
              <w:rPr/>
              <w:t>3</w:t>
            </w:r>
          </w:p>
        </w:tc>
        <w:tc>
          <w:tcPr>
            <w:tcW w:w="820" w:type="dxa"/>
            <w:tcBorders>
              <w:left w:val="single" w:sz="8" w:space="0" w:color="000000"/>
            </w:tcBorders>
            <w:shd w:fill="FFFFFF" w:val="clear"/>
            <w:tcMar>
              <w:left w:w="0" w:type="dxa"/>
              <w:right w:w="0" w:type="dxa"/>
            </w:tcMar>
          </w:tcPr>
          <w:p>
            <w:pPr>
              <w:pStyle w:val="Normal"/>
              <w:jc w:val="center"/>
              <w:rPr/>
            </w:pPr>
            <w:r>
              <w:rPr/>
              <w:t>3</w:t>
            </w:r>
          </w:p>
        </w:tc>
        <w:tc>
          <w:tcPr>
            <w:tcW w:w="819" w:type="dxa"/>
            <w:tcBorders>
              <w:left w:val="single" w:sz="8" w:space="0" w:color="000000"/>
            </w:tcBorders>
            <w:shd w:fill="FFFFFF" w:val="clear"/>
            <w:tcMar>
              <w:left w:w="0" w:type="dxa"/>
              <w:right w:w="0" w:type="dxa"/>
            </w:tcMar>
          </w:tcPr>
          <w:p>
            <w:pPr>
              <w:pStyle w:val="Normal"/>
              <w:jc w:val="center"/>
              <w:rPr/>
            </w:pPr>
            <w:r>
              <w:rPr/>
              <w:t>4</w:t>
            </w:r>
          </w:p>
        </w:tc>
        <w:tc>
          <w:tcPr>
            <w:tcW w:w="819" w:type="dxa"/>
            <w:tcBorders>
              <w:left w:val="single" w:sz="8" w:space="0" w:color="000000"/>
            </w:tcBorders>
            <w:shd w:fill="FFFFFF" w:val="clear"/>
            <w:tcMar>
              <w:left w:w="0" w:type="dxa"/>
              <w:right w:w="0" w:type="dxa"/>
            </w:tcMar>
          </w:tcPr>
          <w:p>
            <w:pPr>
              <w:pStyle w:val="Normal"/>
              <w:jc w:val="center"/>
              <w:rPr/>
            </w:pPr>
            <w:r>
              <w:rPr/>
              <w:t>5</w:t>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5241" w:type="dxa"/>
            <w:tcBorders>
              <w:left w:val="single" w:sz="8" w:space="0" w:color="000000"/>
            </w:tcBorders>
            <w:shd w:fill="FFFFFF" w:val="clear"/>
          </w:tcPr>
          <w:p>
            <w:pPr>
              <w:pStyle w:val="Normal"/>
              <w:jc w:val="both"/>
              <w:rPr/>
            </w:pPr>
            <w:r>
              <w:rPr/>
              <w:t>б) при пересечении с трамвайной линией в нормальном режиме ВЛ:</w:t>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20"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19" w:type="dxa"/>
            <w:tcBorders>
              <w:left w:val="single" w:sz="8" w:space="0" w:color="000000"/>
            </w:tcBorders>
            <w:shd w:fill="FFFFFF" w:val="clear"/>
            <w:tcMar>
              <w:left w:w="0" w:type="dxa"/>
              <w:right w:w="0" w:type="dxa"/>
            </w:tcMar>
          </w:tcPr>
          <w:p>
            <w:pPr>
              <w:pStyle w:val="Normal"/>
              <w:snapToGrid w:val="false"/>
              <w:rPr/>
            </w:pPr>
            <w:r>
              <w:rPr/>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241" w:type="dxa"/>
            <w:tcBorders>
              <w:left w:val="single" w:sz="8" w:space="0" w:color="000000"/>
            </w:tcBorders>
            <w:shd w:fill="FFFFFF" w:val="clear"/>
          </w:tcPr>
          <w:p>
            <w:pPr>
              <w:pStyle w:val="Normal"/>
              <w:jc w:val="both"/>
              <w:rPr/>
            </w:pPr>
            <w:r>
              <w:rPr/>
              <w:t>до головки рельса</w:t>
            </w:r>
          </w:p>
        </w:tc>
        <w:tc>
          <w:tcPr>
            <w:tcW w:w="819" w:type="dxa"/>
            <w:tcBorders>
              <w:left w:val="single" w:sz="8" w:space="0" w:color="000000"/>
            </w:tcBorders>
            <w:shd w:fill="FFFFFF" w:val="clear"/>
            <w:tcMar>
              <w:left w:w="0" w:type="dxa"/>
              <w:right w:w="0" w:type="dxa"/>
            </w:tcMar>
          </w:tcPr>
          <w:p>
            <w:pPr>
              <w:pStyle w:val="Normal"/>
              <w:jc w:val="center"/>
              <w:rPr/>
            </w:pPr>
            <w:r>
              <w:rPr/>
              <w:t>9,5</w:t>
            </w:r>
          </w:p>
        </w:tc>
        <w:tc>
          <w:tcPr>
            <w:tcW w:w="820" w:type="dxa"/>
            <w:tcBorders>
              <w:left w:val="single" w:sz="8" w:space="0" w:color="000000"/>
            </w:tcBorders>
            <w:shd w:fill="FFFFFF" w:val="clear"/>
            <w:tcMar>
              <w:left w:w="0" w:type="dxa"/>
              <w:right w:w="0" w:type="dxa"/>
            </w:tcMar>
          </w:tcPr>
          <w:p>
            <w:pPr>
              <w:pStyle w:val="Normal"/>
              <w:jc w:val="center"/>
              <w:rPr/>
            </w:pPr>
            <w:r>
              <w:rPr/>
              <w:t>9,5</w:t>
            </w:r>
          </w:p>
        </w:tc>
        <w:tc>
          <w:tcPr>
            <w:tcW w:w="819" w:type="dxa"/>
            <w:tcBorders>
              <w:left w:val="single" w:sz="8" w:space="0" w:color="000000"/>
            </w:tcBorders>
            <w:shd w:fill="FFFFFF" w:val="clear"/>
            <w:tcMar>
              <w:left w:w="0" w:type="dxa"/>
              <w:right w:w="0" w:type="dxa"/>
            </w:tcMar>
          </w:tcPr>
          <w:p>
            <w:pPr>
              <w:pStyle w:val="Normal"/>
              <w:jc w:val="center"/>
              <w:rPr/>
            </w:pPr>
            <w:r>
              <w:rPr/>
              <w:t>10,5</w:t>
            </w:r>
          </w:p>
        </w:tc>
        <w:tc>
          <w:tcPr>
            <w:tcW w:w="819" w:type="dxa"/>
            <w:tcBorders>
              <w:left w:val="single" w:sz="8" w:space="0" w:color="000000"/>
            </w:tcBorders>
            <w:shd w:fill="FFFFFF" w:val="clear"/>
            <w:tcMar>
              <w:left w:w="0" w:type="dxa"/>
              <w:right w:w="0" w:type="dxa"/>
            </w:tcMar>
          </w:tcPr>
          <w:p>
            <w:pPr>
              <w:pStyle w:val="Normal"/>
              <w:jc w:val="center"/>
              <w:rPr/>
            </w:pPr>
            <w:r>
              <w:rPr/>
              <w:t>11,5</w:t>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5241" w:type="dxa"/>
            <w:tcBorders>
              <w:left w:val="single" w:sz="8" w:space="0" w:color="000000"/>
            </w:tcBorders>
            <w:shd w:fill="FFFFFF" w:val="clear"/>
          </w:tcPr>
          <w:p>
            <w:pPr>
              <w:pStyle w:val="Normal"/>
              <w:jc w:val="both"/>
              <w:rPr/>
            </w:pPr>
            <w:r>
              <w:rPr/>
              <w:t>до проводов контактной сети или несущих тросов</w:t>
            </w:r>
          </w:p>
        </w:tc>
        <w:tc>
          <w:tcPr>
            <w:tcW w:w="819" w:type="dxa"/>
            <w:tcBorders>
              <w:left w:val="single" w:sz="8" w:space="0" w:color="000000"/>
            </w:tcBorders>
            <w:shd w:fill="FFFFFF" w:val="clear"/>
            <w:tcMar>
              <w:left w:w="0" w:type="dxa"/>
              <w:right w:w="0" w:type="dxa"/>
            </w:tcMar>
          </w:tcPr>
          <w:p>
            <w:pPr>
              <w:pStyle w:val="Normal"/>
              <w:jc w:val="center"/>
              <w:rPr/>
            </w:pPr>
            <w:r>
              <w:rPr/>
              <w:t>3</w:t>
            </w:r>
          </w:p>
        </w:tc>
        <w:tc>
          <w:tcPr>
            <w:tcW w:w="820" w:type="dxa"/>
            <w:tcBorders>
              <w:left w:val="single" w:sz="8" w:space="0" w:color="000000"/>
            </w:tcBorders>
            <w:shd w:fill="FFFFFF" w:val="clear"/>
            <w:tcMar>
              <w:left w:w="0" w:type="dxa"/>
              <w:right w:w="0" w:type="dxa"/>
            </w:tcMar>
          </w:tcPr>
          <w:p>
            <w:pPr>
              <w:pStyle w:val="Normal"/>
              <w:jc w:val="center"/>
              <w:rPr/>
            </w:pPr>
            <w:r>
              <w:rPr/>
              <w:t>3</w:t>
            </w:r>
          </w:p>
        </w:tc>
        <w:tc>
          <w:tcPr>
            <w:tcW w:w="819" w:type="dxa"/>
            <w:tcBorders>
              <w:left w:val="single" w:sz="8" w:space="0" w:color="000000"/>
            </w:tcBorders>
            <w:shd w:fill="FFFFFF" w:val="clear"/>
            <w:tcMar>
              <w:left w:w="0" w:type="dxa"/>
              <w:right w:w="0" w:type="dxa"/>
            </w:tcMar>
          </w:tcPr>
          <w:p>
            <w:pPr>
              <w:pStyle w:val="Normal"/>
              <w:jc w:val="center"/>
              <w:rPr/>
            </w:pPr>
            <w:r>
              <w:rPr/>
              <w:t>4</w:t>
            </w:r>
          </w:p>
        </w:tc>
        <w:tc>
          <w:tcPr>
            <w:tcW w:w="819" w:type="dxa"/>
            <w:tcBorders>
              <w:left w:val="single" w:sz="8" w:space="0" w:color="000000"/>
            </w:tcBorders>
            <w:shd w:fill="FFFFFF" w:val="clear"/>
            <w:tcMar>
              <w:left w:w="0" w:type="dxa"/>
              <w:right w:w="0" w:type="dxa"/>
            </w:tcMar>
          </w:tcPr>
          <w:p>
            <w:pPr>
              <w:pStyle w:val="Normal"/>
              <w:jc w:val="center"/>
              <w:rPr/>
            </w:pPr>
            <w:r>
              <w:rPr/>
              <w:t>5</w:t>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5241" w:type="dxa"/>
            <w:tcBorders>
              <w:left w:val="single" w:sz="8" w:space="0" w:color="000000"/>
              <w:bottom w:val="single" w:sz="8" w:space="0" w:color="000000"/>
              <w:insideH w:val="single" w:sz="8" w:space="0" w:color="000000"/>
            </w:tcBorders>
            <w:shd w:fill="FFFFFF" w:val="clear"/>
          </w:tcPr>
          <w:p>
            <w:pPr>
              <w:pStyle w:val="Normal"/>
              <w:jc w:val="both"/>
              <w:rPr/>
            </w:pPr>
            <w:r>
              <w:rPr/>
              <w:t>в) при обрыве провода ВЛ в смежном пролете до проводов или несущих тросов троллейбусной или трамвайной линии</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82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83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5241" w:type="dxa"/>
            <w:tcBorders>
              <w:left w:val="single" w:sz="8" w:space="0" w:color="000000"/>
            </w:tcBorders>
            <w:shd w:fill="FFFFFF" w:val="clear"/>
          </w:tcPr>
          <w:p>
            <w:pPr>
              <w:pStyle w:val="Normal"/>
              <w:jc w:val="both"/>
              <w:rPr/>
            </w:pPr>
            <w:r>
              <w:rPr>
                <w:i/>
                <w:iCs/>
              </w:rPr>
              <w:t>Расстояние по горизонтали</w:t>
            </w:r>
            <w:r>
              <w:rPr/>
              <w:t xml:space="preserve"> при сближении или параллельном следовании:</w:t>
            </w:r>
          </w:p>
        </w:tc>
        <w:tc>
          <w:tcPr>
            <w:tcW w:w="4114" w:type="dxa"/>
            <w:gridSpan w:val="5"/>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5241" w:type="dxa"/>
            <w:tcBorders>
              <w:left w:val="single" w:sz="8" w:space="0" w:color="000000"/>
            </w:tcBorders>
            <w:shd w:fill="FFFFFF" w:val="clear"/>
          </w:tcPr>
          <w:p>
            <w:pPr>
              <w:pStyle w:val="Normal"/>
              <w:jc w:val="both"/>
              <w:rPr/>
            </w:pPr>
            <w:r>
              <w:rPr/>
              <w:t>а) от крайних неотклоненных проводов ВЛ до опор троллейбусной и трамвайной контактных сетей</w:t>
            </w:r>
          </w:p>
        </w:tc>
        <w:tc>
          <w:tcPr>
            <w:tcW w:w="4114" w:type="dxa"/>
            <w:gridSpan w:val="5"/>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Не менее высоты опоры</w:t>
            </w:r>
          </w:p>
        </w:tc>
      </w:tr>
      <w:tr>
        <w:trPr/>
        <w:tc>
          <w:tcPr>
            <w:tcW w:w="5241" w:type="dxa"/>
            <w:tcBorders>
              <w:left w:val="single" w:sz="8" w:space="0" w:color="000000"/>
            </w:tcBorders>
            <w:shd w:fill="FFFFFF" w:val="clear"/>
          </w:tcPr>
          <w:p>
            <w:pPr>
              <w:pStyle w:val="Normal"/>
              <w:jc w:val="both"/>
              <w:rPr/>
            </w:pPr>
            <w:r>
              <w:rPr/>
              <w:t>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819" w:type="dxa"/>
            <w:tcBorders>
              <w:left w:val="single" w:sz="8" w:space="0" w:color="000000"/>
            </w:tcBorders>
            <w:shd w:fill="FFFFFF" w:val="clear"/>
            <w:tcMar>
              <w:left w:w="0" w:type="dxa"/>
              <w:right w:w="0" w:type="dxa"/>
            </w:tcMar>
          </w:tcPr>
          <w:p>
            <w:pPr>
              <w:pStyle w:val="Normal"/>
              <w:jc w:val="center"/>
              <w:rPr/>
            </w:pPr>
            <w:r>
              <w:rPr/>
              <w:t>3</w:t>
            </w:r>
          </w:p>
        </w:tc>
        <w:tc>
          <w:tcPr>
            <w:tcW w:w="820" w:type="dxa"/>
            <w:tcBorders>
              <w:left w:val="single" w:sz="8" w:space="0" w:color="000000"/>
            </w:tcBorders>
            <w:shd w:fill="FFFFFF" w:val="clear"/>
            <w:tcMar>
              <w:left w:w="0" w:type="dxa"/>
              <w:right w:w="0" w:type="dxa"/>
            </w:tcMar>
          </w:tcPr>
          <w:p>
            <w:pPr>
              <w:pStyle w:val="Normal"/>
              <w:jc w:val="center"/>
              <w:rPr/>
            </w:pPr>
            <w:r>
              <w:rPr/>
              <w:t>4</w:t>
            </w:r>
          </w:p>
        </w:tc>
        <w:tc>
          <w:tcPr>
            <w:tcW w:w="819" w:type="dxa"/>
            <w:tcBorders>
              <w:left w:val="single" w:sz="8" w:space="0" w:color="000000"/>
            </w:tcBorders>
            <w:shd w:fill="FFFFFF" w:val="clear"/>
            <w:tcMar>
              <w:left w:w="0" w:type="dxa"/>
              <w:right w:w="0" w:type="dxa"/>
            </w:tcMar>
          </w:tcPr>
          <w:p>
            <w:pPr>
              <w:pStyle w:val="Normal"/>
              <w:jc w:val="center"/>
              <w:rPr/>
            </w:pPr>
            <w:r>
              <w:rPr/>
              <w:t>6</w:t>
            </w:r>
          </w:p>
        </w:tc>
        <w:tc>
          <w:tcPr>
            <w:tcW w:w="819" w:type="dxa"/>
            <w:tcBorders>
              <w:left w:val="single" w:sz="8" w:space="0" w:color="000000"/>
            </w:tcBorders>
            <w:shd w:fill="FFFFFF" w:val="clear"/>
            <w:tcMar>
              <w:left w:w="0" w:type="dxa"/>
              <w:right w:w="0" w:type="dxa"/>
            </w:tcMar>
          </w:tcPr>
          <w:p>
            <w:pPr>
              <w:pStyle w:val="Normal"/>
              <w:jc w:val="center"/>
              <w:rPr/>
            </w:pPr>
            <w:r>
              <w:rPr/>
              <w:t>8</w:t>
            </w:r>
          </w:p>
        </w:tc>
        <w:tc>
          <w:tcPr>
            <w:tcW w:w="83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5241" w:type="dxa"/>
            <w:tcBorders>
              <w:left w:val="single" w:sz="8" w:space="0" w:color="000000"/>
              <w:bottom w:val="single" w:sz="8" w:space="0" w:color="000000"/>
              <w:insideH w:val="single" w:sz="8" w:space="0" w:color="000000"/>
            </w:tcBorders>
            <w:shd w:fill="FFFFFF" w:val="clear"/>
          </w:tcPr>
          <w:p>
            <w:pPr>
              <w:pStyle w:val="Normal"/>
              <w:jc w:val="both"/>
              <w:rPr/>
            </w:pPr>
            <w:r>
              <w:rPr/>
              <w:t>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82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8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83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bl>
    <w:p>
      <w:pPr>
        <w:pStyle w:val="Normal"/>
        <w:spacing w:before="120" w:after="0"/>
        <w:ind w:firstLine="283"/>
        <w:jc w:val="both"/>
        <w:rPr/>
      </w:pPr>
      <w:r>
        <w:rPr/>
        <w:t>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нормами и правилами на трамвайные и троллейбусные линии.</w:t>
      </w:r>
    </w:p>
    <w:p>
      <w:pPr>
        <w:pStyle w:val="Normal"/>
        <w:ind w:firstLine="283"/>
        <w:jc w:val="both"/>
        <w:rPr/>
      </w:pPr>
      <w:r>
        <w:rPr/>
        <w:t>2.5.267. Защита пересечений ВЛ с контактной сетью осуществляется защитными аппаратами в соответствии с требованиями, приведенными в 2.5.229.</w:t>
      </w:r>
    </w:p>
    <w:p>
      <w:pPr>
        <w:pStyle w:val="Normal"/>
        <w:ind w:firstLine="283"/>
        <w:jc w:val="both"/>
        <w:rPr/>
      </w:pPr>
      <w:r>
        <w:rPr/>
        <w:t>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8 м - для ВЛ 150 - 220 кВ, 9 м - для ВЛ 330 - 500 кВ.</w:t>
      </w:r>
    </w:p>
    <w:p>
      <w:pPr>
        <w:pStyle w:val="Heading3"/>
        <w:rPr/>
      </w:pPr>
      <w:r>
        <w:rPr/>
        <w:t>ПЕРЕСЕЧЕНИЕ ВЛ С ВОДНЫМИ ПРОСТРАНСТВАМИ</w:t>
      </w:r>
    </w:p>
    <w:p>
      <w:pPr>
        <w:pStyle w:val="Normal"/>
        <w:ind w:firstLine="284"/>
        <w:jc w:val="both"/>
        <w:rPr/>
      </w:pPr>
      <w:r>
        <w:rPr/>
        <w:t>2.5.268. Угол пересечения ВЛ с водными пространствами (реками, каналами, озерами, водохранилищами и др.) не нормируется.</w:t>
      </w:r>
    </w:p>
    <w:p>
      <w:pPr>
        <w:pStyle w:val="Normal"/>
        <w:ind w:firstLine="284"/>
        <w:jc w:val="both"/>
        <w:rPr/>
      </w:pPr>
      <w:r>
        <w:rPr/>
        <w:t>Следует избегать, по возможности, пересечения ВЛ мест длительной стоянки судов (затонов, портов и других отстойных пунктов). Прохождение ВЛ над шлюзами не допускается.</w:t>
      </w:r>
    </w:p>
    <w:p>
      <w:pPr>
        <w:pStyle w:val="Normal"/>
        <w:ind w:firstLine="284"/>
        <w:jc w:val="both"/>
        <w:rPr/>
      </w:pPr>
      <w:r>
        <w:rPr/>
        <w:t>2.5.269.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 ограничивающие пролет пересечения, должны быть анкерными концевыми.</w:t>
      </w:r>
    </w:p>
    <w:p>
      <w:pPr>
        <w:pStyle w:val="Normal"/>
        <w:ind w:firstLine="284"/>
        <w:jc w:val="both"/>
        <w:rPr/>
      </w:pPr>
      <w:r>
        <w:rPr/>
        <w:t>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w:t>
      </w:r>
      <w:r>
        <w:rPr>
          <w:vertAlign w:val="superscript"/>
        </w:rPr>
        <w:t>2</w:t>
      </w:r>
      <w:r>
        <w:rPr/>
        <w:t xml:space="preserve"> и более или стальными канатами типа ТК площадью сечения 50 мм</w:t>
      </w:r>
      <w:r>
        <w:rPr>
          <w:vertAlign w:val="superscript"/>
        </w:rPr>
        <w:t>2</w:t>
      </w:r>
      <w:r>
        <w:rPr/>
        <w:t xml:space="preserve">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2.5.153.</w:t>
      </w:r>
    </w:p>
    <w:p>
      <w:pPr>
        <w:pStyle w:val="Normal"/>
        <w:ind w:firstLine="284"/>
        <w:jc w:val="both"/>
        <w:rPr/>
      </w:pPr>
      <w:r>
        <w:rP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pPr>
        <w:pStyle w:val="Normal"/>
        <w:ind w:firstLine="284"/>
        <w:jc w:val="both"/>
        <w:rPr/>
      </w:pPr>
      <w:r>
        <w:rPr/>
        <w:t>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w:t>
      </w:r>
      <w:r>
        <w:rPr>
          <w:vertAlign w:val="superscript"/>
        </w:rPr>
        <w:t>2</w:t>
      </w:r>
      <w:r>
        <w:rPr/>
        <w:t xml:space="preserve">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w:t>
      </w:r>
      <w:r>
        <w:rPr>
          <w:vertAlign w:val="superscript"/>
        </w:rPr>
        <w:t>2</w:t>
      </w:r>
      <w:r>
        <w:rPr/>
        <w:t xml:space="preserve"> и более проверка в аварийном режиме не требуется.</w:t>
      </w:r>
    </w:p>
    <w:p>
      <w:pPr>
        <w:pStyle w:val="Normal"/>
        <w:ind w:firstLine="284"/>
        <w:jc w:val="both"/>
        <w:rPr/>
      </w:pPr>
      <w:r>
        <w:rPr/>
        <w:t>2.5.270.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 2.5.37.</w:t>
      </w:r>
    </w:p>
    <w:p>
      <w:pPr>
        <w:pStyle w:val="Normal"/>
        <w:ind w:firstLine="284"/>
        <w:jc w:val="both"/>
        <w:rPr/>
      </w:pPr>
      <w:r>
        <w:rPr/>
        <w:t>Стрела провеса провода при этом определяется при высшей температуре воздуха без учета нагрева проводов, электрическим током.</w:t>
      </w:r>
    </w:p>
    <w:p>
      <w:pPr>
        <w:pStyle w:val="Normal"/>
        <w:ind w:firstLine="284"/>
        <w:jc w:val="both"/>
        <w:rPr/>
      </w:pPr>
      <w:r>
        <w:rPr/>
        <w:t>Уровень высоких (паводковых) вод принимается с вероятностью превышения (обеспеченностью) 0,01 (повторяемость 1 раз в 100 лет) для ВЛ 500 - 750 кВ и 0,02 (повторяемость 1 раз в 50 лет) - для ВЛ 330 кВ и ниже.</w:t>
      </w:r>
    </w:p>
    <w:p>
      <w:pPr>
        <w:pStyle w:val="Normal"/>
        <w:ind w:firstLine="284"/>
        <w:jc w:val="both"/>
        <w:rPr/>
      </w:pPr>
      <w:r>
        <w:rPr/>
        <w:t>Расстояния от нижней точки провеса провода ВЛ до уровня льда должны быть не менее указанных в табл. 2.5.37. Стрела провеса провода при этом определяется при расчетной линейной гололедной нагрузке по 2.5.55 и температуре воздуха при гололеде согласно 2.5.51.</w:t>
      </w:r>
    </w:p>
    <w:p>
      <w:pPr>
        <w:pStyle w:val="Normal"/>
        <w:ind w:firstLine="284"/>
        <w:jc w:val="both"/>
        <w:rPr/>
      </w:pPr>
      <w:r>
        <w:rPr/>
        <w:t>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 2.5.37.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pPr>
        <w:pStyle w:val="Normal"/>
        <w:spacing w:before="120" w:after="120"/>
        <w:jc w:val="right"/>
        <w:rPr/>
      </w:pPr>
      <w:r>
        <w:rPr>
          <w:spacing w:val="40"/>
        </w:rPr>
        <w:t>Таблица</w:t>
      </w:r>
      <w:r>
        <w:rPr/>
        <w:t xml:space="preserve"> 2.5.37</w:t>
      </w:r>
    </w:p>
    <w:p>
      <w:pPr>
        <w:pStyle w:val="Normal"/>
        <w:spacing w:before="0" w:after="120"/>
        <w:jc w:val="center"/>
        <w:rPr>
          <w:b/>
          <w:b/>
          <w:bCs/>
        </w:rPr>
      </w:pPr>
      <w:r>
        <w:rPr>
          <w:b/>
          <w:bCs/>
        </w:rPr>
        <w:t>Наименьшее расстояние при пересечении ВЛ с водными пространствами</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573"/>
        <w:gridCol w:w="794"/>
        <w:gridCol w:w="793"/>
        <w:gridCol w:w="794"/>
        <w:gridCol w:w="794"/>
        <w:gridCol w:w="793"/>
        <w:gridCol w:w="814"/>
      </w:tblGrid>
      <w:tr>
        <w:trPr>
          <w:tblHeader w:val="true"/>
        </w:trPr>
        <w:tc>
          <w:tcPr>
            <w:tcW w:w="457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Расстояние</w:t>
            </w:r>
          </w:p>
        </w:tc>
        <w:tc>
          <w:tcPr>
            <w:tcW w:w="4782"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57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79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110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81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573" w:type="dxa"/>
            <w:tcBorders>
              <w:left w:val="single" w:sz="8" w:space="0" w:color="000000"/>
            </w:tcBorders>
            <w:shd w:fill="FFFFFF" w:val="clear"/>
          </w:tcPr>
          <w:p>
            <w:pPr>
              <w:pStyle w:val="Normal"/>
              <w:jc w:val="both"/>
              <w:rPr>
                <w:i/>
                <w:i/>
                <w:iCs/>
              </w:rPr>
            </w:pPr>
            <w:r>
              <w:rPr>
                <w:i/>
                <w:iCs/>
              </w:rPr>
              <w:t>Для судоходных участков рек, каналов, озер и водохранилищ от проводов по вертикали:</w:t>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3" w:type="dxa"/>
            <w:tcBorders>
              <w:left w:val="single" w:sz="8" w:space="0" w:color="000000"/>
            </w:tcBorders>
            <w:shd w:fill="FFFFFF" w:val="clear"/>
            <w:tcMar>
              <w:left w:w="0" w:type="dxa"/>
              <w:right w:w="0" w:type="dxa"/>
            </w:tcMar>
          </w:tcPr>
          <w:p>
            <w:pPr>
              <w:pStyle w:val="Normal"/>
              <w:snapToGrid w:val="false"/>
              <w:rPr/>
            </w:pPr>
            <w:r>
              <w:rPr/>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3" w:type="dxa"/>
            <w:tcBorders>
              <w:left w:val="single" w:sz="8" w:space="0" w:color="000000"/>
            </w:tcBorders>
            <w:shd w:fill="FFFFFF" w:val="clear"/>
            <w:tcMar>
              <w:left w:w="0" w:type="dxa"/>
              <w:right w:w="0" w:type="dxa"/>
            </w:tcMar>
          </w:tcPr>
          <w:p>
            <w:pPr>
              <w:pStyle w:val="Normal"/>
              <w:snapToGrid w:val="false"/>
              <w:rPr/>
            </w:pPr>
            <w:r>
              <w:rPr/>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573" w:type="dxa"/>
            <w:tcBorders>
              <w:left w:val="single" w:sz="8" w:space="0" w:color="000000"/>
            </w:tcBorders>
            <w:shd w:fill="FFFFFF" w:val="clear"/>
          </w:tcPr>
          <w:p>
            <w:pPr>
              <w:pStyle w:val="Normal"/>
              <w:jc w:val="both"/>
              <w:rPr/>
            </w:pPr>
            <w:r>
              <w:rPr/>
              <w:t>до максимального габарита судов или сплава в нормальном режиме ВЛ</w:t>
            </w:r>
          </w:p>
        </w:tc>
        <w:tc>
          <w:tcPr>
            <w:tcW w:w="794" w:type="dxa"/>
            <w:tcBorders>
              <w:left w:val="single" w:sz="8" w:space="0" w:color="000000"/>
            </w:tcBorders>
            <w:shd w:fill="FFFFFF" w:val="clear"/>
            <w:tcMar>
              <w:left w:w="0" w:type="dxa"/>
              <w:right w:w="0" w:type="dxa"/>
            </w:tcMar>
          </w:tcPr>
          <w:p>
            <w:pPr>
              <w:pStyle w:val="Normal"/>
              <w:jc w:val="center"/>
              <w:rPr/>
            </w:pPr>
            <w:r>
              <w:rPr/>
              <w:t>2</w:t>
            </w:r>
          </w:p>
        </w:tc>
        <w:tc>
          <w:tcPr>
            <w:tcW w:w="793" w:type="dxa"/>
            <w:tcBorders>
              <w:left w:val="single" w:sz="8" w:space="0" w:color="000000"/>
            </w:tcBorders>
            <w:shd w:fill="FFFFFF" w:val="clear"/>
            <w:tcMar>
              <w:left w:w="0" w:type="dxa"/>
              <w:right w:w="0" w:type="dxa"/>
            </w:tcMar>
          </w:tcPr>
          <w:p>
            <w:pPr>
              <w:pStyle w:val="Normal"/>
              <w:jc w:val="center"/>
              <w:rPr/>
            </w:pPr>
            <w:r>
              <w:rPr/>
              <w:t>2,5</w:t>
            </w:r>
          </w:p>
        </w:tc>
        <w:tc>
          <w:tcPr>
            <w:tcW w:w="794" w:type="dxa"/>
            <w:tcBorders>
              <w:left w:val="single" w:sz="8" w:space="0" w:color="000000"/>
            </w:tcBorders>
            <w:shd w:fill="FFFFFF" w:val="clear"/>
            <w:tcMar>
              <w:left w:w="0" w:type="dxa"/>
              <w:right w:w="0" w:type="dxa"/>
            </w:tcMar>
          </w:tcPr>
          <w:p>
            <w:pPr>
              <w:pStyle w:val="Normal"/>
              <w:jc w:val="center"/>
              <w:rPr/>
            </w:pPr>
            <w:r>
              <w:rPr/>
              <w:t>3,0</w:t>
            </w:r>
          </w:p>
        </w:tc>
        <w:tc>
          <w:tcPr>
            <w:tcW w:w="794" w:type="dxa"/>
            <w:tcBorders>
              <w:left w:val="single" w:sz="8" w:space="0" w:color="000000"/>
            </w:tcBorders>
            <w:shd w:fill="FFFFFF" w:val="clear"/>
            <w:tcMar>
              <w:left w:w="0" w:type="dxa"/>
              <w:right w:w="0" w:type="dxa"/>
            </w:tcMar>
          </w:tcPr>
          <w:p>
            <w:pPr>
              <w:pStyle w:val="Normal"/>
              <w:jc w:val="center"/>
              <w:rPr/>
            </w:pPr>
            <w:r>
              <w:rPr/>
              <w:t>3,5</w:t>
            </w:r>
          </w:p>
        </w:tc>
        <w:tc>
          <w:tcPr>
            <w:tcW w:w="793" w:type="dxa"/>
            <w:tcBorders>
              <w:left w:val="single" w:sz="8" w:space="0" w:color="000000"/>
            </w:tcBorders>
            <w:shd w:fill="FFFFFF" w:val="clear"/>
            <w:tcMar>
              <w:left w:w="0" w:type="dxa"/>
              <w:right w:w="0" w:type="dxa"/>
            </w:tcMar>
          </w:tcPr>
          <w:p>
            <w:pPr>
              <w:pStyle w:val="Normal"/>
              <w:jc w:val="center"/>
              <w:rPr/>
            </w:pPr>
            <w:r>
              <w:rPr/>
              <w:t>4,0</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w:t>
            </w:r>
          </w:p>
        </w:tc>
      </w:tr>
      <w:tr>
        <w:trPr/>
        <w:tc>
          <w:tcPr>
            <w:tcW w:w="4573" w:type="dxa"/>
            <w:tcBorders>
              <w:left w:val="single" w:sz="8" w:space="0" w:color="000000"/>
            </w:tcBorders>
            <w:shd w:fill="FFFFFF" w:val="clear"/>
          </w:tcPr>
          <w:p>
            <w:pPr>
              <w:pStyle w:val="Normal"/>
              <w:jc w:val="both"/>
              <w:rPr/>
            </w:pPr>
            <w:r>
              <w:rPr/>
              <w:t>то же, но при обрыве провода в соседнем пролете</w:t>
            </w:r>
          </w:p>
        </w:tc>
        <w:tc>
          <w:tcPr>
            <w:tcW w:w="794" w:type="dxa"/>
            <w:tcBorders>
              <w:left w:val="single" w:sz="8" w:space="0" w:color="000000"/>
            </w:tcBorders>
            <w:shd w:fill="FFFFFF" w:val="clear"/>
            <w:tcMar>
              <w:left w:w="0" w:type="dxa"/>
              <w:right w:w="0" w:type="dxa"/>
            </w:tcMar>
          </w:tcPr>
          <w:p>
            <w:pPr>
              <w:pStyle w:val="Normal"/>
              <w:jc w:val="center"/>
              <w:rPr/>
            </w:pPr>
            <w:r>
              <w:rPr/>
              <w:t>0,5</w:t>
            </w:r>
          </w:p>
        </w:tc>
        <w:tc>
          <w:tcPr>
            <w:tcW w:w="793" w:type="dxa"/>
            <w:tcBorders>
              <w:left w:val="single" w:sz="8" w:space="0" w:color="000000"/>
            </w:tcBorders>
            <w:shd w:fill="FFFFFF" w:val="clear"/>
            <w:tcMar>
              <w:left w:w="0" w:type="dxa"/>
              <w:right w:w="0" w:type="dxa"/>
            </w:tcMar>
          </w:tcPr>
          <w:p>
            <w:pPr>
              <w:pStyle w:val="Normal"/>
              <w:jc w:val="center"/>
              <w:rPr/>
            </w:pPr>
            <w:r>
              <w:rPr/>
              <w:t>1,0</w:t>
            </w:r>
          </w:p>
        </w:tc>
        <w:tc>
          <w:tcPr>
            <w:tcW w:w="794" w:type="dxa"/>
            <w:tcBorders>
              <w:left w:val="single" w:sz="8" w:space="0" w:color="000000"/>
            </w:tcBorders>
            <w:shd w:fill="FFFFFF" w:val="clear"/>
            <w:tcMar>
              <w:left w:w="0" w:type="dxa"/>
              <w:right w:w="0" w:type="dxa"/>
            </w:tcMar>
          </w:tcPr>
          <w:p>
            <w:pPr>
              <w:pStyle w:val="Normal"/>
              <w:jc w:val="center"/>
              <w:rPr/>
            </w:pPr>
            <w:r>
              <w:rPr/>
              <w:t>1,0</w:t>
            </w:r>
          </w:p>
        </w:tc>
        <w:tc>
          <w:tcPr>
            <w:tcW w:w="794" w:type="dxa"/>
            <w:tcBorders>
              <w:left w:val="single" w:sz="8" w:space="0" w:color="000000"/>
            </w:tcBorders>
            <w:shd w:fill="FFFFFF" w:val="clear"/>
            <w:tcMar>
              <w:left w:w="0" w:type="dxa"/>
              <w:right w:w="0" w:type="dxa"/>
            </w:tcMar>
          </w:tcPr>
          <w:p>
            <w:pPr>
              <w:pStyle w:val="Normal"/>
              <w:jc w:val="center"/>
              <w:rPr/>
            </w:pPr>
            <w:r>
              <w:rPr/>
              <w:t>1,5</w:t>
            </w:r>
          </w:p>
        </w:tc>
        <w:tc>
          <w:tcPr>
            <w:tcW w:w="793" w:type="dxa"/>
            <w:tcBorders>
              <w:left w:val="single" w:sz="8" w:space="0" w:color="000000"/>
            </w:tcBorders>
            <w:shd w:fill="FFFFFF" w:val="clear"/>
            <w:tcMar>
              <w:left w:w="0" w:type="dxa"/>
              <w:right w:w="0" w:type="dxa"/>
            </w:tcMar>
          </w:tcPr>
          <w:p>
            <w:pPr>
              <w:pStyle w:val="Normal"/>
              <w:jc w:val="center"/>
              <w:rPr/>
            </w:pPr>
            <w:r>
              <w:rPr/>
              <w:t>-</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4573" w:type="dxa"/>
            <w:tcBorders>
              <w:left w:val="single" w:sz="8" w:space="0" w:color="000000"/>
            </w:tcBorders>
            <w:shd w:fill="FFFFFF" w:val="clear"/>
          </w:tcPr>
          <w:p>
            <w:pPr>
              <w:pStyle w:val="Normal"/>
              <w:jc w:val="both"/>
              <w:rPr/>
            </w:pPr>
            <w:r>
              <w:rPr/>
              <w:t>до верхних рабочих площадок обслуживания судов (крыша рубки и т.д.) в затонах, портах и других отстойных пунктах</w:t>
            </w:r>
          </w:p>
        </w:tc>
        <w:tc>
          <w:tcPr>
            <w:tcW w:w="794" w:type="dxa"/>
            <w:tcBorders>
              <w:left w:val="single" w:sz="8" w:space="0" w:color="000000"/>
            </w:tcBorders>
            <w:shd w:fill="FFFFFF" w:val="clear"/>
            <w:tcMar>
              <w:left w:w="0" w:type="dxa"/>
              <w:right w:w="0" w:type="dxa"/>
            </w:tcMar>
          </w:tcPr>
          <w:p>
            <w:pPr>
              <w:pStyle w:val="Normal"/>
              <w:jc w:val="center"/>
              <w:rPr/>
            </w:pPr>
            <w:r>
              <w:rPr/>
              <w:t>-</w:t>
            </w:r>
          </w:p>
        </w:tc>
        <w:tc>
          <w:tcPr>
            <w:tcW w:w="793" w:type="dxa"/>
            <w:tcBorders>
              <w:left w:val="single" w:sz="8" w:space="0" w:color="000000"/>
            </w:tcBorders>
            <w:shd w:fill="FFFFFF" w:val="clear"/>
            <w:tcMar>
              <w:left w:w="0" w:type="dxa"/>
              <w:right w:w="0" w:type="dxa"/>
            </w:tcMar>
          </w:tcPr>
          <w:p>
            <w:pPr>
              <w:pStyle w:val="Normal"/>
              <w:jc w:val="center"/>
              <w:rPr/>
            </w:pPr>
            <w:r>
              <w:rPr/>
              <w:t>-</w:t>
            </w:r>
          </w:p>
        </w:tc>
        <w:tc>
          <w:tcPr>
            <w:tcW w:w="794" w:type="dxa"/>
            <w:tcBorders>
              <w:left w:val="single" w:sz="8" w:space="0" w:color="000000"/>
            </w:tcBorders>
            <w:shd w:fill="FFFFFF" w:val="clear"/>
            <w:tcMar>
              <w:left w:w="0" w:type="dxa"/>
              <w:right w:w="0" w:type="dxa"/>
            </w:tcMar>
          </w:tcPr>
          <w:p>
            <w:pPr>
              <w:pStyle w:val="Normal"/>
              <w:jc w:val="center"/>
              <w:rPr/>
            </w:pPr>
            <w:r>
              <w:rPr/>
              <w:t>-</w:t>
            </w:r>
          </w:p>
        </w:tc>
        <w:tc>
          <w:tcPr>
            <w:tcW w:w="794" w:type="dxa"/>
            <w:tcBorders>
              <w:left w:val="single" w:sz="8" w:space="0" w:color="000000"/>
            </w:tcBorders>
            <w:shd w:fill="FFFFFF" w:val="clear"/>
            <w:tcMar>
              <w:left w:w="0" w:type="dxa"/>
              <w:right w:w="0" w:type="dxa"/>
            </w:tcMar>
          </w:tcPr>
          <w:p>
            <w:pPr>
              <w:pStyle w:val="Normal"/>
              <w:jc w:val="center"/>
              <w:rPr/>
            </w:pPr>
            <w:r>
              <w:rPr/>
              <w:t>11,0</w:t>
            </w:r>
          </w:p>
        </w:tc>
        <w:tc>
          <w:tcPr>
            <w:tcW w:w="793" w:type="dxa"/>
            <w:tcBorders>
              <w:left w:val="single" w:sz="8" w:space="0" w:color="000000"/>
            </w:tcBorders>
            <w:shd w:fill="FFFFFF" w:val="clear"/>
            <w:tcMar>
              <w:left w:w="0" w:type="dxa"/>
              <w:right w:w="0" w:type="dxa"/>
            </w:tcMar>
          </w:tcPr>
          <w:p>
            <w:pPr>
              <w:pStyle w:val="Normal"/>
              <w:jc w:val="center"/>
              <w:rPr/>
            </w:pPr>
            <w:r>
              <w:rPr/>
              <w:t>15,5</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23,0</w:t>
            </w:r>
          </w:p>
        </w:tc>
      </w:tr>
      <w:tr>
        <w:trPr/>
        <w:tc>
          <w:tcPr>
            <w:tcW w:w="4573" w:type="dxa"/>
            <w:tcBorders>
              <w:left w:val="single" w:sz="8" w:space="0" w:color="000000"/>
            </w:tcBorders>
            <w:shd w:fill="FFFFFF" w:val="clear"/>
          </w:tcPr>
          <w:p>
            <w:pPr>
              <w:pStyle w:val="Normal"/>
              <w:jc w:val="both"/>
              <w:rPr/>
            </w:pPr>
            <w:r>
              <w:rPr/>
              <w:t>до уровня льда</w:t>
            </w:r>
          </w:p>
        </w:tc>
        <w:tc>
          <w:tcPr>
            <w:tcW w:w="794" w:type="dxa"/>
            <w:tcBorders>
              <w:left w:val="single" w:sz="8" w:space="0" w:color="000000"/>
            </w:tcBorders>
            <w:shd w:fill="FFFFFF" w:val="clear"/>
            <w:tcMar>
              <w:left w:w="0" w:type="dxa"/>
              <w:right w:w="0" w:type="dxa"/>
            </w:tcMar>
          </w:tcPr>
          <w:p>
            <w:pPr>
              <w:pStyle w:val="Normal"/>
              <w:jc w:val="center"/>
              <w:rPr/>
            </w:pPr>
            <w:r>
              <w:rPr/>
              <w:t>6,0</w:t>
            </w:r>
          </w:p>
        </w:tc>
        <w:tc>
          <w:tcPr>
            <w:tcW w:w="793" w:type="dxa"/>
            <w:tcBorders>
              <w:left w:val="single" w:sz="8" w:space="0" w:color="000000"/>
            </w:tcBorders>
            <w:shd w:fill="FFFFFF" w:val="clear"/>
            <w:tcMar>
              <w:left w:w="0" w:type="dxa"/>
              <w:right w:w="0" w:type="dxa"/>
            </w:tcMar>
          </w:tcPr>
          <w:p>
            <w:pPr>
              <w:pStyle w:val="Normal"/>
              <w:jc w:val="center"/>
              <w:rPr/>
            </w:pPr>
            <w:r>
              <w:rPr/>
              <w:t>6,5</w:t>
            </w:r>
          </w:p>
        </w:tc>
        <w:tc>
          <w:tcPr>
            <w:tcW w:w="794" w:type="dxa"/>
            <w:tcBorders>
              <w:left w:val="single" w:sz="8" w:space="0" w:color="000000"/>
            </w:tcBorders>
            <w:shd w:fill="FFFFFF" w:val="clear"/>
            <w:tcMar>
              <w:left w:w="0" w:type="dxa"/>
              <w:right w:w="0" w:type="dxa"/>
            </w:tcMar>
          </w:tcPr>
          <w:p>
            <w:pPr>
              <w:pStyle w:val="Normal"/>
              <w:jc w:val="center"/>
              <w:rPr/>
            </w:pPr>
            <w:r>
              <w:rPr/>
              <w:t>7,0</w:t>
            </w:r>
          </w:p>
        </w:tc>
        <w:tc>
          <w:tcPr>
            <w:tcW w:w="794" w:type="dxa"/>
            <w:tcBorders>
              <w:left w:val="single" w:sz="8" w:space="0" w:color="000000"/>
            </w:tcBorders>
            <w:shd w:fill="FFFFFF" w:val="clear"/>
            <w:tcMar>
              <w:left w:w="0" w:type="dxa"/>
              <w:right w:w="0" w:type="dxa"/>
            </w:tcMar>
          </w:tcPr>
          <w:p>
            <w:pPr>
              <w:pStyle w:val="Normal"/>
              <w:jc w:val="center"/>
              <w:rPr/>
            </w:pPr>
            <w:r>
              <w:rPr/>
              <w:t>7,5</w:t>
            </w:r>
          </w:p>
        </w:tc>
        <w:tc>
          <w:tcPr>
            <w:tcW w:w="793" w:type="dxa"/>
            <w:tcBorders>
              <w:left w:val="single" w:sz="8" w:space="0" w:color="000000"/>
            </w:tcBorders>
            <w:shd w:fill="FFFFFF" w:val="clear"/>
            <w:tcMar>
              <w:left w:w="0" w:type="dxa"/>
              <w:right w:w="0" w:type="dxa"/>
            </w:tcMar>
          </w:tcPr>
          <w:p>
            <w:pPr>
              <w:pStyle w:val="Normal"/>
              <w:jc w:val="center"/>
              <w:rPr/>
            </w:pPr>
            <w:r>
              <w:rPr/>
              <w:t>8,0</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12,0</w:t>
            </w:r>
          </w:p>
        </w:tc>
      </w:tr>
      <w:tr>
        <w:trPr/>
        <w:tc>
          <w:tcPr>
            <w:tcW w:w="4573" w:type="dxa"/>
            <w:tcBorders>
              <w:left w:val="single" w:sz="8" w:space="0" w:color="000000"/>
            </w:tcBorders>
            <w:shd w:fill="FFFFFF" w:val="clear"/>
          </w:tcPr>
          <w:p>
            <w:pPr>
              <w:pStyle w:val="Normal"/>
              <w:jc w:val="both"/>
              <w:rPr>
                <w:i/>
                <w:i/>
                <w:iCs/>
              </w:rPr>
            </w:pPr>
            <w:r>
              <w:rPr>
                <w:i/>
                <w:iCs/>
              </w:rPr>
              <w:t>Для несудоходных участков рек, каналов, озер и водохранилищ от проводов по вертикали:</w:t>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3" w:type="dxa"/>
            <w:tcBorders>
              <w:left w:val="single" w:sz="8" w:space="0" w:color="000000"/>
            </w:tcBorders>
            <w:shd w:fill="FFFFFF" w:val="clear"/>
            <w:tcMar>
              <w:left w:w="0" w:type="dxa"/>
              <w:right w:w="0" w:type="dxa"/>
            </w:tcMar>
          </w:tcPr>
          <w:p>
            <w:pPr>
              <w:pStyle w:val="Normal"/>
              <w:snapToGrid w:val="false"/>
              <w:rPr/>
            </w:pPr>
            <w:r>
              <w:rPr/>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4" w:type="dxa"/>
            <w:tcBorders>
              <w:left w:val="single" w:sz="8" w:space="0" w:color="000000"/>
            </w:tcBorders>
            <w:shd w:fill="FFFFFF" w:val="clear"/>
            <w:tcMar>
              <w:left w:w="0" w:type="dxa"/>
              <w:right w:w="0" w:type="dxa"/>
            </w:tcMar>
          </w:tcPr>
          <w:p>
            <w:pPr>
              <w:pStyle w:val="Normal"/>
              <w:snapToGrid w:val="false"/>
              <w:rPr/>
            </w:pPr>
            <w:r>
              <w:rPr/>
            </w:r>
          </w:p>
        </w:tc>
        <w:tc>
          <w:tcPr>
            <w:tcW w:w="793" w:type="dxa"/>
            <w:tcBorders>
              <w:left w:val="single" w:sz="8" w:space="0" w:color="000000"/>
            </w:tcBorders>
            <w:shd w:fill="FFFFFF" w:val="clear"/>
            <w:tcMar>
              <w:left w:w="0" w:type="dxa"/>
              <w:right w:w="0" w:type="dxa"/>
            </w:tcMar>
          </w:tcPr>
          <w:p>
            <w:pPr>
              <w:pStyle w:val="Normal"/>
              <w:snapToGrid w:val="false"/>
              <w:rPr/>
            </w:pPr>
            <w:r>
              <w:rPr/>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573" w:type="dxa"/>
            <w:tcBorders>
              <w:left w:val="single" w:sz="8" w:space="0" w:color="000000"/>
            </w:tcBorders>
            <w:shd w:fill="FFFFFF" w:val="clear"/>
          </w:tcPr>
          <w:p>
            <w:pPr>
              <w:pStyle w:val="Normal"/>
              <w:jc w:val="both"/>
              <w:rPr/>
            </w:pPr>
            <w:r>
              <w:rPr/>
              <w:t>до уровня высоких вод</w:t>
            </w:r>
            <w:r>
              <w:rPr>
                <w:vertAlign w:val="superscript"/>
              </w:rPr>
              <w:t>*</w:t>
            </w:r>
          </w:p>
        </w:tc>
        <w:tc>
          <w:tcPr>
            <w:tcW w:w="794" w:type="dxa"/>
            <w:tcBorders>
              <w:left w:val="single" w:sz="8" w:space="0" w:color="000000"/>
            </w:tcBorders>
            <w:shd w:fill="FFFFFF" w:val="clear"/>
            <w:tcMar>
              <w:left w:w="0" w:type="dxa"/>
              <w:right w:w="0" w:type="dxa"/>
            </w:tcMar>
          </w:tcPr>
          <w:p>
            <w:pPr>
              <w:pStyle w:val="Normal"/>
              <w:jc w:val="center"/>
              <w:rPr/>
            </w:pPr>
            <w:r>
              <w:rPr/>
              <w:t>5,5</w:t>
            </w:r>
          </w:p>
        </w:tc>
        <w:tc>
          <w:tcPr>
            <w:tcW w:w="793" w:type="dxa"/>
            <w:tcBorders>
              <w:left w:val="single" w:sz="8" w:space="0" w:color="000000"/>
            </w:tcBorders>
            <w:shd w:fill="FFFFFF" w:val="clear"/>
            <w:tcMar>
              <w:left w:w="0" w:type="dxa"/>
              <w:right w:w="0" w:type="dxa"/>
            </w:tcMar>
          </w:tcPr>
          <w:p>
            <w:pPr>
              <w:pStyle w:val="Normal"/>
              <w:jc w:val="center"/>
              <w:rPr/>
            </w:pPr>
            <w:r>
              <w:rPr/>
              <w:t>6,0</w:t>
            </w:r>
          </w:p>
        </w:tc>
        <w:tc>
          <w:tcPr>
            <w:tcW w:w="794" w:type="dxa"/>
            <w:tcBorders>
              <w:left w:val="single" w:sz="8" w:space="0" w:color="000000"/>
            </w:tcBorders>
            <w:shd w:fill="FFFFFF" w:val="clear"/>
            <w:tcMar>
              <w:left w:w="0" w:type="dxa"/>
              <w:right w:w="0" w:type="dxa"/>
            </w:tcMar>
          </w:tcPr>
          <w:p>
            <w:pPr>
              <w:pStyle w:val="Normal"/>
              <w:jc w:val="center"/>
              <w:rPr/>
            </w:pPr>
            <w:r>
              <w:rPr/>
              <w:t>6,5</w:t>
            </w:r>
          </w:p>
        </w:tc>
        <w:tc>
          <w:tcPr>
            <w:tcW w:w="794" w:type="dxa"/>
            <w:tcBorders>
              <w:left w:val="single" w:sz="8" w:space="0" w:color="000000"/>
            </w:tcBorders>
            <w:shd w:fill="FFFFFF" w:val="clear"/>
            <w:tcMar>
              <w:left w:w="0" w:type="dxa"/>
              <w:right w:w="0" w:type="dxa"/>
            </w:tcMar>
          </w:tcPr>
          <w:p>
            <w:pPr>
              <w:pStyle w:val="Normal"/>
              <w:jc w:val="center"/>
              <w:rPr/>
            </w:pPr>
            <w:r>
              <w:rPr/>
              <w:t>7,0</w:t>
            </w:r>
          </w:p>
        </w:tc>
        <w:tc>
          <w:tcPr>
            <w:tcW w:w="793" w:type="dxa"/>
            <w:tcBorders>
              <w:left w:val="single" w:sz="8" w:space="0" w:color="000000"/>
            </w:tcBorders>
            <w:shd w:fill="FFFFFF" w:val="clear"/>
            <w:tcMar>
              <w:left w:w="0" w:type="dxa"/>
              <w:right w:w="0" w:type="dxa"/>
            </w:tcMar>
          </w:tcPr>
          <w:p>
            <w:pPr>
              <w:pStyle w:val="Normal"/>
              <w:jc w:val="center"/>
              <w:rPr/>
            </w:pPr>
            <w:r>
              <w:rPr/>
              <w:t>7,5</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10,0</w:t>
            </w:r>
          </w:p>
        </w:tc>
      </w:tr>
      <w:tr>
        <w:trPr/>
        <w:tc>
          <w:tcPr>
            <w:tcW w:w="4573" w:type="dxa"/>
            <w:tcBorders>
              <w:left w:val="single" w:sz="8" w:space="0" w:color="000000"/>
              <w:bottom w:val="single" w:sz="8" w:space="0" w:color="000000"/>
              <w:insideH w:val="single" w:sz="8" w:space="0" w:color="000000"/>
            </w:tcBorders>
            <w:shd w:fill="FFFFFF" w:val="clear"/>
          </w:tcPr>
          <w:p>
            <w:pPr>
              <w:pStyle w:val="Normal"/>
              <w:jc w:val="both"/>
              <w:rPr/>
            </w:pPr>
            <w:r>
              <w:rPr/>
              <w:t>до уровня льда</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81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12,0</w:t>
            </w:r>
          </w:p>
        </w:tc>
      </w:tr>
    </w:tbl>
    <w:p>
      <w:pPr>
        <w:pStyle w:val="Normal"/>
        <w:spacing w:before="120" w:after="0"/>
        <w:ind w:firstLine="283"/>
        <w:jc w:val="both"/>
        <w:rPr/>
      </w:pPr>
      <w:r>
        <w:rPr>
          <w:vertAlign w:val="superscript"/>
        </w:rPr>
        <w:t>*</w:t>
      </w:r>
      <w:r>
        <w:rPr/>
        <w:t xml:space="preserve"> Наименьшее расстояние обеспечивает пропуск плавающих средств высотой до 3,5 м.</w:t>
      </w:r>
    </w:p>
    <w:p>
      <w:pPr>
        <w:pStyle w:val="Normal"/>
        <w:spacing w:before="120" w:after="0"/>
        <w:ind w:firstLine="283"/>
        <w:jc w:val="both"/>
        <w:rPr/>
      </w:pPr>
      <w:r>
        <w:rPr/>
        <w:t>2.5.271.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табл. 2.5.37. Стрела провеса провода при этом определяется при температуре воздуха 15 °С без учета нагрева проводов электрическим током.</w:t>
      </w:r>
    </w:p>
    <w:p>
      <w:pPr>
        <w:pStyle w:val="Normal"/>
        <w:ind w:firstLine="283"/>
        <w:jc w:val="both"/>
        <w:rPr/>
      </w:pPr>
      <w:r>
        <w:rPr/>
        <w:t>Расстояния от нижней точки провеса проводов ВЛ до уровня льда должны быть не менее указанных в табл. 2.5.37. Стрела провеса провода при этом определяется при расчетной линейной гололедной нагрузке по 2.5.55 и температуре воздуха при гололеде согласно 2.5.51.</w:t>
      </w:r>
    </w:p>
    <w:p>
      <w:pPr>
        <w:pStyle w:val="Normal"/>
        <w:ind w:firstLine="283"/>
        <w:jc w:val="both"/>
        <w:rPr/>
      </w:pPr>
      <w:r>
        <w:rPr/>
        <w:t>2.5.272.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p>
    <w:p>
      <w:pPr>
        <w:pStyle w:val="Normal"/>
        <w:ind w:firstLine="283"/>
        <w:jc w:val="both"/>
        <w:rPr/>
      </w:pPr>
      <w:r>
        <w:rPr/>
        <w:t>Знаки «Соблюдай надводный габарит» устанавливаются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p>
      <w:pPr>
        <w:pStyle w:val="Normal"/>
        <w:ind w:firstLine="283"/>
        <w:jc w:val="both"/>
        <w:rPr/>
      </w:pPr>
      <w:r>
        <w:rPr/>
        <w:t>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p>
      <w:pPr>
        <w:pStyle w:val="Heading3"/>
        <w:rPr/>
      </w:pPr>
      <w:bookmarkStart w:id="14" w:name="_%D0%9F%D0%A0%D0%9E%D0%A5%D0%9E%D0%96%D0"/>
      <w:bookmarkEnd w:id="14"/>
      <w:r>
        <w:rPr/>
        <w:t>ПРОХОЖДЕНИЕ ВЛ ПО МОСТАМ</w:t>
      </w:r>
    </w:p>
    <w:p>
      <w:pPr>
        <w:pStyle w:val="Normal"/>
        <w:ind w:firstLine="284"/>
        <w:jc w:val="both"/>
        <w:rPr/>
      </w:pPr>
      <w:r>
        <w:rPr/>
        <w:t>2.5.273. Прокладка ВЛ 1 кВ и выше на всех мостах, как правило, не допускается.</w:t>
      </w:r>
    </w:p>
    <w:p>
      <w:pPr>
        <w:pStyle w:val="Normal"/>
        <w:ind w:firstLine="284"/>
        <w:jc w:val="both"/>
        <w:rPr/>
      </w:pPr>
      <w:r>
        <w:rPr/>
        <w:t>При обоснованной необходимости допускается прохождение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p>
      <w:pPr>
        <w:pStyle w:val="Normal"/>
        <w:ind w:firstLine="284"/>
        <w:jc w:val="both"/>
        <w:rPr/>
      </w:pPr>
      <w:r>
        <w:rPr/>
        <w:t>2.5.274.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2.5.251, как для стесненных участков трассы.</w:t>
      </w:r>
    </w:p>
    <w:p>
      <w:pPr>
        <w:pStyle w:val="Normal"/>
        <w:ind w:firstLine="284"/>
        <w:jc w:val="both"/>
        <w:rPr/>
      </w:pPr>
      <w:r>
        <w:rP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pPr>
        <w:pStyle w:val="Normal"/>
        <w:ind w:firstLine="284"/>
        <w:jc w:val="both"/>
        <w:rPr/>
      </w:pPr>
      <w:r>
        <w:rPr/>
        <w:t>На охраняемых мостах допускается располагать провода ВЛ ниже отметки пешеходной части.</w:t>
      </w:r>
    </w:p>
    <w:p>
      <w:pPr>
        <w:pStyle w:val="Normal"/>
        <w:ind w:firstLine="284"/>
        <w:jc w:val="both"/>
        <w:rPr/>
      </w:pPr>
      <w:r>
        <w:rPr/>
        <w:t>2.5.275.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p>
      <w:pPr>
        <w:pStyle w:val="Heading3"/>
        <w:rPr/>
      </w:pPr>
      <w:r>
        <w:rPr/>
        <w:t>ПРОХОЖДЕНИЕ ВЛ ПО ПЛОТИНАМ И ДАМБАМ</w:t>
      </w:r>
    </w:p>
    <w:p>
      <w:pPr>
        <w:pStyle w:val="Normal"/>
        <w:ind w:firstLine="284"/>
        <w:jc w:val="both"/>
        <w:rPr/>
      </w:pPr>
      <w:r>
        <w:rPr/>
        <w:t>2.5.276. 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2.5.38.</w:t>
      </w:r>
    </w:p>
    <w:p>
      <w:pPr>
        <w:pStyle w:val="Normal"/>
        <w:ind w:firstLine="284"/>
        <w:jc w:val="both"/>
        <w:rPr/>
      </w:pPr>
      <w:r>
        <w:rPr/>
        <w:t>Расстояния по вертикали в нормальном режиме работы ВЛ должны приниматься не менее приведенных в табл. 2.5.38:</w:t>
      </w:r>
    </w:p>
    <w:p>
      <w:pPr>
        <w:pStyle w:val="Normal"/>
        <w:ind w:firstLine="284"/>
        <w:jc w:val="both"/>
        <w:rPr/>
      </w:pPr>
      <w:r>
        <w:rPr/>
        <w:t>при высшей температуре воздуха без учета нагрева провода электрическим током для ВЛ 500 кВ и ниже;</w:t>
      </w:r>
    </w:p>
    <w:p>
      <w:pPr>
        <w:pStyle w:val="Normal"/>
        <w:ind w:firstLine="284"/>
        <w:jc w:val="both"/>
        <w:rPr/>
      </w:pPr>
      <w:r>
        <w:rPr/>
        <w:t>при температуре воздуха по 2.5.17 без учета нагрева проводов электрическим током при предельно допустимых значениях интенсивности электрической и магнитной составляющих электромагнитного поля для ВЛ 750 кВ;</w:t>
      </w:r>
    </w:p>
    <w:p>
      <w:pPr>
        <w:pStyle w:val="Normal"/>
        <w:ind w:firstLine="284"/>
        <w:jc w:val="both"/>
        <w:rPr/>
      </w:pPr>
      <w:r>
        <w:rPr/>
        <w:t>при расчетной линейной гололедной нагрузке по 2.5.55 и температуре воздуха при гололеде согласно 2.5.51.</w:t>
      </w:r>
    </w:p>
    <w:p>
      <w:pPr>
        <w:pStyle w:val="Normal"/>
        <w:spacing w:before="120" w:after="120"/>
        <w:jc w:val="right"/>
        <w:rPr/>
      </w:pPr>
      <w:r>
        <w:rPr>
          <w:spacing w:val="40"/>
        </w:rPr>
        <w:t>Таблица</w:t>
      </w:r>
      <w:r>
        <w:rPr/>
        <w:t xml:space="preserve"> 2.5.38</w:t>
      </w:r>
    </w:p>
    <w:p>
      <w:pPr>
        <w:pStyle w:val="Normal"/>
        <w:spacing w:before="0" w:after="120"/>
        <w:jc w:val="center"/>
        <w:rPr>
          <w:b/>
          <w:b/>
          <w:bCs/>
        </w:rPr>
      </w:pPr>
      <w:r>
        <w:rPr>
          <w:b/>
          <w:bCs/>
        </w:rPr>
        <w:t>Наименьшие расстояния от проводов ВЛ до различных частей плотин и дамб</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573"/>
        <w:gridCol w:w="794"/>
        <w:gridCol w:w="793"/>
        <w:gridCol w:w="794"/>
        <w:gridCol w:w="794"/>
        <w:gridCol w:w="793"/>
        <w:gridCol w:w="814"/>
      </w:tblGrid>
      <w:tr>
        <w:trPr>
          <w:tblHeader w:val="true"/>
        </w:trPr>
        <w:tc>
          <w:tcPr>
            <w:tcW w:w="457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Части плотин и дамб</w:t>
            </w:r>
          </w:p>
        </w:tc>
        <w:tc>
          <w:tcPr>
            <w:tcW w:w="4782"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57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79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110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81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573" w:type="dxa"/>
            <w:tcBorders>
              <w:left w:val="single" w:sz="8" w:space="0" w:color="000000"/>
            </w:tcBorders>
            <w:shd w:fill="FFFFFF" w:val="clear"/>
          </w:tcPr>
          <w:p>
            <w:pPr>
              <w:pStyle w:val="Normal"/>
              <w:jc w:val="both"/>
              <w:rPr/>
            </w:pPr>
            <w:r>
              <w:rPr/>
              <w:t>Гребень и бровка откоса</w:t>
            </w:r>
          </w:p>
        </w:tc>
        <w:tc>
          <w:tcPr>
            <w:tcW w:w="794" w:type="dxa"/>
            <w:tcBorders>
              <w:left w:val="single" w:sz="8" w:space="0" w:color="000000"/>
            </w:tcBorders>
            <w:shd w:fill="FFFFFF" w:val="clear"/>
            <w:tcMar>
              <w:left w:w="0" w:type="dxa"/>
              <w:right w:w="0" w:type="dxa"/>
            </w:tcMar>
          </w:tcPr>
          <w:p>
            <w:pPr>
              <w:pStyle w:val="Normal"/>
              <w:jc w:val="center"/>
              <w:rPr/>
            </w:pPr>
            <w:r>
              <w:rPr/>
              <w:t>6</w:t>
            </w:r>
          </w:p>
        </w:tc>
        <w:tc>
          <w:tcPr>
            <w:tcW w:w="793" w:type="dxa"/>
            <w:tcBorders>
              <w:left w:val="single" w:sz="8" w:space="0" w:color="000000"/>
            </w:tcBorders>
            <w:shd w:fill="FFFFFF" w:val="clear"/>
            <w:tcMar>
              <w:left w:w="0" w:type="dxa"/>
              <w:right w:w="0" w:type="dxa"/>
            </w:tcMar>
          </w:tcPr>
          <w:p>
            <w:pPr>
              <w:pStyle w:val="Normal"/>
              <w:jc w:val="center"/>
              <w:rPr/>
            </w:pPr>
            <w:r>
              <w:rPr/>
              <w:t>6,5</w:t>
            </w:r>
          </w:p>
        </w:tc>
        <w:tc>
          <w:tcPr>
            <w:tcW w:w="794" w:type="dxa"/>
            <w:tcBorders>
              <w:left w:val="single" w:sz="8" w:space="0" w:color="000000"/>
            </w:tcBorders>
            <w:shd w:fill="FFFFFF" w:val="clear"/>
            <w:tcMar>
              <w:left w:w="0" w:type="dxa"/>
              <w:right w:w="0" w:type="dxa"/>
            </w:tcMar>
          </w:tcPr>
          <w:p>
            <w:pPr>
              <w:pStyle w:val="Normal"/>
              <w:jc w:val="center"/>
              <w:rPr/>
            </w:pPr>
            <w:r>
              <w:rPr/>
              <w:t>7</w:t>
            </w:r>
          </w:p>
        </w:tc>
        <w:tc>
          <w:tcPr>
            <w:tcW w:w="794" w:type="dxa"/>
            <w:tcBorders>
              <w:left w:val="single" w:sz="8" w:space="0" w:color="000000"/>
            </w:tcBorders>
            <w:shd w:fill="FFFFFF" w:val="clear"/>
            <w:tcMar>
              <w:left w:w="0" w:type="dxa"/>
              <w:right w:w="0" w:type="dxa"/>
            </w:tcMar>
          </w:tcPr>
          <w:p>
            <w:pPr>
              <w:pStyle w:val="Normal"/>
              <w:jc w:val="center"/>
              <w:rPr/>
            </w:pPr>
            <w:r>
              <w:rPr/>
              <w:t>7,5</w:t>
            </w:r>
          </w:p>
        </w:tc>
        <w:tc>
          <w:tcPr>
            <w:tcW w:w="793" w:type="dxa"/>
            <w:tcBorders>
              <w:left w:val="single" w:sz="8" w:space="0" w:color="000000"/>
            </w:tcBorders>
            <w:shd w:fill="FFFFFF" w:val="clear"/>
            <w:tcMar>
              <w:left w:w="0" w:type="dxa"/>
              <w:right w:w="0" w:type="dxa"/>
            </w:tcMar>
          </w:tcPr>
          <w:p>
            <w:pPr>
              <w:pStyle w:val="Normal"/>
              <w:jc w:val="center"/>
              <w:rPr/>
            </w:pPr>
            <w:r>
              <w:rPr/>
              <w:t>8</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w:t>
            </w:r>
          </w:p>
        </w:tc>
      </w:tr>
      <w:tr>
        <w:trPr/>
        <w:tc>
          <w:tcPr>
            <w:tcW w:w="4573" w:type="dxa"/>
            <w:tcBorders>
              <w:left w:val="single" w:sz="8" w:space="0" w:color="000000"/>
            </w:tcBorders>
            <w:shd w:fill="FFFFFF" w:val="clear"/>
          </w:tcPr>
          <w:p>
            <w:pPr>
              <w:pStyle w:val="Normal"/>
              <w:jc w:val="both"/>
              <w:rPr/>
            </w:pPr>
            <w:r>
              <w:rPr/>
              <w:t>Наклонная поверхность откоса</w:t>
            </w:r>
          </w:p>
        </w:tc>
        <w:tc>
          <w:tcPr>
            <w:tcW w:w="794" w:type="dxa"/>
            <w:tcBorders>
              <w:left w:val="single" w:sz="8" w:space="0" w:color="000000"/>
            </w:tcBorders>
            <w:shd w:fill="FFFFFF" w:val="clear"/>
            <w:tcMar>
              <w:left w:w="0" w:type="dxa"/>
              <w:right w:w="0" w:type="dxa"/>
            </w:tcMar>
          </w:tcPr>
          <w:p>
            <w:pPr>
              <w:pStyle w:val="Normal"/>
              <w:jc w:val="center"/>
              <w:rPr/>
            </w:pPr>
            <w:r>
              <w:rPr/>
              <w:t>5</w:t>
            </w:r>
          </w:p>
        </w:tc>
        <w:tc>
          <w:tcPr>
            <w:tcW w:w="793" w:type="dxa"/>
            <w:tcBorders>
              <w:left w:val="single" w:sz="8" w:space="0" w:color="000000"/>
            </w:tcBorders>
            <w:shd w:fill="FFFFFF" w:val="clear"/>
            <w:tcMar>
              <w:left w:w="0" w:type="dxa"/>
              <w:right w:w="0" w:type="dxa"/>
            </w:tcMar>
          </w:tcPr>
          <w:p>
            <w:pPr>
              <w:pStyle w:val="Normal"/>
              <w:jc w:val="center"/>
              <w:rPr/>
            </w:pPr>
            <w:r>
              <w:rPr/>
              <w:t>5,5</w:t>
            </w:r>
          </w:p>
        </w:tc>
        <w:tc>
          <w:tcPr>
            <w:tcW w:w="794" w:type="dxa"/>
            <w:tcBorders>
              <w:left w:val="single" w:sz="8" w:space="0" w:color="000000"/>
            </w:tcBorders>
            <w:shd w:fill="FFFFFF" w:val="clear"/>
            <w:tcMar>
              <w:left w:w="0" w:type="dxa"/>
              <w:right w:w="0" w:type="dxa"/>
            </w:tcMar>
          </w:tcPr>
          <w:p>
            <w:pPr>
              <w:pStyle w:val="Normal"/>
              <w:jc w:val="center"/>
              <w:rPr/>
            </w:pPr>
            <w:r>
              <w:rPr/>
              <w:t>6</w:t>
            </w:r>
          </w:p>
        </w:tc>
        <w:tc>
          <w:tcPr>
            <w:tcW w:w="794" w:type="dxa"/>
            <w:tcBorders>
              <w:left w:val="single" w:sz="8" w:space="0" w:color="000000"/>
            </w:tcBorders>
            <w:shd w:fill="FFFFFF" w:val="clear"/>
            <w:tcMar>
              <w:left w:w="0" w:type="dxa"/>
              <w:right w:w="0" w:type="dxa"/>
            </w:tcMar>
          </w:tcPr>
          <w:p>
            <w:pPr>
              <w:pStyle w:val="Normal"/>
              <w:jc w:val="center"/>
              <w:rPr/>
            </w:pPr>
            <w:r>
              <w:rPr/>
              <w:t>6,5</w:t>
            </w:r>
          </w:p>
        </w:tc>
        <w:tc>
          <w:tcPr>
            <w:tcW w:w="793" w:type="dxa"/>
            <w:tcBorders>
              <w:left w:val="single" w:sz="8" w:space="0" w:color="000000"/>
            </w:tcBorders>
            <w:shd w:fill="FFFFFF" w:val="clear"/>
            <w:tcMar>
              <w:left w:w="0" w:type="dxa"/>
              <w:right w:w="0" w:type="dxa"/>
            </w:tcMar>
          </w:tcPr>
          <w:p>
            <w:pPr>
              <w:pStyle w:val="Normal"/>
              <w:jc w:val="center"/>
              <w:rPr/>
            </w:pPr>
            <w:r>
              <w:rPr/>
              <w:t>7</w:t>
            </w:r>
          </w:p>
        </w:tc>
        <w:tc>
          <w:tcPr>
            <w:tcW w:w="81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w:t>
            </w:r>
          </w:p>
        </w:tc>
      </w:tr>
      <w:tr>
        <w:trPr/>
        <w:tc>
          <w:tcPr>
            <w:tcW w:w="4573" w:type="dxa"/>
            <w:tcBorders>
              <w:left w:val="single" w:sz="8" w:space="0" w:color="000000"/>
              <w:bottom w:val="single" w:sz="8" w:space="0" w:color="000000"/>
              <w:insideH w:val="single" w:sz="8" w:space="0" w:color="000000"/>
            </w:tcBorders>
            <w:shd w:fill="FFFFFF" w:val="clear"/>
          </w:tcPr>
          <w:p>
            <w:pPr>
              <w:pStyle w:val="Normal"/>
              <w:jc w:val="both"/>
              <w:rPr/>
            </w:pPr>
            <w:r>
              <w:rPr/>
              <w:t>Поверхность переливающейся через плотину воды</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7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79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81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7</w:t>
            </w:r>
          </w:p>
        </w:tc>
      </w:tr>
    </w:tbl>
    <w:p>
      <w:pPr>
        <w:pStyle w:val="Normal"/>
        <w:spacing w:before="120" w:after="0"/>
        <w:ind w:firstLine="283"/>
        <w:jc w:val="both"/>
        <w:rPr/>
      </w:pPr>
      <w:r>
        <w:rPr/>
        <w:t>2.5.277.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p>
      <w:pPr>
        <w:pStyle w:val="Normal"/>
        <w:ind w:firstLine="283"/>
        <w:jc w:val="both"/>
        <w:rPr/>
      </w:pPr>
      <w:r>
        <w:rP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pPr>
        <w:pStyle w:val="Normal"/>
        <w:ind w:firstLine="283"/>
        <w:jc w:val="both"/>
        <w:rPr/>
      </w:pPr>
      <w:r>
        <w:rPr/>
        <w:t>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p>
      <w:pPr>
        <w:pStyle w:val="Normal"/>
        <w:ind w:firstLine="283"/>
        <w:jc w:val="both"/>
        <w:rPr/>
      </w:pPr>
      <w:r>
        <w:rPr/>
        <w:t>Допускается располагать провода в пределах полотна автомобильной дороги, пешеходных дорожек и тротуаров.</w:t>
      </w:r>
    </w:p>
    <w:p>
      <w:pPr>
        <w:pStyle w:val="Heading3"/>
        <w:rPr/>
      </w:pPr>
      <w:r>
        <w:rPr/>
        <w:t>СБЛИЖЕНИЕ ВЛ СО ВЗРЫВО- И ПОЖАРООПАСНЫМИ УСТАНОВКАМИ</w:t>
      </w:r>
    </w:p>
    <w:p>
      <w:pPr>
        <w:pStyle w:val="Normal"/>
        <w:ind w:firstLine="284"/>
        <w:jc w:val="both"/>
        <w:rPr/>
      </w:pPr>
      <w:r>
        <w:rPr/>
        <w:t>2.5.278.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 нормами, утвержденными в установленном порядке.</w:t>
      </w:r>
    </w:p>
    <w:p>
      <w:pPr>
        <w:pStyle w:val="Normal"/>
        <w:ind w:firstLine="284"/>
        <w:jc w:val="both"/>
        <w:rPr/>
      </w:pPr>
      <w:r>
        <w:rP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p>
      <w:pPr>
        <w:pStyle w:val="Heading3"/>
        <w:rPr/>
      </w:pPr>
      <w:r>
        <w:rPr/>
        <w:t>ПЕРЕСЕЧЕНИЕ И СБЛИЖЕНИЕ ВЛ С НАДЗЕМНЫМИ И НАЗЕМНЫМИ ТРУБОПРОВОДАМИ, СООРУЖЕНИЯМИ ТРАНСПОРТА НЕФТИ И ГАЗА И КАНАТНЫМИ ДОРОГАМИ</w:t>
      </w:r>
    </w:p>
    <w:p>
      <w:pPr>
        <w:pStyle w:val="Normal"/>
        <w:ind w:firstLine="284"/>
        <w:jc w:val="both"/>
        <w:rPr/>
      </w:pPr>
      <w:r>
        <w:rPr/>
        <w:t>2.5.279.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w:t>
      </w:r>
      <w:r>
        <w:rPr>
          <w:vertAlign w:val="superscript"/>
        </w:rPr>
        <w:t>*</w:t>
      </w:r>
      <w:r>
        <w:rPr/>
        <w:t>, а также с пассажирскими канатными дорогами рекомендуется принимать близким к 90°.</w:t>
      </w:r>
    </w:p>
    <w:p>
      <w:pPr>
        <w:pStyle w:val="Normal"/>
        <w:ind w:firstLine="284"/>
        <w:jc w:val="both"/>
        <w:rPr/>
      </w:pPr>
      <w:r>
        <w:rPr/>
        <w:t>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p>
      <w:pPr>
        <w:pStyle w:val="Normal"/>
        <w:spacing w:before="120" w:after="0"/>
        <w:ind w:firstLine="283"/>
        <w:jc w:val="both"/>
        <w:rPr/>
      </w:pPr>
      <w:r>
        <w:rPr>
          <w:vertAlign w:val="superscript"/>
        </w:rPr>
        <w:t>*</w:t>
      </w:r>
      <w:r>
        <w:rPr/>
        <w:t xml:space="preserve">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p>
      <w:pPr>
        <w:pStyle w:val="Normal"/>
        <w:spacing w:before="120" w:after="0"/>
        <w:ind w:firstLine="283"/>
        <w:jc w:val="both"/>
        <w:rPr/>
      </w:pPr>
      <w:r>
        <w:rPr/>
        <w:t>2.5.280. Пересечение ВЛ 110 кВ и выше с надземными и наземными магистральными и промысловыми трубопроводами</w:t>
      </w:r>
      <w:r>
        <w:rPr>
          <w:vertAlign w:val="superscript"/>
        </w:rPr>
        <w:t>*</w:t>
      </w:r>
      <w:r>
        <w:rPr/>
        <w:t xml:space="preserve"> для транспорта горючих жидкостей и газов, как правило, не допускается.</w:t>
      </w:r>
    </w:p>
    <w:p>
      <w:pPr>
        <w:pStyle w:val="Normal"/>
        <w:spacing w:before="120" w:after="0"/>
        <w:ind w:firstLine="283"/>
        <w:jc w:val="both"/>
        <w:rPr/>
      </w:pPr>
      <w:r>
        <w:rPr>
          <w:vertAlign w:val="superscript"/>
        </w:rPr>
        <w:t>*</w:t>
      </w:r>
      <w:r>
        <w:rPr/>
        <w:t xml:space="preserve"> Магистральные и промысловые трубопроводы в дальнейшем именуются магистральные трубопроводы.</w:t>
      </w:r>
    </w:p>
    <w:p>
      <w:pPr>
        <w:pStyle w:val="Normal"/>
        <w:spacing w:before="120" w:after="0"/>
        <w:ind w:firstLine="283"/>
        <w:jc w:val="both"/>
        <w:rPr/>
      </w:pPr>
      <w:r>
        <w:rPr/>
        <w:t>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pPr>
        <w:pStyle w:val="Normal"/>
        <w:ind w:firstLine="283"/>
        <w:jc w:val="both"/>
        <w:rPr/>
      </w:pPr>
      <w:r>
        <w:rPr/>
        <w:t>В районах с вечномерзлыми грунтами допускается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1000 м в обе стороны от пересечения с ВЛ должны отвечать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магистральные трубопроводы.</w:t>
      </w:r>
    </w:p>
    <w:p>
      <w:pPr>
        <w:pStyle w:val="Normal"/>
        <w:ind w:firstLine="283"/>
        <w:jc w:val="both"/>
        <w:rPr/>
      </w:pPr>
      <w:r>
        <w:rPr/>
        <w:t>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pPr>
        <w:pStyle w:val="Normal"/>
        <w:ind w:firstLine="283"/>
        <w:jc w:val="both"/>
        <w:rPr/>
      </w:pPr>
      <w:r>
        <w:rPr/>
        <w:t>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p>
      <w:pPr>
        <w:pStyle w:val="Normal"/>
        <w:ind w:firstLine="283"/>
        <w:jc w:val="both"/>
        <w:rPr/>
      </w:pPr>
      <w:r>
        <w:rPr/>
        <w:t>Ограждение должно выступать по обе стороны пересечения на расстояние, равное высоте опоры.</w:t>
      </w:r>
    </w:p>
    <w:p>
      <w:pPr>
        <w:pStyle w:val="Normal"/>
        <w:ind w:firstLine="283"/>
        <w:jc w:val="both"/>
        <w:rPr/>
      </w:pPr>
      <w:r>
        <w:rPr/>
        <w:t>2.5.281.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w:t>
      </w:r>
      <w:r>
        <w:rPr>
          <w:vertAlign w:val="superscript"/>
        </w:rPr>
        <w:t>2</w:t>
      </w:r>
      <w:r>
        <w:rPr/>
        <w:t xml:space="preserve"> и более или со стальными канатами площадью сечения 50 мм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pPr>
        <w:pStyle w:val="Normal"/>
        <w:ind w:firstLine="283"/>
        <w:jc w:val="both"/>
        <w:rPr/>
      </w:pPr>
      <w:r>
        <w:rPr/>
        <w:t>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 2.5.39.</w:t>
      </w:r>
    </w:p>
    <w:p>
      <w:pPr>
        <w:pStyle w:val="Normal"/>
        <w:spacing w:before="120" w:after="120"/>
        <w:jc w:val="right"/>
        <w:rPr/>
      </w:pPr>
      <w:r>
        <w:rPr>
          <w:spacing w:val="40"/>
        </w:rPr>
        <w:t>Таблица</w:t>
      </w:r>
      <w:r>
        <w:rPr/>
        <w:t xml:space="preserve"> 2.5.39</w:t>
      </w:r>
    </w:p>
    <w:p>
      <w:pPr>
        <w:pStyle w:val="Normal"/>
        <w:spacing w:before="0" w:after="120"/>
        <w:jc w:val="center"/>
        <w:rPr>
          <w:b/>
          <w:b/>
          <w:bCs/>
        </w:rPr>
      </w:pPr>
      <w:r>
        <w:rPr>
          <w:b/>
          <w:bCs/>
        </w:rPr>
        <w:t>Наименьшее расстояние от проводов ВЛ до наземных, надземных трубопроводов, канатных дорог</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254"/>
        <w:gridCol w:w="635"/>
        <w:gridCol w:w="635"/>
        <w:gridCol w:w="634"/>
        <w:gridCol w:w="635"/>
        <w:gridCol w:w="635"/>
        <w:gridCol w:w="635"/>
        <w:gridCol w:w="635"/>
        <w:gridCol w:w="657"/>
      </w:tblGrid>
      <w:tr>
        <w:trPr>
          <w:tblHeader w:val="true"/>
        </w:trPr>
        <w:tc>
          <w:tcPr>
            <w:tcW w:w="4254"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Пересечение, сближение и параллельное следование</w:t>
            </w:r>
          </w:p>
        </w:tc>
        <w:tc>
          <w:tcPr>
            <w:tcW w:w="5101"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254"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635"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63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65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254" w:type="dxa"/>
            <w:tcBorders>
              <w:left w:val="single" w:sz="8" w:space="0" w:color="000000"/>
            </w:tcBorders>
            <w:shd w:fill="FFFFFF" w:val="clear"/>
          </w:tcPr>
          <w:p>
            <w:pPr>
              <w:pStyle w:val="Normal"/>
              <w:jc w:val="both"/>
              <w:rPr/>
            </w:pPr>
            <w:r>
              <w:rPr>
                <w:i/>
                <w:iCs/>
              </w:rPr>
              <w:t>Расстояние по вертикали</w:t>
            </w:r>
            <w:r>
              <w:rPr/>
              <w:t xml:space="preserve"> (в свету) при пересечении:</w:t>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4"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635" w:type="dxa"/>
            <w:tcBorders>
              <w:left w:val="single" w:sz="8" w:space="0" w:color="000000"/>
            </w:tcBorders>
            <w:shd w:fill="FFFFFF" w:val="clear"/>
            <w:tcMar>
              <w:left w:w="0" w:type="dxa"/>
              <w:right w:w="0" w:type="dxa"/>
            </w:tcMar>
          </w:tcPr>
          <w:p>
            <w:pPr>
              <w:pStyle w:val="Normal"/>
              <w:jc w:val="center"/>
              <w:rPr/>
            </w:pPr>
            <w:r>
              <w:rPr/>
              <w:t>3</w:t>
            </w:r>
            <w:r>
              <w:rPr>
                <w:vertAlign w:val="superscript"/>
              </w:rPr>
              <w:t>*</w:t>
            </w:r>
          </w:p>
        </w:tc>
        <w:tc>
          <w:tcPr>
            <w:tcW w:w="635" w:type="dxa"/>
            <w:tcBorders>
              <w:left w:val="single" w:sz="8" w:space="0" w:color="000000"/>
            </w:tcBorders>
            <w:shd w:fill="FFFFFF" w:val="clear"/>
            <w:tcMar>
              <w:left w:w="0" w:type="dxa"/>
              <w:right w:w="0" w:type="dxa"/>
            </w:tcMar>
          </w:tcPr>
          <w:p>
            <w:pPr>
              <w:pStyle w:val="Normal"/>
              <w:jc w:val="center"/>
              <w:rPr/>
            </w:pPr>
            <w:r>
              <w:rPr/>
              <w:t>4</w:t>
            </w:r>
          </w:p>
        </w:tc>
        <w:tc>
          <w:tcPr>
            <w:tcW w:w="634" w:type="dxa"/>
            <w:tcBorders>
              <w:left w:val="single" w:sz="8" w:space="0" w:color="000000"/>
            </w:tcBorders>
            <w:shd w:fill="FFFFFF" w:val="clear"/>
            <w:tcMar>
              <w:left w:w="0" w:type="dxa"/>
              <w:right w:w="0" w:type="dxa"/>
            </w:tcMar>
          </w:tcPr>
          <w:p>
            <w:pPr>
              <w:pStyle w:val="Normal"/>
              <w:jc w:val="center"/>
              <w:rPr/>
            </w:pPr>
            <w:r>
              <w:rPr/>
              <w:t>4</w:t>
            </w:r>
          </w:p>
        </w:tc>
        <w:tc>
          <w:tcPr>
            <w:tcW w:w="635" w:type="dxa"/>
            <w:tcBorders>
              <w:left w:val="single" w:sz="8" w:space="0" w:color="000000"/>
            </w:tcBorders>
            <w:shd w:fill="FFFFFF" w:val="clear"/>
            <w:tcMar>
              <w:left w:w="0" w:type="dxa"/>
              <w:right w:w="0" w:type="dxa"/>
            </w:tcMar>
          </w:tcPr>
          <w:p>
            <w:pPr>
              <w:pStyle w:val="Normal"/>
              <w:jc w:val="center"/>
              <w:rPr/>
            </w:pPr>
            <w:r>
              <w:rPr/>
              <w:t>4,5</w:t>
            </w:r>
          </w:p>
        </w:tc>
        <w:tc>
          <w:tcPr>
            <w:tcW w:w="635" w:type="dxa"/>
            <w:tcBorders>
              <w:left w:val="single" w:sz="8" w:space="0" w:color="000000"/>
            </w:tcBorders>
            <w:shd w:fill="FFFFFF" w:val="clear"/>
            <w:tcMar>
              <w:left w:w="0" w:type="dxa"/>
              <w:right w:w="0" w:type="dxa"/>
            </w:tcMar>
          </w:tcPr>
          <w:p>
            <w:pPr>
              <w:pStyle w:val="Normal"/>
              <w:jc w:val="center"/>
              <w:rPr/>
            </w:pPr>
            <w:r>
              <w:rPr/>
              <w:t>5</w:t>
            </w:r>
          </w:p>
        </w:tc>
        <w:tc>
          <w:tcPr>
            <w:tcW w:w="635" w:type="dxa"/>
            <w:tcBorders>
              <w:left w:val="single" w:sz="8" w:space="0" w:color="000000"/>
            </w:tcBorders>
            <w:shd w:fill="FFFFFF" w:val="clear"/>
            <w:tcMar>
              <w:left w:w="0" w:type="dxa"/>
              <w:right w:w="0" w:type="dxa"/>
            </w:tcMar>
          </w:tcPr>
          <w:p>
            <w:pPr>
              <w:pStyle w:val="Normal"/>
              <w:jc w:val="center"/>
              <w:rPr/>
            </w:pPr>
            <w:r>
              <w:rPr/>
              <w:t>6</w:t>
            </w:r>
          </w:p>
        </w:tc>
        <w:tc>
          <w:tcPr>
            <w:tcW w:w="635" w:type="dxa"/>
            <w:tcBorders>
              <w:left w:val="single" w:sz="8" w:space="0" w:color="000000"/>
            </w:tcBorders>
            <w:shd w:fill="FFFFFF" w:val="clear"/>
            <w:tcMar>
              <w:left w:w="0" w:type="dxa"/>
              <w:right w:w="0" w:type="dxa"/>
            </w:tcMar>
          </w:tcPr>
          <w:p>
            <w:pPr>
              <w:pStyle w:val="Normal"/>
              <w:jc w:val="center"/>
              <w:rPr/>
            </w:pPr>
            <w:r>
              <w:rPr/>
              <w:t>8</w:t>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12</w:t>
            </w:r>
          </w:p>
        </w:tc>
      </w:tr>
      <w:tr>
        <w:trPr/>
        <w:tc>
          <w:tcPr>
            <w:tcW w:w="4254" w:type="dxa"/>
            <w:tcBorders>
              <w:left w:val="single" w:sz="8" w:space="0" w:color="000000"/>
              <w:bottom w:val="single" w:sz="8" w:space="0" w:color="000000"/>
              <w:insideH w:val="single" w:sz="8" w:space="0" w:color="000000"/>
            </w:tcBorders>
            <w:shd w:fill="FFFFFF" w:val="clear"/>
          </w:tcPr>
          <w:p>
            <w:pPr>
              <w:pStyle w:val="Normal"/>
              <w:jc w:val="both"/>
              <w:rPr/>
            </w:pPr>
            <w:r>
              <w:rPr/>
              <w:t>то же, при обрыве провода в смежном пролете</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r>
              <w:rPr>
                <w:vertAlign w:val="superscript"/>
              </w:rPr>
              <w:t>*</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r>
              <w:rPr>
                <w:vertAlign w:val="superscript"/>
              </w:rPr>
              <w:t>*</w:t>
            </w:r>
          </w:p>
        </w:tc>
        <w:tc>
          <w:tcPr>
            <w:tcW w:w="6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r>
              <w:rPr>
                <w:vertAlign w:val="superscript"/>
              </w:rPr>
              <w:t>*</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65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4254" w:type="dxa"/>
            <w:tcBorders>
              <w:left w:val="single" w:sz="8" w:space="0" w:color="000000"/>
            </w:tcBorders>
            <w:shd w:fill="FFFFFF" w:val="clear"/>
          </w:tcPr>
          <w:p>
            <w:pPr>
              <w:pStyle w:val="Normal"/>
              <w:jc w:val="both"/>
              <w:rPr>
                <w:i/>
                <w:i/>
                <w:iCs/>
              </w:rPr>
            </w:pPr>
            <w:r>
              <w:rPr>
                <w:i/>
                <w:iCs/>
              </w:rPr>
              <w:t>Расстояния по горизонтали:</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1) при сближении и параллельном следовании от крайнего неотклоненного провода до любой части:</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магистрального нефтепровода и нефтепродуктопровода</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 м, но не менее высоты опоры</w:t>
            </w:r>
          </w:p>
        </w:tc>
      </w:tr>
      <w:tr>
        <w:trPr/>
        <w:tc>
          <w:tcPr>
            <w:tcW w:w="4254" w:type="dxa"/>
            <w:tcBorders>
              <w:left w:val="single" w:sz="8" w:space="0" w:color="000000"/>
            </w:tcBorders>
            <w:shd w:fill="FFFFFF" w:val="clear"/>
          </w:tcPr>
          <w:p>
            <w:pPr>
              <w:pStyle w:val="Normal"/>
              <w:jc w:val="both"/>
              <w:rPr/>
            </w:pPr>
            <w:r>
              <w:rPr/>
              <w:t>газопровода с избыточным давлением свыше 1,2 МПа (магистрального газопровода)</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Не менее удвоенной высоты опоры, но не менее 50 м</w:t>
            </w:r>
          </w:p>
        </w:tc>
      </w:tr>
      <w:tr>
        <w:trPr/>
        <w:tc>
          <w:tcPr>
            <w:tcW w:w="4254" w:type="dxa"/>
            <w:tcBorders>
              <w:left w:val="single" w:sz="8" w:space="0" w:color="000000"/>
            </w:tcBorders>
            <w:shd w:fill="FFFFFF" w:val="clear"/>
          </w:tcPr>
          <w:p>
            <w:pPr>
              <w:pStyle w:val="Normal"/>
              <w:jc w:val="both"/>
              <w:rPr/>
            </w:pPr>
            <w:r>
              <w:rPr/>
              <w:t>трубопровода сжиженных углеводородных газов</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Не менее 1000 м</w:t>
            </w:r>
          </w:p>
        </w:tc>
      </w:tr>
      <w:tr>
        <w:trPr/>
        <w:tc>
          <w:tcPr>
            <w:tcW w:w="4254" w:type="dxa"/>
            <w:tcBorders>
              <w:left w:val="single" w:sz="8" w:space="0" w:color="000000"/>
            </w:tcBorders>
            <w:shd w:fill="FFFFFF" w:val="clear"/>
          </w:tcPr>
          <w:p>
            <w:pPr>
              <w:pStyle w:val="Normal"/>
              <w:jc w:val="both"/>
              <w:rPr/>
            </w:pPr>
            <w:r>
              <w:rPr/>
              <w:t>аммиакопровода</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3-кратная высота опоры, но не менее 50 м</w:t>
            </w:r>
          </w:p>
        </w:tc>
      </w:tr>
      <w:tr>
        <w:trPr/>
        <w:tc>
          <w:tcPr>
            <w:tcW w:w="4254" w:type="dxa"/>
            <w:tcBorders>
              <w:left w:val="single" w:sz="8" w:space="0" w:color="000000"/>
              <w:bottom w:val="single" w:sz="8" w:space="0" w:color="000000"/>
              <w:insideH w:val="single" w:sz="8" w:space="0" w:color="000000"/>
            </w:tcBorders>
            <w:shd w:fill="FFFFFF" w:val="clear"/>
          </w:tcPr>
          <w:p>
            <w:pPr>
              <w:pStyle w:val="Normal"/>
              <w:jc w:val="both"/>
              <w:rPr/>
            </w:pPr>
            <w:r>
              <w:rPr/>
              <w:t>немагистральных нефтепровода и нефтепродуктопровода, газопровода с избыточным давлением газа 1,2 МПа и менее, водопровода, канализации (напорной и самотечной), водостока, тепловой сети</w:t>
            </w:r>
          </w:p>
        </w:tc>
        <w:tc>
          <w:tcPr>
            <w:tcW w:w="5101" w:type="dxa"/>
            <w:gridSpan w:val="8"/>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Не менее высоты опоры</w:t>
            </w:r>
            <w:r>
              <w:rPr>
                <w:vertAlign w:val="superscript"/>
              </w:rPr>
              <w:t>**</w:t>
            </w:r>
          </w:p>
        </w:tc>
      </w:tr>
      <w:tr>
        <w:trPr/>
        <w:tc>
          <w:tcPr>
            <w:tcW w:w="4254" w:type="dxa"/>
            <w:tcBorders>
              <w:left w:val="single" w:sz="8" w:space="0" w:color="000000"/>
            </w:tcBorders>
            <w:shd w:fill="FFFFFF" w:val="clear"/>
          </w:tcPr>
          <w:p>
            <w:pPr>
              <w:pStyle w:val="Normal"/>
              <w:jc w:val="both"/>
              <w:rPr/>
            </w:pPr>
            <w:r>
              <w:rPr/>
              <w:t>помещений со взрывоопасными зонами и наружных взрывоопасных установок:</w:t>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4"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компрессорных (КС) и газораспределительных (ГРС) станций:</w:t>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4"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35" w:type="dxa"/>
            <w:tcBorders>
              <w:left w:val="single" w:sz="8" w:space="0" w:color="000000"/>
            </w:tcBorders>
            <w:shd w:fill="FFFFFF" w:val="clear"/>
            <w:tcMar>
              <w:left w:w="0" w:type="dxa"/>
              <w:right w:w="0" w:type="dxa"/>
            </w:tcMar>
          </w:tcPr>
          <w:p>
            <w:pPr>
              <w:pStyle w:val="Normal"/>
              <w:snapToGrid w:val="false"/>
              <w:rPr/>
            </w:pPr>
            <w:r>
              <w:rPr/>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на газопроводах с давлением свыше 1,2 МПа</w:t>
            </w:r>
          </w:p>
        </w:tc>
        <w:tc>
          <w:tcPr>
            <w:tcW w:w="635" w:type="dxa"/>
            <w:tcBorders>
              <w:left w:val="single" w:sz="8" w:space="0" w:color="000000"/>
            </w:tcBorders>
            <w:shd w:fill="FFFFFF" w:val="clear"/>
            <w:tcMar>
              <w:left w:w="0" w:type="dxa"/>
              <w:right w:w="0" w:type="dxa"/>
            </w:tcMar>
          </w:tcPr>
          <w:p>
            <w:pPr>
              <w:pStyle w:val="Normal"/>
              <w:jc w:val="center"/>
              <w:rPr/>
            </w:pPr>
            <w:r>
              <w:rPr/>
              <w:t>80</w:t>
            </w:r>
          </w:p>
        </w:tc>
        <w:tc>
          <w:tcPr>
            <w:tcW w:w="635" w:type="dxa"/>
            <w:tcBorders>
              <w:left w:val="single" w:sz="8" w:space="0" w:color="000000"/>
            </w:tcBorders>
            <w:shd w:fill="FFFFFF" w:val="clear"/>
            <w:tcMar>
              <w:left w:w="0" w:type="dxa"/>
              <w:right w:w="0" w:type="dxa"/>
            </w:tcMar>
          </w:tcPr>
          <w:p>
            <w:pPr>
              <w:pStyle w:val="Normal"/>
              <w:jc w:val="center"/>
              <w:rPr/>
            </w:pPr>
            <w:r>
              <w:rPr/>
              <w:t>80</w:t>
            </w:r>
          </w:p>
        </w:tc>
        <w:tc>
          <w:tcPr>
            <w:tcW w:w="634" w:type="dxa"/>
            <w:tcBorders>
              <w:left w:val="single" w:sz="8" w:space="0" w:color="000000"/>
            </w:tcBorders>
            <w:shd w:fill="FFFFFF" w:val="clear"/>
            <w:tcMar>
              <w:left w:w="0" w:type="dxa"/>
              <w:right w:w="0" w:type="dxa"/>
            </w:tcMar>
          </w:tcPr>
          <w:p>
            <w:pPr>
              <w:pStyle w:val="Normal"/>
              <w:jc w:val="center"/>
              <w:rPr/>
            </w:pPr>
            <w:r>
              <w:rPr/>
              <w:t>100</w:t>
            </w:r>
          </w:p>
        </w:tc>
        <w:tc>
          <w:tcPr>
            <w:tcW w:w="635" w:type="dxa"/>
            <w:tcBorders>
              <w:left w:val="single" w:sz="8" w:space="0" w:color="000000"/>
            </w:tcBorders>
            <w:shd w:fill="FFFFFF" w:val="clear"/>
            <w:tcMar>
              <w:left w:w="0" w:type="dxa"/>
              <w:right w:w="0" w:type="dxa"/>
            </w:tcMar>
          </w:tcPr>
          <w:p>
            <w:pPr>
              <w:pStyle w:val="Normal"/>
              <w:jc w:val="center"/>
              <w:rPr/>
            </w:pPr>
            <w:r>
              <w:rPr/>
              <w:t>120</w:t>
            </w:r>
          </w:p>
        </w:tc>
        <w:tc>
          <w:tcPr>
            <w:tcW w:w="635" w:type="dxa"/>
            <w:tcBorders>
              <w:left w:val="single" w:sz="8" w:space="0" w:color="000000"/>
            </w:tcBorders>
            <w:shd w:fill="FFFFFF" w:val="clear"/>
            <w:tcMar>
              <w:left w:w="0" w:type="dxa"/>
              <w:right w:w="0" w:type="dxa"/>
            </w:tcMar>
          </w:tcPr>
          <w:p>
            <w:pPr>
              <w:pStyle w:val="Normal"/>
              <w:jc w:val="center"/>
              <w:rPr/>
            </w:pPr>
            <w:r>
              <w:rPr/>
              <w:t>140</w:t>
            </w:r>
          </w:p>
        </w:tc>
        <w:tc>
          <w:tcPr>
            <w:tcW w:w="635" w:type="dxa"/>
            <w:tcBorders>
              <w:left w:val="single" w:sz="8" w:space="0" w:color="000000"/>
            </w:tcBorders>
            <w:shd w:fill="FFFFFF" w:val="clear"/>
            <w:tcMar>
              <w:left w:w="0" w:type="dxa"/>
              <w:right w:w="0" w:type="dxa"/>
            </w:tcMar>
          </w:tcPr>
          <w:p>
            <w:pPr>
              <w:pStyle w:val="Normal"/>
              <w:jc w:val="center"/>
              <w:rPr/>
            </w:pPr>
            <w:r>
              <w:rPr/>
              <w:t>160</w:t>
            </w:r>
          </w:p>
        </w:tc>
        <w:tc>
          <w:tcPr>
            <w:tcW w:w="635" w:type="dxa"/>
            <w:tcBorders>
              <w:left w:val="single" w:sz="8" w:space="0" w:color="000000"/>
            </w:tcBorders>
            <w:shd w:fill="FFFFFF" w:val="clear"/>
            <w:tcMar>
              <w:left w:w="0" w:type="dxa"/>
              <w:right w:w="0" w:type="dxa"/>
            </w:tcMar>
          </w:tcPr>
          <w:p>
            <w:pPr>
              <w:pStyle w:val="Normal"/>
              <w:jc w:val="center"/>
              <w:rPr/>
            </w:pPr>
            <w:r>
              <w:rPr/>
              <w:t>180</w:t>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200</w:t>
            </w:r>
          </w:p>
        </w:tc>
      </w:tr>
      <w:tr>
        <w:trPr/>
        <w:tc>
          <w:tcPr>
            <w:tcW w:w="4254" w:type="dxa"/>
            <w:tcBorders>
              <w:left w:val="single" w:sz="8" w:space="0" w:color="000000"/>
            </w:tcBorders>
            <w:shd w:fill="FFFFFF" w:val="clear"/>
          </w:tcPr>
          <w:p>
            <w:pPr>
              <w:pStyle w:val="Normal"/>
              <w:jc w:val="both"/>
              <w:rPr/>
            </w:pPr>
            <w:r>
              <w:rPr/>
              <w:t>на газопроводах с давлением газа 1,2 МПа и менее</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Не менее высоты опоры плюс 3 м</w:t>
            </w:r>
          </w:p>
        </w:tc>
      </w:tr>
      <w:tr>
        <w:trPr/>
        <w:tc>
          <w:tcPr>
            <w:tcW w:w="4254" w:type="dxa"/>
            <w:tcBorders>
              <w:left w:val="single" w:sz="8" w:space="0" w:color="000000"/>
            </w:tcBorders>
            <w:shd w:fill="FFFFFF" w:val="clear"/>
          </w:tcPr>
          <w:p>
            <w:pPr>
              <w:pStyle w:val="Normal"/>
              <w:jc w:val="both"/>
              <w:rPr/>
            </w:pPr>
            <w:r>
              <w:rPr/>
              <w:t>нефтеперекачивающих станций (НПС)</w:t>
            </w:r>
          </w:p>
        </w:tc>
        <w:tc>
          <w:tcPr>
            <w:tcW w:w="635" w:type="dxa"/>
            <w:tcBorders>
              <w:left w:val="single" w:sz="8" w:space="0" w:color="000000"/>
            </w:tcBorders>
            <w:shd w:fill="FFFFFF" w:val="clear"/>
            <w:tcMar>
              <w:left w:w="0" w:type="dxa"/>
              <w:right w:w="0" w:type="dxa"/>
            </w:tcMar>
          </w:tcPr>
          <w:p>
            <w:pPr>
              <w:pStyle w:val="Normal"/>
              <w:jc w:val="center"/>
              <w:rPr/>
            </w:pPr>
            <w:r>
              <w:rPr/>
              <w:t>40</w:t>
            </w:r>
          </w:p>
        </w:tc>
        <w:tc>
          <w:tcPr>
            <w:tcW w:w="635" w:type="dxa"/>
            <w:tcBorders>
              <w:left w:val="single" w:sz="8" w:space="0" w:color="000000"/>
            </w:tcBorders>
            <w:shd w:fill="FFFFFF" w:val="clear"/>
            <w:tcMar>
              <w:left w:w="0" w:type="dxa"/>
              <w:right w:w="0" w:type="dxa"/>
            </w:tcMar>
          </w:tcPr>
          <w:p>
            <w:pPr>
              <w:pStyle w:val="Normal"/>
              <w:jc w:val="center"/>
              <w:rPr/>
            </w:pPr>
            <w:r>
              <w:rPr/>
              <w:t>40</w:t>
            </w:r>
          </w:p>
        </w:tc>
        <w:tc>
          <w:tcPr>
            <w:tcW w:w="634" w:type="dxa"/>
            <w:tcBorders>
              <w:left w:val="single" w:sz="8" w:space="0" w:color="000000"/>
            </w:tcBorders>
            <w:shd w:fill="FFFFFF" w:val="clear"/>
            <w:tcMar>
              <w:left w:w="0" w:type="dxa"/>
              <w:right w:w="0" w:type="dxa"/>
            </w:tcMar>
          </w:tcPr>
          <w:p>
            <w:pPr>
              <w:pStyle w:val="Normal"/>
              <w:jc w:val="center"/>
              <w:rPr/>
            </w:pPr>
            <w:r>
              <w:rPr/>
              <w:t>60</w:t>
            </w:r>
          </w:p>
        </w:tc>
        <w:tc>
          <w:tcPr>
            <w:tcW w:w="635" w:type="dxa"/>
            <w:tcBorders>
              <w:left w:val="single" w:sz="8" w:space="0" w:color="000000"/>
            </w:tcBorders>
            <w:shd w:fill="FFFFFF" w:val="clear"/>
            <w:tcMar>
              <w:left w:w="0" w:type="dxa"/>
              <w:right w:w="0" w:type="dxa"/>
            </w:tcMar>
          </w:tcPr>
          <w:p>
            <w:pPr>
              <w:pStyle w:val="Normal"/>
              <w:jc w:val="center"/>
              <w:rPr/>
            </w:pPr>
            <w:r>
              <w:rPr/>
              <w:t>80</w:t>
            </w:r>
          </w:p>
        </w:tc>
        <w:tc>
          <w:tcPr>
            <w:tcW w:w="635" w:type="dxa"/>
            <w:tcBorders>
              <w:left w:val="single" w:sz="8" w:space="0" w:color="000000"/>
            </w:tcBorders>
            <w:shd w:fill="FFFFFF" w:val="clear"/>
            <w:tcMar>
              <w:left w:w="0" w:type="dxa"/>
              <w:right w:w="0" w:type="dxa"/>
            </w:tcMar>
          </w:tcPr>
          <w:p>
            <w:pPr>
              <w:pStyle w:val="Normal"/>
              <w:jc w:val="center"/>
              <w:rPr/>
            </w:pPr>
            <w:r>
              <w:rPr/>
              <w:t>100</w:t>
            </w:r>
          </w:p>
        </w:tc>
        <w:tc>
          <w:tcPr>
            <w:tcW w:w="635" w:type="dxa"/>
            <w:tcBorders>
              <w:left w:val="single" w:sz="8" w:space="0" w:color="000000"/>
            </w:tcBorders>
            <w:shd w:fill="FFFFFF" w:val="clear"/>
            <w:tcMar>
              <w:left w:w="0" w:type="dxa"/>
              <w:right w:w="0" w:type="dxa"/>
            </w:tcMar>
          </w:tcPr>
          <w:p>
            <w:pPr>
              <w:pStyle w:val="Normal"/>
              <w:jc w:val="center"/>
              <w:rPr/>
            </w:pPr>
            <w:r>
              <w:rPr/>
              <w:t>120</w:t>
            </w:r>
          </w:p>
        </w:tc>
        <w:tc>
          <w:tcPr>
            <w:tcW w:w="635" w:type="dxa"/>
            <w:tcBorders>
              <w:left w:val="single" w:sz="8" w:space="0" w:color="000000"/>
            </w:tcBorders>
            <w:shd w:fill="FFFFFF" w:val="clear"/>
            <w:tcMar>
              <w:left w:w="0" w:type="dxa"/>
              <w:right w:w="0" w:type="dxa"/>
            </w:tcMar>
          </w:tcPr>
          <w:p>
            <w:pPr>
              <w:pStyle w:val="Normal"/>
              <w:jc w:val="center"/>
              <w:rPr/>
            </w:pPr>
            <w:r>
              <w:rPr/>
              <w:t>150</w:t>
            </w:r>
          </w:p>
        </w:tc>
        <w:tc>
          <w:tcPr>
            <w:tcW w:w="657"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150</w:t>
            </w:r>
          </w:p>
        </w:tc>
      </w:tr>
      <w:tr>
        <w:trPr/>
        <w:tc>
          <w:tcPr>
            <w:tcW w:w="4254" w:type="dxa"/>
            <w:tcBorders>
              <w:left w:val="single" w:sz="8" w:space="0" w:color="000000"/>
            </w:tcBorders>
            <w:shd w:fill="FFFFFF" w:val="clear"/>
          </w:tcPr>
          <w:p>
            <w:pPr>
              <w:pStyle w:val="Normal"/>
              <w:jc w:val="both"/>
              <w:rPr/>
            </w:pPr>
            <w:r>
              <w:rPr/>
              <w:t>2) при пересечении от основания опоры ВЛ до любой части:</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254" w:type="dxa"/>
            <w:tcBorders>
              <w:left w:val="single" w:sz="8" w:space="0" w:color="000000"/>
            </w:tcBorders>
            <w:shd w:fill="FFFFFF" w:val="clear"/>
          </w:tcPr>
          <w:p>
            <w:pPr>
              <w:pStyle w:val="Normal"/>
              <w:jc w:val="both"/>
              <w:rPr/>
            </w:pPr>
            <w:r>
              <w:rPr/>
              <w:t>трубопровода, защитных устройств трубопровода или канатной дороги</w:t>
            </w:r>
          </w:p>
        </w:tc>
        <w:tc>
          <w:tcPr>
            <w:tcW w:w="5101"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Не менее высоты опоры</w:t>
            </w:r>
          </w:p>
        </w:tc>
      </w:tr>
      <w:tr>
        <w:trPr/>
        <w:tc>
          <w:tcPr>
            <w:tcW w:w="4254" w:type="dxa"/>
            <w:tcBorders>
              <w:left w:val="single" w:sz="8" w:space="0" w:color="000000"/>
              <w:bottom w:val="single" w:sz="8" w:space="0" w:color="000000"/>
              <w:insideH w:val="single" w:sz="8" w:space="0" w:color="000000"/>
            </w:tcBorders>
            <w:shd w:fill="FFFFFF" w:val="clear"/>
          </w:tcPr>
          <w:p>
            <w:pPr>
              <w:pStyle w:val="Normal"/>
              <w:jc w:val="both"/>
              <w:rPr/>
            </w:pPr>
            <w:r>
              <w:rPr/>
              <w:t>то же, на участках трассы в стесненных условиях</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6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w:t>
            </w:r>
          </w:p>
        </w:tc>
        <w:tc>
          <w:tcPr>
            <w:tcW w:w="6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65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bl>
    <w:p>
      <w:pPr>
        <w:pStyle w:val="Normal"/>
        <w:spacing w:before="120" w:after="0"/>
        <w:ind w:firstLine="283"/>
        <w:jc w:val="both"/>
        <w:rPr/>
      </w:pPr>
      <w:r>
        <w:rPr>
          <w:vertAlign w:val="superscript"/>
        </w:rPr>
        <w:t>*</w:t>
      </w:r>
      <w:r>
        <w:rPr/>
        <w:t xml:space="preserve"> При прокладке трубопровода в насыпи расстояние до насыпи увеличивается на 1 м.</w:t>
      </w:r>
    </w:p>
    <w:p>
      <w:pPr>
        <w:pStyle w:val="Normal"/>
        <w:ind w:firstLine="284"/>
        <w:jc w:val="both"/>
        <w:rPr/>
      </w:pPr>
      <w:r>
        <w:rPr>
          <w:vertAlign w:val="superscript"/>
        </w:rPr>
        <w:t>**</w:t>
      </w:r>
      <w:r>
        <w:rPr/>
        <w:t xml:space="preserve">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p>
      <w:pPr>
        <w:pStyle w:val="Normal"/>
        <w:spacing w:before="120" w:after="0"/>
        <w:ind w:firstLine="283"/>
        <w:jc w:val="both"/>
        <w:rPr/>
      </w:pPr>
      <w:r>
        <w:rPr>
          <w:spacing w:val="40"/>
        </w:rPr>
        <w:t>Примечание</w:t>
      </w:r>
      <w:r>
        <w:rPr/>
        <w:t>. Приведенные в таблице расстояния принимаются до границы насыпи или защитного устройства.</w:t>
      </w:r>
    </w:p>
    <w:p>
      <w:pPr>
        <w:pStyle w:val="Normal"/>
        <w:spacing w:before="120" w:after="0"/>
        <w:ind w:firstLine="283"/>
        <w:jc w:val="both"/>
        <w:rPr/>
      </w:pPr>
      <w:r>
        <w:rPr/>
        <w:t>В пролетах пересечения ВЛ с трубопроводами для транспорта горючих жидкостей и газов провода и тросы не должны иметь соединений.</w:t>
      </w:r>
    </w:p>
    <w:p>
      <w:pPr>
        <w:pStyle w:val="Normal"/>
        <w:ind w:firstLine="283"/>
        <w:jc w:val="both"/>
        <w:rPr/>
      </w:pPr>
      <w:r>
        <w:rPr/>
        <w:t>2.5.282.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p>
      <w:pPr>
        <w:pStyle w:val="Normal"/>
        <w:ind w:firstLine="283"/>
        <w:jc w:val="both"/>
        <w:rPr/>
      </w:pPr>
      <w:r>
        <w:rPr/>
        <w:t>Расстояния по вертикали от ВЛ до мостиков, сеток и ограждений (2.5.280) должны быть такими же, как до надземных и наземных трубопроводов и канатных дорог (см. табл. 2.5.39).</w:t>
      </w:r>
    </w:p>
    <w:p>
      <w:pPr>
        <w:pStyle w:val="Normal"/>
        <w:ind w:firstLine="283"/>
        <w:jc w:val="both"/>
        <w:rPr/>
      </w:pPr>
      <w:r>
        <w:rPr/>
        <w:t>2.5.283.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pPr>
        <w:pStyle w:val="Normal"/>
        <w:ind w:firstLine="283"/>
        <w:jc w:val="both"/>
        <w:rPr/>
      </w:pPr>
      <w:r>
        <w:rPr/>
        <w:t>2.5.284.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 2.5.39</w:t>
      </w:r>
      <w:r>
        <w:rPr>
          <w:vertAlign w:val="superscript"/>
        </w:rPr>
        <w:t>*</w:t>
      </w:r>
      <w:r>
        <w:rPr/>
        <w:t>.</w:t>
      </w:r>
    </w:p>
    <w:p>
      <w:pPr>
        <w:pStyle w:val="Normal"/>
        <w:spacing w:before="120" w:after="0"/>
        <w:ind w:firstLine="283"/>
        <w:jc w:val="both"/>
        <w:rPr/>
      </w:pPr>
      <w:r>
        <w:rPr>
          <w:vertAlign w:val="superscript"/>
        </w:rPr>
        <w:t>*</w:t>
      </w:r>
      <w:r>
        <w:rP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pPr>
        <w:pStyle w:val="Normal"/>
        <w:spacing w:before="120" w:after="0"/>
        <w:ind w:firstLine="283"/>
        <w:jc w:val="both"/>
        <w:rPr/>
      </w:pPr>
      <w:r>
        <w:rPr/>
        <w:t>Расстояния по вертикали в нормальном режиме работы ВЛ должны приниматься не менее значений, приведенных в табл. 2.5.39:</w:t>
      </w:r>
    </w:p>
    <w:p>
      <w:pPr>
        <w:pStyle w:val="Normal"/>
        <w:ind w:firstLine="283"/>
        <w:jc w:val="both"/>
        <w:rPr/>
      </w:pPr>
      <w:r>
        <w:rPr/>
        <w:t>при высшей температуре воздуха без учета нагрева проводов электрическим током расстояния должны приниматься как для ВЛ 500 кВ и ниже;</w:t>
      </w:r>
    </w:p>
    <w:p>
      <w:pPr>
        <w:pStyle w:val="Normal"/>
        <w:ind w:firstLine="283"/>
        <w:jc w:val="both"/>
        <w:rPr/>
      </w:pPr>
      <w:r>
        <w:rPr/>
        <w:t>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 ВЛ 750 кВ;</w:t>
      </w:r>
    </w:p>
    <w:p>
      <w:pPr>
        <w:pStyle w:val="Normal"/>
        <w:ind w:firstLine="283"/>
        <w:jc w:val="both"/>
        <w:rPr/>
      </w:pPr>
      <w:r>
        <w:rPr/>
        <w:t>при расчетной линейной гололедной нагрузке по 2.5.55 и температуре воздуха при гололеде - согласно 2.5.51.</w:t>
      </w:r>
    </w:p>
    <w:p>
      <w:pPr>
        <w:pStyle w:val="Normal"/>
        <w:ind w:firstLine="283"/>
        <w:jc w:val="both"/>
        <w:rPr/>
      </w:pPr>
      <w:r>
        <w:rPr/>
        <w:t>В аварийном режиме расстояния проверяются для ВЛ с проводами площадью сечения алюминиевой части менее 185 мм</w:t>
      </w:r>
      <w:r>
        <w:rPr>
          <w:vertAlign w:val="superscript"/>
        </w:rPr>
        <w:t>2</w:t>
      </w:r>
      <w:r>
        <w:rPr/>
        <w:t xml:space="preserve"> при среднегодовой температуре, без гололеда и ветра; для ВЛ с проводами площадью сечения алюминиевой части 185 мм</w:t>
      </w:r>
      <w:r>
        <w:rPr>
          <w:vertAlign w:val="superscript"/>
        </w:rPr>
        <w:t>2</w:t>
      </w:r>
      <w:r>
        <w:rPr/>
        <w:t xml:space="preserve"> и более проверка при обрыв провода не требуется.</w:t>
      </w:r>
    </w:p>
    <w:p>
      <w:pPr>
        <w:pStyle w:val="Normal"/>
        <w:ind w:firstLine="283"/>
        <w:jc w:val="both"/>
        <w:rPr/>
      </w:pPr>
      <w:r>
        <w:rPr/>
        <w:t>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 нефтепродуктопроводов. В районах Западной Сибири и Крайнего Севера</w:t>
      </w:r>
      <w:r>
        <w:rPr>
          <w:vertAlign w:val="superscript"/>
        </w:rPr>
        <w:t>*</w:t>
      </w:r>
      <w:r>
        <w:rPr/>
        <w:t xml:space="preserve"> при параллельном 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1000 м.</w:t>
      </w:r>
    </w:p>
    <w:p>
      <w:pPr>
        <w:pStyle w:val="Normal"/>
        <w:spacing w:before="120" w:after="0"/>
        <w:ind w:firstLine="283"/>
        <w:jc w:val="both"/>
        <w:rPr/>
      </w:pPr>
      <w:r>
        <w:rPr>
          <w:vertAlign w:val="superscript"/>
        </w:rPr>
        <w:t>*</w:t>
      </w:r>
      <w:r>
        <w:rPr/>
        <w:t xml:space="preserve"> Здесь и далее к районам 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w:t>
      </w:r>
    </w:p>
    <w:p>
      <w:pPr>
        <w:pStyle w:val="Normal"/>
        <w:spacing w:before="120" w:after="0"/>
        <w:ind w:firstLine="283"/>
        <w:jc w:val="both"/>
        <w:rPr/>
      </w:pPr>
      <w:r>
        <w:rPr/>
        <w:t>2.5.285. Расстояние от крайних неотклоненных проводов ВЛ до продувочных свечей, устанавливаемых на магистральных газопроводах, следует принимать не менее 300 м.</w:t>
      </w:r>
    </w:p>
    <w:p>
      <w:pPr>
        <w:pStyle w:val="Normal"/>
        <w:ind w:firstLine="283"/>
        <w:jc w:val="both"/>
        <w:rPr/>
      </w:pPr>
      <w:r>
        <w:rPr/>
        <w:t>На участках стесненной трассы ВЛ это расстояние может быть уменьшено до 150 м, кроме многоцепных ВЛ, расположенных как на общих, так и на раздельных опорах.</w:t>
      </w:r>
    </w:p>
    <w:p>
      <w:pPr>
        <w:pStyle w:val="Normal"/>
        <w:ind w:firstLine="283"/>
        <w:jc w:val="both"/>
        <w:rPr/>
      </w:pPr>
      <w:r>
        <w:rPr/>
        <w:t>2.5.286. 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p>
      <w:pPr>
        <w:pStyle w:val="Heading3"/>
        <w:rPr/>
      </w:pPr>
      <w:r>
        <w:rPr/>
        <w:t>ПЕРЕСЕЧЕНИЕ И СБЛИЖЕНИЕ ВЛ С ПОДЗЕМНЫМИ ТРУБОПРОВОДАМИ</w:t>
      </w:r>
    </w:p>
    <w:p>
      <w:pPr>
        <w:pStyle w:val="Normal"/>
        <w:ind w:firstLine="284"/>
        <w:jc w:val="both"/>
        <w:rPr/>
      </w:pPr>
      <w:r>
        <w:rPr/>
        <w:t>2.5.287.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w:t>
      </w:r>
      <w:r>
        <w:rPr>
          <w:vertAlign w:val="superscript"/>
        </w:rPr>
        <w:t>*</w:t>
      </w:r>
      <w:r>
        <w:rPr/>
        <w:t xml:space="preserve"> не нормируется.</w:t>
      </w:r>
    </w:p>
    <w:p>
      <w:pPr>
        <w:pStyle w:val="Normal"/>
        <w:spacing w:before="120" w:after="0"/>
        <w:ind w:firstLine="283"/>
        <w:jc w:val="both"/>
        <w:rPr/>
      </w:pPr>
      <w:r>
        <w:rPr>
          <w:vertAlign w:val="superscript"/>
        </w:rPr>
        <w:t>*</w:t>
      </w:r>
      <w:r>
        <w:rPr/>
        <w:t xml:space="preserve"> Газопроводы, нефтепроводы, нефтепродуктопроводы, трубопроводы снижения углеводородных газов, аммиакопроводы в дальнейшем именуются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pPr>
        <w:pStyle w:val="Normal"/>
        <w:spacing w:before="120" w:after="0"/>
        <w:ind w:firstLine="283"/>
        <w:jc w:val="both"/>
        <w:rPr/>
      </w:pPr>
      <w:r>
        <w:rPr/>
        <w:t>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p>
      <w:pPr>
        <w:pStyle w:val="Normal"/>
        <w:ind w:firstLine="283"/>
        <w:jc w:val="both"/>
        <w:rPr/>
      </w:pPr>
      <w:r>
        <w:rPr/>
        <w:t>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pPr>
        <w:pStyle w:val="Normal"/>
        <w:ind w:firstLine="283"/>
        <w:jc w:val="both"/>
        <w:rPr/>
      </w:pPr>
      <w:r>
        <w:rPr/>
        <w:t>2.5.288. Расстояния при пересечении, сближении и параллельном следовании ВЛ с подземными трубопроводами должны быть не менее приведенных в табл. 2.5.40</w:t>
      </w:r>
      <w:r>
        <w:rPr>
          <w:vertAlign w:val="superscript"/>
        </w:rPr>
        <w:t>*</w:t>
      </w:r>
      <w:r>
        <w:rPr/>
        <w:t>.</w:t>
      </w:r>
    </w:p>
    <w:p>
      <w:pPr>
        <w:pStyle w:val="Normal"/>
        <w:ind w:firstLine="283"/>
        <w:jc w:val="both"/>
        <w:rPr/>
      </w:pPr>
      <w:r>
        <w:rPr/>
        <w:t>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 3 табл. 2.5.40 для газопроводов с давлением газа 1,2 МПа и менее.</w:t>
      </w:r>
    </w:p>
    <w:p>
      <w:pPr>
        <w:pStyle w:val="Normal"/>
        <w:spacing w:before="120" w:after="0"/>
        <w:ind w:firstLine="283"/>
        <w:jc w:val="both"/>
        <w:rPr/>
      </w:pPr>
      <w:r>
        <w:rPr>
          <w:vertAlign w:val="superscript"/>
        </w:rPr>
        <w:t>*</w:t>
      </w:r>
      <w:r>
        <w:rP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pPr>
        <w:pStyle w:val="Normal"/>
        <w:spacing w:before="120" w:after="120"/>
        <w:jc w:val="right"/>
        <w:rPr/>
      </w:pPr>
      <w:r>
        <w:rPr>
          <w:spacing w:val="40"/>
        </w:rPr>
        <w:t>Таблица</w:t>
      </w:r>
      <w:r>
        <w:rPr/>
        <w:t xml:space="preserve"> 2.5.40</w:t>
      </w:r>
    </w:p>
    <w:p>
      <w:pPr>
        <w:pStyle w:val="Normal"/>
        <w:spacing w:before="0" w:after="120"/>
        <w:jc w:val="center"/>
        <w:rPr>
          <w:b/>
          <w:b/>
          <w:bCs/>
        </w:rPr>
      </w:pPr>
      <w:r>
        <w:rPr>
          <w:b/>
          <w:bCs/>
        </w:rPr>
        <w:t>Наименьшие расстояния от ВЛ до подземных сетей</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4415"/>
        <w:gridCol w:w="614"/>
        <w:gridCol w:w="616"/>
        <w:gridCol w:w="616"/>
        <w:gridCol w:w="616"/>
        <w:gridCol w:w="616"/>
        <w:gridCol w:w="616"/>
        <w:gridCol w:w="616"/>
        <w:gridCol w:w="630"/>
      </w:tblGrid>
      <w:tr>
        <w:trPr>
          <w:tblHeader w:val="true"/>
        </w:trPr>
        <w:tc>
          <w:tcPr>
            <w:tcW w:w="441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Пересечение, сближение или параллельное следование</w:t>
            </w:r>
          </w:p>
        </w:tc>
        <w:tc>
          <w:tcPr>
            <w:tcW w:w="4940"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Наименьшее расстояние, м, при напряжении ВЛ, кВ</w:t>
            </w:r>
          </w:p>
        </w:tc>
      </w:tr>
      <w:tr>
        <w:trPr>
          <w:tblHeader w:val="true"/>
        </w:trPr>
        <w:tc>
          <w:tcPr>
            <w:tcW w:w="441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61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20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4415" w:type="dxa"/>
            <w:tcBorders>
              <w:left w:val="single" w:sz="8" w:space="0" w:color="000000"/>
            </w:tcBorders>
            <w:shd w:fill="FFFFFF" w:val="clear"/>
          </w:tcPr>
          <w:p>
            <w:pPr>
              <w:pStyle w:val="Normal"/>
              <w:jc w:val="both"/>
              <w:rPr>
                <w:i/>
                <w:i/>
                <w:iCs/>
              </w:rPr>
            </w:pPr>
            <w:r>
              <w:rPr>
                <w:i/>
                <w:iCs/>
              </w:rPr>
              <w:t>Расстояние по горизонтали:</w:t>
            </w:r>
          </w:p>
        </w:tc>
        <w:tc>
          <w:tcPr>
            <w:tcW w:w="4940"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Pr>
          <w:p>
            <w:pPr>
              <w:pStyle w:val="Normal"/>
              <w:jc w:val="both"/>
              <w:rPr/>
            </w:pPr>
            <w:r>
              <w:rPr/>
              <w:t>1) при сближении и параллельном следовании от крайнего неотклоненного провода до любой части:</w:t>
            </w:r>
          </w:p>
        </w:tc>
        <w:tc>
          <w:tcPr>
            <w:tcW w:w="4940"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Pr>
          <w:p>
            <w:pPr>
              <w:pStyle w:val="Normal"/>
              <w:jc w:val="both"/>
              <w:rPr/>
            </w:pPr>
            <w:r>
              <w:rP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614" w:type="dxa"/>
            <w:tcBorders>
              <w:left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tcBorders>
            <w:shd w:fill="FFFFFF" w:val="clear"/>
            <w:tcMar>
              <w:left w:w="0" w:type="dxa"/>
              <w:right w:w="0" w:type="dxa"/>
            </w:tcMar>
          </w:tcPr>
          <w:p>
            <w:pPr>
              <w:pStyle w:val="Normal"/>
              <w:jc w:val="center"/>
              <w:rPr/>
            </w:pPr>
            <w:r>
              <w:rPr/>
              <w:t>15</w:t>
            </w:r>
          </w:p>
        </w:tc>
        <w:tc>
          <w:tcPr>
            <w:tcW w:w="616" w:type="dxa"/>
            <w:tcBorders>
              <w:left w:val="single" w:sz="8" w:space="0" w:color="000000"/>
            </w:tcBorders>
            <w:shd w:fill="FFFFFF" w:val="clear"/>
            <w:tcMar>
              <w:left w:w="0" w:type="dxa"/>
              <w:right w:w="0" w:type="dxa"/>
            </w:tcMar>
          </w:tcPr>
          <w:p>
            <w:pPr>
              <w:pStyle w:val="Normal"/>
              <w:jc w:val="center"/>
              <w:rPr/>
            </w:pPr>
            <w:r>
              <w:rPr/>
              <w:t>20</w:t>
            </w:r>
          </w:p>
        </w:tc>
        <w:tc>
          <w:tcPr>
            <w:tcW w:w="616" w:type="dxa"/>
            <w:tcBorders>
              <w:left w:val="single" w:sz="8" w:space="0" w:color="000000"/>
            </w:tcBorders>
            <w:shd w:fill="FFFFFF" w:val="clear"/>
            <w:tcMar>
              <w:left w:w="0" w:type="dxa"/>
              <w:right w:w="0" w:type="dxa"/>
            </w:tcMar>
          </w:tcPr>
          <w:p>
            <w:pPr>
              <w:pStyle w:val="Normal"/>
              <w:jc w:val="center"/>
              <w:rPr/>
            </w:pPr>
            <w:r>
              <w:rPr/>
              <w:t>25</w:t>
            </w:r>
          </w:p>
        </w:tc>
        <w:tc>
          <w:tcPr>
            <w:tcW w:w="616" w:type="dxa"/>
            <w:tcBorders>
              <w:left w:val="single" w:sz="8" w:space="0" w:color="000000"/>
            </w:tcBorders>
            <w:shd w:fill="FFFFFF" w:val="clear"/>
            <w:tcMar>
              <w:left w:w="0" w:type="dxa"/>
              <w:right w:w="0" w:type="dxa"/>
            </w:tcMar>
          </w:tcPr>
          <w:p>
            <w:pPr>
              <w:pStyle w:val="Normal"/>
              <w:jc w:val="center"/>
              <w:rPr/>
            </w:pPr>
            <w:r>
              <w:rPr/>
              <w:t>25</w:t>
            </w:r>
          </w:p>
        </w:tc>
        <w:tc>
          <w:tcPr>
            <w:tcW w:w="616" w:type="dxa"/>
            <w:tcBorders>
              <w:left w:val="single" w:sz="8" w:space="0" w:color="000000"/>
            </w:tcBorders>
            <w:shd w:fill="FFFFFF" w:val="clear"/>
            <w:tcMar>
              <w:left w:w="0" w:type="dxa"/>
              <w:right w:w="0" w:type="dxa"/>
            </w:tcMar>
          </w:tcPr>
          <w:p>
            <w:pPr>
              <w:pStyle w:val="Normal"/>
              <w:jc w:val="center"/>
              <w:rPr/>
            </w:pPr>
            <w:r>
              <w:rPr/>
              <w:t>30</w:t>
            </w:r>
          </w:p>
        </w:tc>
        <w:tc>
          <w:tcPr>
            <w:tcW w:w="616" w:type="dxa"/>
            <w:tcBorders>
              <w:left w:val="single" w:sz="8" w:space="0" w:color="000000"/>
            </w:tcBorders>
            <w:shd w:fill="FFFFFF" w:val="clear"/>
            <w:tcMar>
              <w:left w:w="0" w:type="dxa"/>
              <w:right w:w="0" w:type="dxa"/>
            </w:tcMar>
          </w:tcPr>
          <w:p>
            <w:pPr>
              <w:pStyle w:val="Normal"/>
              <w:jc w:val="center"/>
              <w:rPr/>
            </w:pPr>
            <w:r>
              <w:rPr/>
              <w:t>0</w:t>
            </w:r>
          </w:p>
        </w:tc>
        <w:tc>
          <w:tcPr>
            <w:tcW w:w="63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w:t>
            </w:r>
          </w:p>
        </w:tc>
      </w:tr>
      <w:tr>
        <w:trPr/>
        <w:tc>
          <w:tcPr>
            <w:tcW w:w="4415" w:type="dxa"/>
            <w:tcBorders>
              <w:left w:val="single" w:sz="8" w:space="0" w:color="000000"/>
              <w:bottom w:val="single" w:sz="8" w:space="0" w:color="000000"/>
              <w:insideH w:val="single" w:sz="8" w:space="0" w:color="000000"/>
            </w:tcBorders>
            <w:shd w:fill="FFFFFF" w:val="clear"/>
          </w:tcPr>
          <w:p>
            <w:pPr>
              <w:pStyle w:val="Normal"/>
              <w:jc w:val="both"/>
              <w:rPr/>
            </w:pPr>
            <w:r>
              <w:rPr/>
              <w:t>трубопроводов сжиженных углеводородных газов</w:t>
            </w:r>
          </w:p>
        </w:tc>
        <w:tc>
          <w:tcPr>
            <w:tcW w:w="4940" w:type="dxa"/>
            <w:gridSpan w:val="8"/>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Не менее 1000 м</w:t>
            </w:r>
          </w:p>
        </w:tc>
      </w:tr>
      <w:tr>
        <w:trPr/>
        <w:tc>
          <w:tcPr>
            <w:tcW w:w="4415" w:type="dxa"/>
            <w:tcBorders>
              <w:left w:val="single" w:sz="8" w:space="0" w:color="000000"/>
              <w:bottom w:val="single" w:sz="8" w:space="0" w:color="000000"/>
              <w:insideH w:val="single" w:sz="8" w:space="0" w:color="000000"/>
            </w:tcBorders>
            <w:shd w:fill="FFFFFF" w:val="clear"/>
          </w:tcPr>
          <w:p>
            <w:pPr>
              <w:pStyle w:val="Normal"/>
              <w:jc w:val="both"/>
              <w:rPr/>
            </w:pPr>
            <w:r>
              <w:rPr/>
              <w:t>2) при сближении и параллельном следовании в стесненных условиях и при пересечении от заземлителя или подземной части (фундаментов) опоры до любой части трубопроводов, указанных в п. 1</w:t>
            </w:r>
          </w:p>
        </w:tc>
        <w:tc>
          <w:tcPr>
            <w:tcW w:w="6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4415" w:type="dxa"/>
            <w:tcBorders>
              <w:left w:val="single" w:sz="8" w:space="0" w:color="000000"/>
            </w:tcBorders>
            <w:shd w:fill="FFFFFF" w:val="clear"/>
          </w:tcPr>
          <w:p>
            <w:pPr>
              <w:pStyle w:val="Normal"/>
              <w:jc w:val="both"/>
              <w:rPr/>
            </w:pPr>
            <w:r>
              <w:rPr/>
              <w:t>3) при пересечении, сближении и параллельном следовании от заземлителя или подземной части (фундаментов) опоры:</w:t>
            </w:r>
          </w:p>
        </w:tc>
        <w:tc>
          <w:tcPr>
            <w:tcW w:w="4940" w:type="dxa"/>
            <w:gridSpan w:val="8"/>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4415" w:type="dxa"/>
            <w:tcBorders>
              <w:left w:val="single" w:sz="8" w:space="0" w:color="000000"/>
            </w:tcBorders>
            <w:shd w:fill="FFFFFF" w:val="clear"/>
          </w:tcPr>
          <w:p>
            <w:pPr>
              <w:pStyle w:val="Normal"/>
              <w:jc w:val="both"/>
              <w:rPr/>
            </w:pPr>
            <w:r>
              <w:rPr/>
              <w:t>до немагистральных нефтепроводов, нефтепродуктопроводов, трубопроводов сжиженных углеводородных газов и аммиакопроводов и до газопроводов с давлением газа 1,2 МПа и менее</w:t>
            </w:r>
          </w:p>
        </w:tc>
        <w:tc>
          <w:tcPr>
            <w:tcW w:w="614" w:type="dxa"/>
            <w:tcBorders>
              <w:left w:val="single" w:sz="8" w:space="0" w:color="000000"/>
            </w:tcBorders>
            <w:shd w:fill="FFFFFF" w:val="clear"/>
            <w:tcMar>
              <w:left w:w="0" w:type="dxa"/>
              <w:right w:w="0" w:type="dxa"/>
            </w:tcMar>
          </w:tcPr>
          <w:p>
            <w:pPr>
              <w:pStyle w:val="Normal"/>
              <w:jc w:val="center"/>
              <w:rPr/>
            </w:pPr>
            <w:r>
              <w:rPr/>
              <w:t>5</w:t>
            </w:r>
          </w:p>
        </w:tc>
        <w:tc>
          <w:tcPr>
            <w:tcW w:w="616" w:type="dxa"/>
            <w:tcBorders>
              <w:left w:val="single" w:sz="8" w:space="0" w:color="000000"/>
            </w:tcBorders>
            <w:shd w:fill="FFFFFF" w:val="clear"/>
            <w:tcMar>
              <w:left w:w="0" w:type="dxa"/>
              <w:right w:w="0" w:type="dxa"/>
            </w:tcMar>
          </w:tcPr>
          <w:p>
            <w:pPr>
              <w:pStyle w:val="Normal"/>
              <w:jc w:val="center"/>
              <w:rPr/>
            </w:pPr>
            <w:r>
              <w:rPr/>
              <w:t>5</w:t>
            </w:r>
          </w:p>
        </w:tc>
        <w:tc>
          <w:tcPr>
            <w:tcW w:w="616" w:type="dxa"/>
            <w:tcBorders>
              <w:left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tcBorders>
            <w:shd w:fill="FFFFFF" w:val="clear"/>
            <w:tcMar>
              <w:left w:w="0" w:type="dxa"/>
              <w:right w:w="0" w:type="dxa"/>
            </w:tcMar>
          </w:tcPr>
          <w:p>
            <w:pPr>
              <w:pStyle w:val="Normal"/>
              <w:jc w:val="center"/>
              <w:rPr/>
            </w:pPr>
            <w:r>
              <w:rPr/>
              <w:t>10</w:t>
            </w:r>
          </w:p>
        </w:tc>
        <w:tc>
          <w:tcPr>
            <w:tcW w:w="616" w:type="dxa"/>
            <w:tcBorders>
              <w:left w:val="single" w:sz="8" w:space="0" w:color="000000"/>
            </w:tcBorders>
            <w:shd w:fill="FFFFFF" w:val="clear"/>
            <w:tcMar>
              <w:left w:w="0" w:type="dxa"/>
              <w:right w:w="0" w:type="dxa"/>
            </w:tcMar>
          </w:tcPr>
          <w:p>
            <w:pPr>
              <w:pStyle w:val="Normal"/>
              <w:jc w:val="center"/>
              <w:rPr/>
            </w:pPr>
            <w:r>
              <w:rPr/>
              <w:t>10</w:t>
            </w:r>
          </w:p>
        </w:tc>
        <w:tc>
          <w:tcPr>
            <w:tcW w:w="63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4415" w:type="dxa"/>
            <w:tcBorders>
              <w:left w:val="single" w:sz="8" w:space="0" w:color="000000"/>
              <w:bottom w:val="single" w:sz="8" w:space="0" w:color="000000"/>
              <w:insideH w:val="single" w:sz="8" w:space="0" w:color="000000"/>
            </w:tcBorders>
            <w:shd w:fill="FFFFFF" w:val="clear"/>
          </w:tcPr>
          <w:p>
            <w:pPr>
              <w:pStyle w:val="Normal"/>
              <w:jc w:val="both"/>
              <w:rPr/>
            </w:pPr>
            <w:r>
              <w:rPr/>
              <w:t>до водопровода, канализации (напорной и самотечной), водостоков, дренажей тепловых сетей</w:t>
            </w:r>
          </w:p>
        </w:tc>
        <w:tc>
          <w:tcPr>
            <w:tcW w:w="6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1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bl>
    <w:p>
      <w:pPr>
        <w:pStyle w:val="Normal"/>
        <w:spacing w:before="120" w:after="0"/>
        <w:ind w:firstLine="283"/>
        <w:jc w:val="both"/>
        <w:rPr/>
      </w:pPr>
      <w:r>
        <w:rPr/>
        <w:t>При этом следует предусматривать защиту фундаментов опор ВЛ от возможного их подмыва при повреждении указанных трубопроводов, а также защиту, предотвращающую вынос опасных потенциалов на металлические трубопроводы.</w:t>
      </w:r>
    </w:p>
    <w:p>
      <w:pPr>
        <w:pStyle w:val="Normal"/>
        <w:ind w:firstLine="283"/>
        <w:jc w:val="both"/>
        <w:rPr/>
      </w:pPr>
      <w:r>
        <w:rPr/>
        <w:t>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менее 1000 м.</w:t>
      </w:r>
    </w:p>
    <w:p>
      <w:pPr>
        <w:pStyle w:val="Normal"/>
        <w:ind w:firstLine="283"/>
        <w:jc w:val="both"/>
        <w:rPr/>
      </w:pPr>
      <w:r>
        <w:rPr/>
        <w:t>2.5.289. 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2.5.285 и по табл. 2.5.39 соответственно.</w:t>
      </w:r>
    </w:p>
    <w:p>
      <w:pPr>
        <w:pStyle w:val="Normal"/>
        <w:ind w:firstLine="283"/>
        <w:jc w:val="both"/>
        <w:rPr/>
      </w:pPr>
      <w:r>
        <w:rPr/>
        <w:t>2.5.290.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 1 табл. 2.5.40 должны иметь категорию:</w:t>
      </w:r>
    </w:p>
    <w:p>
      <w:pPr>
        <w:pStyle w:val="Normal"/>
        <w:ind w:firstLine="283"/>
        <w:jc w:val="both"/>
        <w:rPr/>
      </w:pPr>
      <w:r>
        <w:rPr/>
        <w:t>для газопроводов и ВЛ 500 кВ и выше - не менее II;</w:t>
      </w:r>
    </w:p>
    <w:p>
      <w:pPr>
        <w:pStyle w:val="Normal"/>
        <w:ind w:firstLine="283"/>
        <w:jc w:val="both"/>
        <w:rPr/>
      </w:pPr>
      <w:r>
        <w:rPr/>
        <w:t>для газопроводов и ВЛ 330 кВ и ниже - не менее III;</w:t>
      </w:r>
    </w:p>
    <w:p>
      <w:pPr>
        <w:pStyle w:val="Normal"/>
        <w:ind w:firstLine="283"/>
        <w:jc w:val="both"/>
        <w:rPr/>
      </w:pPr>
      <w:r>
        <w:rPr/>
        <w:t>для нефтепроводов и ВЛ выше 1 кВ - не менее III.</w:t>
      </w:r>
    </w:p>
    <w:p>
      <w:pPr>
        <w:pStyle w:val="Normal"/>
        <w:ind w:firstLine="283"/>
        <w:jc w:val="both"/>
        <w:rPr/>
      </w:pPr>
      <w:r>
        <w:rPr/>
        <w:t>Вновь сооружаемые подземные магистральные трубопроводы при пересечении с ВЛ в пределах охранной зоны ВЛ должны соответствовать строительным нормам и правилам.</w:t>
      </w:r>
    </w:p>
    <w:p>
      <w:pPr>
        <w:pStyle w:val="Normal"/>
        <w:ind w:firstLine="283"/>
        <w:jc w:val="both"/>
        <w:rPr/>
      </w:pPr>
      <w:r>
        <w:rPr/>
        <w:t>Вновь сооружаемые подземные магистральные трубопроводы, прокладываемые в районах Западной Сибири и Крайнего Севера, при пересечении с ВЛ на расстоянии 1000 м в обе стороны от пересечения должны быть не ниже II категории, а в пределах охранной зоны ВЛ 500 кВ и выше - I категории.</w:t>
      </w:r>
    </w:p>
    <w:p>
      <w:pPr>
        <w:pStyle w:val="Heading3"/>
        <w:rPr/>
      </w:pPr>
      <w:r>
        <w:rPr/>
        <w:t>СБЛИЖЕНИЕ ВЛ С АЭРОДРОМАМИ И ВЕРТОДРОМАМИ</w:t>
      </w:r>
    </w:p>
    <w:p>
      <w:pPr>
        <w:pStyle w:val="Normal"/>
        <w:ind w:firstLine="284"/>
        <w:jc w:val="both"/>
        <w:rPr/>
      </w:pPr>
      <w:r>
        <w:rPr/>
        <w:t>2.5.291. Размещение ВЛ в районах аэродромов, вертодромов и воздушных трасс производится в соответствии с требованиями строительных норм и правил на аэродромы и планировку и застройку городских и сельских поселений.</w:t>
      </w:r>
    </w:p>
    <w:p>
      <w:pPr>
        <w:pStyle w:val="Normal"/>
        <w:ind w:firstLine="284"/>
        <w:jc w:val="both"/>
        <w:rPr/>
      </w:pPr>
      <w:r>
        <w:rPr/>
        <w:t>2.5.292. В соответствии с Руководством по эксплуатации гражданских аэродромов Российской Федерации (РЭГА РФ)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100 м и более независимо от места их расположения должны иметь дневную маркировку (окраску) и светоограждение.</w:t>
      </w:r>
    </w:p>
    <w:p>
      <w:pPr>
        <w:pStyle w:val="Normal"/>
        <w:ind w:firstLine="284"/>
        <w:jc w:val="both"/>
        <w:rPr/>
      </w:pPr>
      <w:r>
        <w:rPr/>
        <w:t>Маркировку и светоограждение опор ВЛ должны выполнять предприятия и организации, которые их строят и эксплуатируют.</w:t>
      </w:r>
    </w:p>
    <w:p>
      <w:pPr>
        <w:pStyle w:val="Normal"/>
        <w:ind w:firstLine="284"/>
        <w:jc w:val="both"/>
        <w:rPr/>
      </w:pPr>
      <w:r>
        <w:rPr/>
        <w:t>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p>
      <w:pPr>
        <w:pStyle w:val="Normal"/>
        <w:ind w:firstLine="284"/>
        <w:jc w:val="both"/>
        <w:rPr/>
      </w:pPr>
      <w:r>
        <w:rPr/>
        <w:t>Выполнение дневной маркировки и светоограждения опор ВЛ производится в соответствии с РЭГА РФ. При этом следует соблюдать следующие условия:</w:t>
      </w:r>
    </w:p>
    <w:p>
      <w:pPr>
        <w:pStyle w:val="Normal"/>
        <w:ind w:firstLine="284"/>
        <w:jc w:val="both"/>
        <w:rPr/>
      </w:pPr>
      <w:r>
        <w:rPr/>
        <w:t>1) дневная маркировка должна иметь два маркировочных цвета: красный (оранжевый) и белый. Опоры высотой до 100 м маркируют от верхней точки на 1/3 высоты горизонтальными чередующимися по цвету полосами шириной 0,5 - 6 м.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p>
      <w:pPr>
        <w:pStyle w:val="Normal"/>
        <w:ind w:firstLine="284"/>
        <w:jc w:val="both"/>
        <w:rPr/>
      </w:pPr>
      <w:r>
        <w:rPr/>
        <w:t>Опоры высотой более 100 м маркируются от верха до основания чередующимися по цвету полосами шириной, определяемой РЭГА РФ, но не более 30 м;</w:t>
      </w:r>
    </w:p>
    <w:p>
      <w:pPr>
        <w:pStyle w:val="Normal"/>
        <w:ind w:firstLine="284"/>
        <w:jc w:val="both"/>
        <w:rPr/>
      </w:pPr>
      <w:r>
        <w:rPr/>
        <w:t>2) для светоограждения опор должны быть использованы заградительные огни, которые устанавливаются на самой верхней части (точке) и ниже через каждые 45 м.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45 м над средним уровнем высоты застройки;</w:t>
      </w:r>
    </w:p>
    <w:p>
      <w:pPr>
        <w:pStyle w:val="Normal"/>
        <w:ind w:firstLine="284"/>
        <w:jc w:val="both"/>
        <w:rPr/>
      </w:pPr>
      <w:r>
        <w:rPr/>
        <w:t>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p>
      <w:pPr>
        <w:pStyle w:val="Normal"/>
        <w:ind w:firstLine="284"/>
        <w:jc w:val="both"/>
        <w:rPr/>
      </w:pPr>
      <w:r>
        <w:rPr/>
        <w:t>4) заградительные огни должны быть установлены так, чтобы их можно было наблюдать со всех направлений в пределах от зенита до 5° ниже горизонта;</w:t>
      </w:r>
    </w:p>
    <w:p>
      <w:pPr>
        <w:pStyle w:val="Normal"/>
        <w:ind w:firstLine="284"/>
        <w:jc w:val="both"/>
        <w:rPr/>
      </w:pPr>
      <w:r>
        <w:rPr/>
        <w:t>5) заградительные огни должны быть постоянного излучения красного цвета с силой света во всех направлениях не менее 10 кд.</w:t>
      </w:r>
    </w:p>
    <w:p>
      <w:pPr>
        <w:pStyle w:val="Normal"/>
        <w:ind w:firstLine="284"/>
        <w:jc w:val="both"/>
        <w:rPr/>
      </w:pPr>
      <w:r>
        <w:rPr/>
        <w:t>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p>
      <w:pPr>
        <w:pStyle w:val="Normal"/>
        <w:ind w:firstLine="284"/>
        <w:jc w:val="both"/>
        <w:rPr/>
      </w:pPr>
      <w:r>
        <w:rPr/>
        <w:t>При установке на опоре нескольких проблесковых огней должна быть обеспечена одновременность проблесков;</w:t>
      </w:r>
    </w:p>
    <w:p>
      <w:pPr>
        <w:pStyle w:val="Normal"/>
        <w:ind w:firstLine="284"/>
        <w:jc w:val="both"/>
        <w:rPr/>
      </w:pPr>
      <w:r>
        <w:rPr/>
        <w:t>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pPr>
        <w:pStyle w:val="Normal"/>
        <w:ind w:firstLine="284"/>
        <w:jc w:val="both"/>
        <w:rPr/>
      </w:pPr>
      <w:r>
        <w:rPr/>
        <w:t>Линии должны быть обеспечены аварийным (резервным) питанием.</w:t>
      </w:r>
    </w:p>
    <w:p>
      <w:pPr>
        <w:pStyle w:val="Normal"/>
        <w:ind w:firstLine="284"/>
        <w:jc w:val="both"/>
        <w:rPr/>
      </w:pPr>
      <w:r>
        <w:rPr/>
        <w:t>Рекомендуется предусмотреть АВР;</w:t>
      </w:r>
    </w:p>
    <w:p>
      <w:pPr>
        <w:pStyle w:val="Normal"/>
        <w:ind w:firstLine="284"/>
        <w:jc w:val="both"/>
        <w:rPr/>
      </w:pPr>
      <w:r>
        <w:rPr/>
        <w:t>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p>
      <w:pPr>
        <w:pStyle w:val="Normal"/>
        <w:ind w:firstLine="284"/>
        <w:jc w:val="both"/>
        <w:rPr/>
      </w:pPr>
      <w:r>
        <w:rPr/>
        <w:t>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p>
      <w:pPr>
        <w:pStyle w:val="Normal"/>
        <w:ind w:firstLine="284"/>
        <w:jc w:val="both"/>
        <w:rPr/>
      </w:pPr>
      <w:r>
        <w:rPr/>
        <w:t>Для этих целей следует использовать площадки и лестницы, предусматриваемые на опорах ВЛ.</w:t>
      </w:r>
    </w:p>
    <w:p>
      <w:pPr>
        <w:pStyle w:val="Heading1"/>
        <w:jc w:val="right"/>
        <w:rPr/>
      </w:pPr>
      <w:r>
        <w:rPr/>
        <w:t>ПРИЛОЖЕНИЕ</w:t>
      </w:r>
    </w:p>
    <w:p>
      <w:pPr>
        <w:pStyle w:val="Normal"/>
        <w:spacing w:before="0" w:after="120"/>
        <w:jc w:val="right"/>
        <w:rPr>
          <w:b/>
          <w:b/>
          <w:bCs/>
          <w:i/>
          <w:i/>
          <w:iCs/>
        </w:rPr>
      </w:pPr>
      <w:r>
        <w:rPr>
          <w:b/>
          <w:bCs/>
          <w:i/>
          <w:iCs/>
        </w:rPr>
        <w:t>(ОБЯЗАТЕЛЬНОЕ)</w:t>
      </w:r>
    </w:p>
    <w:p>
      <w:pPr>
        <w:pStyle w:val="Normal"/>
        <w:spacing w:before="120" w:after="120"/>
        <w:jc w:val="center"/>
        <w:rPr>
          <w:b/>
          <w:b/>
          <w:bCs/>
        </w:rPr>
      </w:pPr>
      <w:r>
        <w:rPr>
          <w:b/>
          <w:bCs/>
        </w:rPr>
        <w:t>РАССТОЯНИЯ МЕЖДУ ПРОВОДАМИ И МЕЖДУ ПРОВОДАМИ И ТРОСАМИ ПО УСЛОВИЯМ ПЛЯСКИ</w:t>
      </w:r>
    </w:p>
    <w:p>
      <w:pPr>
        <w:pStyle w:val="Normal"/>
        <w:spacing w:before="0" w:after="120"/>
        <w:jc w:val="right"/>
        <w:rPr/>
      </w:pPr>
      <w:r>
        <w:rPr>
          <w:spacing w:val="40"/>
        </w:rPr>
        <w:t>Таблица</w:t>
      </w:r>
      <w:r>
        <w:rPr/>
        <w:t xml:space="preserve"> П1</w:t>
      </w:r>
    </w:p>
    <w:p>
      <w:pPr>
        <w:pStyle w:val="Normal"/>
        <w:spacing w:before="0" w:after="120"/>
        <w:jc w:val="center"/>
        <w:rPr>
          <w:b/>
          <w:b/>
          <w:bCs/>
        </w:rPr>
      </w:pPr>
      <w:r>
        <w:rPr>
          <w:b/>
          <w:bCs/>
        </w:rPr>
        <w:t>Наименьшее смешение проводов соседних ярусов по горизонтали на промежуточных опорах ВЛ 35 - 220 кВ в районах с умеренной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48"/>
        <w:gridCol w:w="808"/>
        <w:gridCol w:w="811"/>
        <w:gridCol w:w="809"/>
        <w:gridCol w:w="812"/>
        <w:gridCol w:w="809"/>
        <w:gridCol w:w="811"/>
        <w:gridCol w:w="812"/>
        <w:gridCol w:w="1015"/>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48"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87"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48"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808"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16</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101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30 и более</w:t>
            </w:r>
          </w:p>
        </w:tc>
      </w:tr>
      <w:tr>
        <w:trPr/>
        <w:tc>
          <w:tcPr>
            <w:tcW w:w="1320" w:type="dxa"/>
            <w:tcBorders>
              <w:left w:val="single" w:sz="8" w:space="0" w:color="000000"/>
            </w:tcBorders>
            <w:shd w:fill="FFFFFF" w:val="clear"/>
          </w:tcPr>
          <w:p>
            <w:pPr>
              <w:pStyle w:val="Normal"/>
              <w:jc w:val="center"/>
              <w:rPr/>
            </w:pPr>
            <w:r>
              <w:rPr/>
              <w:t>35</w:t>
            </w:r>
          </w:p>
        </w:tc>
        <w:tc>
          <w:tcPr>
            <w:tcW w:w="1348" w:type="dxa"/>
            <w:tcBorders>
              <w:left w:val="single" w:sz="8" w:space="0" w:color="000000"/>
            </w:tcBorders>
            <w:shd w:fill="FFFFFF" w:val="clear"/>
            <w:tcMar>
              <w:left w:w="0" w:type="dxa"/>
              <w:right w:w="0" w:type="dxa"/>
            </w:tcMar>
          </w:tcPr>
          <w:p>
            <w:pPr>
              <w:pStyle w:val="Normal"/>
              <w:jc w:val="center"/>
              <w:rPr/>
            </w:pPr>
            <w:r>
              <w:rPr/>
              <w:t>2,5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0,7</w:t>
            </w:r>
          </w:p>
        </w:tc>
        <w:tc>
          <w:tcPr>
            <w:tcW w:w="809" w:type="dxa"/>
            <w:tcBorders>
              <w:left w:val="single" w:sz="8" w:space="0" w:color="000000"/>
            </w:tcBorders>
            <w:shd w:fill="FFFFFF" w:val="clear"/>
            <w:tcMar>
              <w:left w:w="0" w:type="dxa"/>
              <w:right w:w="0" w:type="dxa"/>
            </w:tcMar>
          </w:tcPr>
          <w:p>
            <w:pPr>
              <w:pStyle w:val="Normal"/>
              <w:jc w:val="center"/>
              <w:rPr/>
            </w:pPr>
            <w:r>
              <w:rPr/>
              <w:t>10</w:t>
            </w:r>
          </w:p>
        </w:tc>
        <w:tc>
          <w:tcPr>
            <w:tcW w:w="812" w:type="dxa"/>
            <w:tcBorders>
              <w:left w:val="single" w:sz="8" w:space="0" w:color="000000"/>
            </w:tcBorders>
            <w:shd w:fill="FFFFFF" w:val="clear"/>
            <w:tcMar>
              <w:left w:w="0" w:type="dxa"/>
              <w:right w:w="0" w:type="dxa"/>
            </w:tcMar>
          </w:tcPr>
          <w:p>
            <w:pPr>
              <w:pStyle w:val="Normal"/>
              <w:jc w:val="center"/>
              <w:rPr/>
            </w:pPr>
            <w:r>
              <w:rPr/>
              <w:t>1,60</w:t>
            </w:r>
          </w:p>
        </w:tc>
        <w:tc>
          <w:tcPr>
            <w:tcW w:w="809" w:type="dxa"/>
            <w:tcBorders>
              <w:left w:val="single" w:sz="8" w:space="0" w:color="000000"/>
            </w:tcBorders>
            <w:shd w:fill="FFFFFF" w:val="clear"/>
            <w:tcMar>
              <w:left w:w="0" w:type="dxa"/>
              <w:right w:w="0" w:type="dxa"/>
            </w:tcMar>
          </w:tcPr>
          <w:p>
            <w:pPr>
              <w:pStyle w:val="Normal"/>
              <w:jc w:val="center"/>
              <w:rPr/>
            </w:pPr>
            <w:r>
              <w:rPr/>
              <w:t>2,3</w:t>
            </w:r>
          </w:p>
        </w:tc>
        <w:tc>
          <w:tcPr>
            <w:tcW w:w="811" w:type="dxa"/>
            <w:tcBorders>
              <w:left w:val="single" w:sz="8" w:space="0" w:color="000000"/>
            </w:tcBorders>
            <w:shd w:fill="FFFFFF" w:val="clear"/>
            <w:tcMar>
              <w:left w:w="0" w:type="dxa"/>
              <w:right w:w="0" w:type="dxa"/>
            </w:tcMar>
          </w:tcPr>
          <w:p>
            <w:pPr>
              <w:pStyle w:val="Normal"/>
              <w:jc w:val="center"/>
              <w:rPr/>
            </w:pPr>
            <w:r>
              <w:rPr/>
              <w:t>2,60</w:t>
            </w:r>
          </w:p>
        </w:tc>
        <w:tc>
          <w:tcPr>
            <w:tcW w:w="812" w:type="dxa"/>
            <w:tcBorders>
              <w:left w:val="single" w:sz="8" w:space="0" w:color="000000"/>
            </w:tcBorders>
            <w:shd w:fill="FFFFFF" w:val="clear"/>
            <w:tcMar>
              <w:left w:w="0" w:type="dxa"/>
              <w:right w:w="0" w:type="dxa"/>
            </w:tcMar>
          </w:tcPr>
          <w:p>
            <w:pPr>
              <w:pStyle w:val="Normal"/>
              <w:jc w:val="center"/>
              <w:rPr/>
            </w:pPr>
            <w:r>
              <w:rPr/>
              <w:t>3,30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3,0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snapToGrid w:val="false"/>
              <w:rPr/>
            </w:pPr>
            <w:r>
              <w:rPr/>
            </w:r>
          </w:p>
        </w:tc>
        <w:tc>
          <w:tcPr>
            <w:tcW w:w="809" w:type="dxa"/>
            <w:tcBorders>
              <w:left w:val="single" w:sz="8" w:space="0" w:color="000000"/>
            </w:tcBorders>
            <w:shd w:fill="FFFFFF" w:val="clear"/>
            <w:tcMar>
              <w:left w:w="0" w:type="dxa"/>
              <w:right w:w="0" w:type="dxa"/>
            </w:tcMar>
          </w:tcPr>
          <w:p>
            <w:pPr>
              <w:pStyle w:val="Normal"/>
              <w:jc w:val="center"/>
              <w:rPr/>
            </w:pPr>
            <w:r>
              <w:rPr/>
              <w:t>07</w:t>
            </w:r>
          </w:p>
        </w:tc>
        <w:tc>
          <w:tcPr>
            <w:tcW w:w="812" w:type="dxa"/>
            <w:tcBorders>
              <w:left w:val="single" w:sz="8" w:space="0" w:color="000000"/>
            </w:tcBorders>
            <w:shd w:fill="FFFFFF" w:val="clear"/>
            <w:tcMar>
              <w:left w:w="0" w:type="dxa"/>
              <w:right w:w="0" w:type="dxa"/>
            </w:tcMar>
          </w:tcPr>
          <w:p>
            <w:pPr>
              <w:pStyle w:val="Normal"/>
              <w:jc w:val="center"/>
              <w:rPr/>
            </w:pPr>
            <w:r>
              <w:rPr/>
              <w:t>1,30</w:t>
            </w:r>
          </w:p>
        </w:tc>
        <w:tc>
          <w:tcPr>
            <w:tcW w:w="809" w:type="dxa"/>
            <w:tcBorders>
              <w:left w:val="single" w:sz="8" w:space="0" w:color="000000"/>
            </w:tcBorders>
            <w:shd w:fill="FFFFFF" w:val="clear"/>
            <w:tcMar>
              <w:left w:w="0" w:type="dxa"/>
              <w:right w:w="0" w:type="dxa"/>
            </w:tcMar>
          </w:tcPr>
          <w:p>
            <w:pPr>
              <w:pStyle w:val="Normal"/>
              <w:jc w:val="center"/>
              <w:rPr/>
            </w:pPr>
            <w:r>
              <w:rPr/>
              <w:t>2,15</w:t>
            </w:r>
          </w:p>
        </w:tc>
        <w:tc>
          <w:tcPr>
            <w:tcW w:w="811" w:type="dxa"/>
            <w:tcBorders>
              <w:left w:val="single" w:sz="8" w:space="0" w:color="000000"/>
            </w:tcBorders>
            <w:shd w:fill="FFFFFF" w:val="clear"/>
            <w:tcMar>
              <w:left w:w="0" w:type="dxa"/>
              <w:right w:w="0" w:type="dxa"/>
            </w:tcMar>
          </w:tcPr>
          <w:p>
            <w:pPr>
              <w:pStyle w:val="Normal"/>
              <w:jc w:val="center"/>
              <w:rPr/>
            </w:pPr>
            <w:r>
              <w:rPr/>
              <w:t>2,55</w:t>
            </w:r>
          </w:p>
        </w:tc>
        <w:tc>
          <w:tcPr>
            <w:tcW w:w="812" w:type="dxa"/>
            <w:tcBorders>
              <w:left w:val="single" w:sz="8" w:space="0" w:color="000000"/>
            </w:tcBorders>
            <w:shd w:fill="FFFFFF" w:val="clear"/>
            <w:tcMar>
              <w:left w:w="0" w:type="dxa"/>
              <w:right w:w="0" w:type="dxa"/>
            </w:tcMar>
          </w:tcPr>
          <w:p>
            <w:pPr>
              <w:pStyle w:val="Normal"/>
              <w:jc w:val="center"/>
              <w:rPr/>
            </w:pPr>
            <w:r>
              <w:rPr/>
              <w:t>3,20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3,5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snapToGrid w:val="false"/>
              <w:rPr/>
            </w:pPr>
            <w:r>
              <w:rPr/>
            </w:r>
          </w:p>
        </w:tc>
        <w:tc>
          <w:tcPr>
            <w:tcW w:w="812" w:type="dxa"/>
            <w:tcBorders>
              <w:left w:val="single" w:sz="8" w:space="0" w:color="000000"/>
            </w:tcBorders>
            <w:shd w:fill="FFFFFF" w:val="clear"/>
            <w:tcMar>
              <w:left w:w="0" w:type="dxa"/>
              <w:right w:w="0" w:type="dxa"/>
            </w:tcMar>
          </w:tcPr>
          <w:p>
            <w:pPr>
              <w:pStyle w:val="Normal"/>
              <w:jc w:val="center"/>
              <w:rPr/>
            </w:pPr>
            <w:r>
              <w:rPr/>
              <w:t>1,00</w:t>
            </w:r>
          </w:p>
        </w:tc>
        <w:tc>
          <w:tcPr>
            <w:tcW w:w="809" w:type="dxa"/>
            <w:tcBorders>
              <w:left w:val="single" w:sz="8" w:space="0" w:color="000000"/>
            </w:tcBorders>
            <w:shd w:fill="FFFFFF" w:val="clear"/>
            <w:tcMar>
              <w:left w:w="0" w:type="dxa"/>
              <w:right w:w="0" w:type="dxa"/>
            </w:tcMar>
          </w:tcPr>
          <w:p>
            <w:pPr>
              <w:pStyle w:val="Normal"/>
              <w:jc w:val="center"/>
              <w:rPr/>
            </w:pPr>
            <w:r>
              <w:rPr/>
              <w:t>2,10</w:t>
            </w:r>
          </w:p>
        </w:tc>
        <w:tc>
          <w:tcPr>
            <w:tcW w:w="811" w:type="dxa"/>
            <w:tcBorders>
              <w:left w:val="single" w:sz="8" w:space="0" w:color="000000"/>
            </w:tcBorders>
            <w:shd w:fill="FFFFFF" w:val="clear"/>
            <w:tcMar>
              <w:left w:w="0" w:type="dxa"/>
              <w:right w:w="0" w:type="dxa"/>
            </w:tcMar>
          </w:tcPr>
          <w:p>
            <w:pPr>
              <w:pStyle w:val="Normal"/>
              <w:jc w:val="center"/>
              <w:rPr/>
            </w:pPr>
            <w:r>
              <w:rPr/>
              <w:t>2,50</w:t>
            </w:r>
          </w:p>
        </w:tc>
        <w:tc>
          <w:tcPr>
            <w:tcW w:w="812" w:type="dxa"/>
            <w:tcBorders>
              <w:left w:val="single" w:sz="8" w:space="0" w:color="000000"/>
            </w:tcBorders>
            <w:shd w:fill="FFFFFF" w:val="clear"/>
            <w:tcMar>
              <w:left w:w="0" w:type="dxa"/>
              <w:right w:w="0" w:type="dxa"/>
            </w:tcMar>
          </w:tcPr>
          <w:p>
            <w:pPr>
              <w:pStyle w:val="Normal"/>
              <w:jc w:val="center"/>
              <w:rPr/>
            </w:pPr>
            <w:r>
              <w:rPr/>
              <w:t>3,15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0,70</w:t>
            </w:r>
          </w:p>
        </w:tc>
        <w:tc>
          <w:tcPr>
            <w:tcW w:w="809" w:type="dxa"/>
            <w:tcBorders>
              <w:left w:val="single" w:sz="8" w:space="0" w:color="000000"/>
            </w:tcBorders>
            <w:shd w:fill="FFFFFF" w:val="clear"/>
            <w:tcMar>
              <w:left w:w="0" w:type="dxa"/>
              <w:right w:w="0" w:type="dxa"/>
            </w:tcMar>
          </w:tcPr>
          <w:p>
            <w:pPr>
              <w:pStyle w:val="Normal"/>
              <w:jc w:val="center"/>
              <w:rPr/>
            </w:pPr>
            <w:r>
              <w:rPr/>
              <w:t>2,00</w:t>
            </w:r>
          </w:p>
        </w:tc>
        <w:tc>
          <w:tcPr>
            <w:tcW w:w="811" w:type="dxa"/>
            <w:tcBorders>
              <w:left w:val="single" w:sz="8" w:space="0" w:color="000000"/>
            </w:tcBorders>
            <w:shd w:fill="FFFFFF" w:val="clear"/>
            <w:tcMar>
              <w:left w:w="0" w:type="dxa"/>
              <w:right w:w="0" w:type="dxa"/>
            </w:tcMar>
          </w:tcPr>
          <w:p>
            <w:pPr>
              <w:pStyle w:val="Normal"/>
              <w:jc w:val="center"/>
              <w:rPr/>
            </w:pPr>
            <w:r>
              <w:rPr/>
              <w:t>2,45</w:t>
            </w:r>
          </w:p>
        </w:tc>
        <w:tc>
          <w:tcPr>
            <w:tcW w:w="812" w:type="dxa"/>
            <w:tcBorders>
              <w:left w:val="single" w:sz="8" w:space="0" w:color="000000"/>
            </w:tcBorders>
            <w:shd w:fill="FFFFFF" w:val="clear"/>
            <w:tcMar>
              <w:left w:w="0" w:type="dxa"/>
              <w:right w:w="0" w:type="dxa"/>
            </w:tcMar>
          </w:tcPr>
          <w:p>
            <w:pPr>
              <w:pStyle w:val="Normal"/>
              <w:jc w:val="center"/>
              <w:rPr/>
            </w:pPr>
            <w:r>
              <w:rPr/>
              <w:t>3,10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1,80</w:t>
            </w:r>
          </w:p>
        </w:tc>
        <w:tc>
          <w:tcPr>
            <w:tcW w:w="811" w:type="dxa"/>
            <w:tcBorders>
              <w:left w:val="single" w:sz="8" w:space="0" w:color="000000"/>
            </w:tcBorders>
            <w:shd w:fill="FFFFFF" w:val="clear"/>
            <w:tcMar>
              <w:left w:w="0" w:type="dxa"/>
              <w:right w:w="0" w:type="dxa"/>
            </w:tcMar>
          </w:tcPr>
          <w:p>
            <w:pPr>
              <w:pStyle w:val="Normal"/>
              <w:jc w:val="center"/>
              <w:rPr/>
            </w:pPr>
            <w:r>
              <w:rPr/>
              <w:t>2,40</w:t>
            </w:r>
          </w:p>
        </w:tc>
        <w:tc>
          <w:tcPr>
            <w:tcW w:w="812" w:type="dxa"/>
            <w:tcBorders>
              <w:left w:val="single" w:sz="8" w:space="0" w:color="000000"/>
            </w:tcBorders>
            <w:shd w:fill="FFFFFF" w:val="clear"/>
            <w:tcMar>
              <w:left w:w="0" w:type="dxa"/>
              <w:right w:w="0" w:type="dxa"/>
            </w:tcMar>
          </w:tcPr>
          <w:p>
            <w:pPr>
              <w:pStyle w:val="Normal"/>
              <w:jc w:val="center"/>
              <w:rPr/>
            </w:pPr>
            <w:r>
              <w:rPr/>
              <w:t>3,10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1,60</w:t>
            </w:r>
          </w:p>
        </w:tc>
        <w:tc>
          <w:tcPr>
            <w:tcW w:w="811" w:type="dxa"/>
            <w:tcBorders>
              <w:left w:val="single" w:sz="8" w:space="0" w:color="000000"/>
            </w:tcBorders>
            <w:shd w:fill="FFFFFF" w:val="clear"/>
            <w:tcMar>
              <w:left w:w="0" w:type="dxa"/>
              <w:right w:w="0" w:type="dxa"/>
            </w:tcMar>
          </w:tcPr>
          <w:p>
            <w:pPr>
              <w:pStyle w:val="Normal"/>
              <w:jc w:val="center"/>
              <w:rPr/>
            </w:pPr>
            <w:r>
              <w:rPr/>
              <w:t>2,30</w:t>
            </w:r>
          </w:p>
        </w:tc>
        <w:tc>
          <w:tcPr>
            <w:tcW w:w="812" w:type="dxa"/>
            <w:tcBorders>
              <w:left w:val="single" w:sz="8" w:space="0" w:color="000000"/>
            </w:tcBorders>
            <w:shd w:fill="FFFFFF" w:val="clear"/>
            <w:tcMar>
              <w:left w:w="0" w:type="dxa"/>
              <w:right w:w="0" w:type="dxa"/>
            </w:tcMar>
          </w:tcPr>
          <w:p>
            <w:pPr>
              <w:pStyle w:val="Normal"/>
              <w:jc w:val="center"/>
              <w:rPr/>
            </w:pPr>
            <w:r>
              <w:rPr/>
              <w:t>3,05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1,00</w:t>
            </w:r>
          </w:p>
        </w:tc>
        <w:tc>
          <w:tcPr>
            <w:tcW w:w="811" w:type="dxa"/>
            <w:tcBorders>
              <w:left w:val="single" w:sz="8" w:space="0" w:color="000000"/>
            </w:tcBorders>
            <w:shd w:fill="FFFFFF" w:val="clear"/>
            <w:tcMar>
              <w:left w:w="0" w:type="dxa"/>
              <w:right w:w="0" w:type="dxa"/>
            </w:tcMar>
          </w:tcPr>
          <w:p>
            <w:pPr>
              <w:pStyle w:val="Normal"/>
              <w:jc w:val="center"/>
              <w:rPr/>
            </w:pPr>
            <w:r>
              <w:rPr/>
              <w:t>2,25</w:t>
            </w:r>
          </w:p>
        </w:tc>
        <w:tc>
          <w:tcPr>
            <w:tcW w:w="812" w:type="dxa"/>
            <w:tcBorders>
              <w:left w:val="single" w:sz="8" w:space="0" w:color="000000"/>
            </w:tcBorders>
            <w:shd w:fill="FFFFFF" w:val="clear"/>
            <w:tcMar>
              <w:left w:w="0" w:type="dxa"/>
              <w:right w:w="0" w:type="dxa"/>
            </w:tcMar>
          </w:tcPr>
          <w:p>
            <w:pPr>
              <w:pStyle w:val="Normal"/>
              <w:jc w:val="center"/>
              <w:rPr/>
            </w:pPr>
            <w:r>
              <w:rPr/>
              <w:t>3,05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0,70</w:t>
            </w:r>
          </w:p>
        </w:tc>
        <w:tc>
          <w:tcPr>
            <w:tcW w:w="811" w:type="dxa"/>
            <w:tcBorders>
              <w:left w:val="single" w:sz="8" w:space="0" w:color="000000"/>
            </w:tcBorders>
            <w:shd w:fill="FFFFFF" w:val="clear"/>
            <w:tcMar>
              <w:left w:w="0" w:type="dxa"/>
              <w:right w:w="0" w:type="dxa"/>
            </w:tcMar>
          </w:tcPr>
          <w:p>
            <w:pPr>
              <w:pStyle w:val="Normal"/>
              <w:jc w:val="center"/>
              <w:rPr/>
            </w:pPr>
            <w:r>
              <w:rPr/>
              <w:t>2,10</w:t>
            </w:r>
          </w:p>
        </w:tc>
        <w:tc>
          <w:tcPr>
            <w:tcW w:w="812" w:type="dxa"/>
            <w:tcBorders>
              <w:left w:val="single" w:sz="8" w:space="0" w:color="000000"/>
            </w:tcBorders>
            <w:shd w:fill="FFFFFF" w:val="clear"/>
            <w:tcMar>
              <w:left w:w="0" w:type="dxa"/>
              <w:right w:w="0" w:type="dxa"/>
            </w:tcMar>
          </w:tcPr>
          <w:p>
            <w:pPr>
              <w:pStyle w:val="Normal"/>
              <w:jc w:val="center"/>
              <w:rPr/>
            </w:pPr>
            <w:r>
              <w:rPr/>
              <w:t>3,00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1,90</w:t>
            </w:r>
          </w:p>
        </w:tc>
        <w:tc>
          <w:tcPr>
            <w:tcW w:w="812" w:type="dxa"/>
            <w:tcBorders>
              <w:left w:val="single" w:sz="8" w:space="0" w:color="000000"/>
            </w:tcBorders>
            <w:shd w:fill="FFFFFF" w:val="clear"/>
            <w:tcMar>
              <w:left w:w="0" w:type="dxa"/>
              <w:right w:w="0" w:type="dxa"/>
            </w:tcMar>
          </w:tcPr>
          <w:p>
            <w:pPr>
              <w:pStyle w:val="Normal"/>
              <w:jc w:val="center"/>
              <w:rPr/>
            </w:pPr>
            <w:r>
              <w:rPr/>
              <w:t>2,90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1,60</w:t>
            </w:r>
          </w:p>
        </w:tc>
        <w:tc>
          <w:tcPr>
            <w:tcW w:w="812" w:type="dxa"/>
            <w:tcBorders>
              <w:left w:val="single" w:sz="8" w:space="0" w:color="000000"/>
            </w:tcBorders>
            <w:shd w:fill="FFFFFF" w:val="clear"/>
            <w:tcMar>
              <w:left w:w="0" w:type="dxa"/>
              <w:right w:w="0" w:type="dxa"/>
            </w:tcMar>
          </w:tcPr>
          <w:p>
            <w:pPr>
              <w:pStyle w:val="Normal"/>
              <w:jc w:val="center"/>
              <w:rPr/>
            </w:pPr>
            <w:r>
              <w:rPr/>
              <w:t>2,60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80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2,45</w:t>
            </w:r>
          </w:p>
        </w:tc>
        <w:tc>
          <w:tcPr>
            <w:tcW w:w="101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3,30</w:t>
            </w:r>
          </w:p>
        </w:tc>
      </w:tr>
      <w:tr>
        <w:trPr/>
        <w:tc>
          <w:tcPr>
            <w:tcW w:w="1320" w:type="dxa"/>
            <w:tcBorders>
              <w:left w:val="single" w:sz="8" w:space="0" w:color="000000"/>
            </w:tcBorders>
            <w:shd w:fill="FFFFFF" w:val="clear"/>
          </w:tcPr>
          <w:p>
            <w:pPr>
              <w:pStyle w:val="Normal"/>
              <w:jc w:val="center"/>
              <w:rPr/>
            </w:pPr>
            <w:r>
              <w:rPr/>
              <w:t>110</w:t>
            </w:r>
          </w:p>
        </w:tc>
        <w:tc>
          <w:tcPr>
            <w:tcW w:w="1348" w:type="dxa"/>
            <w:tcBorders>
              <w:left w:val="single" w:sz="8" w:space="0" w:color="000000"/>
            </w:tcBorders>
            <w:shd w:fill="FFFFFF" w:val="clear"/>
            <w:tcMar>
              <w:left w:w="0" w:type="dxa"/>
              <w:right w:w="0" w:type="dxa"/>
            </w:tcMar>
          </w:tcPr>
          <w:p>
            <w:pPr>
              <w:pStyle w:val="Normal"/>
              <w:jc w:val="center"/>
              <w:rPr/>
            </w:pPr>
            <w:r>
              <w:rPr/>
              <w:t>3,0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1,15</w:t>
            </w:r>
          </w:p>
        </w:tc>
        <w:tc>
          <w:tcPr>
            <w:tcW w:w="812" w:type="dxa"/>
            <w:tcBorders>
              <w:left w:val="single" w:sz="8" w:space="0" w:color="000000"/>
            </w:tcBorders>
            <w:shd w:fill="FFFFFF" w:val="clear"/>
            <w:tcMar>
              <w:left w:w="0" w:type="dxa"/>
              <w:right w:w="0" w:type="dxa"/>
            </w:tcMar>
          </w:tcPr>
          <w:p>
            <w:pPr>
              <w:pStyle w:val="Normal"/>
              <w:jc w:val="center"/>
              <w:rPr/>
            </w:pPr>
            <w:r>
              <w:rPr/>
              <w:t>1,70</w:t>
            </w:r>
          </w:p>
        </w:tc>
        <w:tc>
          <w:tcPr>
            <w:tcW w:w="809" w:type="dxa"/>
            <w:tcBorders>
              <w:left w:val="single" w:sz="8" w:space="0" w:color="000000"/>
            </w:tcBorders>
            <w:shd w:fill="FFFFFF" w:val="clear"/>
            <w:tcMar>
              <w:left w:w="0" w:type="dxa"/>
              <w:right w:w="0" w:type="dxa"/>
            </w:tcMar>
          </w:tcPr>
          <w:p>
            <w:pPr>
              <w:pStyle w:val="Normal"/>
              <w:jc w:val="center"/>
              <w:rPr/>
            </w:pPr>
            <w:r>
              <w:rPr/>
              <w:t>2,40</w:t>
            </w:r>
          </w:p>
        </w:tc>
        <w:tc>
          <w:tcPr>
            <w:tcW w:w="811" w:type="dxa"/>
            <w:tcBorders>
              <w:left w:val="single" w:sz="8" w:space="0" w:color="000000"/>
            </w:tcBorders>
            <w:shd w:fill="FFFFFF" w:val="clear"/>
            <w:tcMar>
              <w:left w:w="0" w:type="dxa"/>
              <w:right w:w="0" w:type="dxa"/>
            </w:tcMar>
          </w:tcPr>
          <w:p>
            <w:pPr>
              <w:pStyle w:val="Normal"/>
              <w:jc w:val="center"/>
              <w:rPr/>
            </w:pPr>
            <w:r>
              <w:rPr/>
              <w:t>2,80</w:t>
            </w:r>
          </w:p>
        </w:tc>
        <w:tc>
          <w:tcPr>
            <w:tcW w:w="812" w:type="dxa"/>
            <w:tcBorders>
              <w:left w:val="single" w:sz="8" w:space="0" w:color="000000"/>
            </w:tcBorders>
            <w:shd w:fill="FFFFFF" w:val="clear"/>
            <w:tcMar>
              <w:left w:w="0" w:type="dxa"/>
              <w:right w:w="0" w:type="dxa"/>
            </w:tcMar>
          </w:tcPr>
          <w:p>
            <w:pPr>
              <w:pStyle w:val="Normal"/>
              <w:jc w:val="center"/>
              <w:rPr/>
            </w:pPr>
            <w:r>
              <w:rPr/>
              <w:t>3,50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3,5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1,50</w:t>
            </w:r>
          </w:p>
        </w:tc>
        <w:tc>
          <w:tcPr>
            <w:tcW w:w="809" w:type="dxa"/>
            <w:tcBorders>
              <w:left w:val="single" w:sz="8" w:space="0" w:color="000000"/>
            </w:tcBorders>
            <w:shd w:fill="FFFFFF" w:val="clear"/>
            <w:tcMar>
              <w:left w:w="0" w:type="dxa"/>
              <w:right w:w="0" w:type="dxa"/>
            </w:tcMar>
          </w:tcPr>
          <w:p>
            <w:pPr>
              <w:pStyle w:val="Normal"/>
              <w:jc w:val="center"/>
              <w:rPr/>
            </w:pPr>
            <w:r>
              <w:rPr/>
              <w:t>2,40</w:t>
            </w:r>
          </w:p>
        </w:tc>
        <w:tc>
          <w:tcPr>
            <w:tcW w:w="811" w:type="dxa"/>
            <w:tcBorders>
              <w:left w:val="single" w:sz="8" w:space="0" w:color="000000"/>
            </w:tcBorders>
            <w:shd w:fill="FFFFFF" w:val="clear"/>
            <w:tcMar>
              <w:left w:w="0" w:type="dxa"/>
              <w:right w:w="0" w:type="dxa"/>
            </w:tcMar>
          </w:tcPr>
          <w:p>
            <w:pPr>
              <w:pStyle w:val="Normal"/>
              <w:jc w:val="center"/>
              <w:rPr/>
            </w:pPr>
            <w:r>
              <w:rPr/>
              <w:t>2,70</w:t>
            </w:r>
          </w:p>
        </w:tc>
        <w:tc>
          <w:tcPr>
            <w:tcW w:w="812" w:type="dxa"/>
            <w:tcBorders>
              <w:left w:val="single" w:sz="8" w:space="0" w:color="000000"/>
            </w:tcBorders>
            <w:shd w:fill="FFFFFF" w:val="clear"/>
            <w:tcMar>
              <w:left w:w="0" w:type="dxa"/>
              <w:right w:w="0" w:type="dxa"/>
            </w:tcMar>
          </w:tcPr>
          <w:p>
            <w:pPr>
              <w:pStyle w:val="Normal"/>
              <w:jc w:val="center"/>
              <w:rPr/>
            </w:pPr>
            <w:r>
              <w:rPr/>
              <w:t>3,40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1,20</w:t>
            </w:r>
          </w:p>
        </w:tc>
        <w:tc>
          <w:tcPr>
            <w:tcW w:w="809" w:type="dxa"/>
            <w:tcBorders>
              <w:left w:val="single" w:sz="8" w:space="0" w:color="000000"/>
            </w:tcBorders>
            <w:shd w:fill="FFFFFF" w:val="clear"/>
            <w:tcMar>
              <w:left w:w="0" w:type="dxa"/>
              <w:right w:w="0" w:type="dxa"/>
            </w:tcMar>
          </w:tcPr>
          <w:p>
            <w:pPr>
              <w:pStyle w:val="Normal"/>
              <w:jc w:val="center"/>
              <w:rPr/>
            </w:pPr>
            <w:r>
              <w:rPr/>
              <w:t>2,20</w:t>
            </w:r>
          </w:p>
        </w:tc>
        <w:tc>
          <w:tcPr>
            <w:tcW w:w="811" w:type="dxa"/>
            <w:tcBorders>
              <w:left w:val="single" w:sz="8" w:space="0" w:color="000000"/>
            </w:tcBorders>
            <w:shd w:fill="FFFFFF" w:val="clear"/>
            <w:tcMar>
              <w:left w:w="0" w:type="dxa"/>
              <w:right w:w="0" w:type="dxa"/>
            </w:tcMar>
          </w:tcPr>
          <w:p>
            <w:pPr>
              <w:pStyle w:val="Normal"/>
              <w:jc w:val="center"/>
              <w:rPr/>
            </w:pPr>
            <w:r>
              <w:rPr/>
              <w:t>2,65</w:t>
            </w:r>
          </w:p>
        </w:tc>
        <w:tc>
          <w:tcPr>
            <w:tcW w:w="812" w:type="dxa"/>
            <w:tcBorders>
              <w:left w:val="single" w:sz="8" w:space="0" w:color="000000"/>
            </w:tcBorders>
            <w:shd w:fill="FFFFFF" w:val="clear"/>
            <w:tcMar>
              <w:left w:w="0" w:type="dxa"/>
              <w:right w:w="0" w:type="dxa"/>
            </w:tcMar>
          </w:tcPr>
          <w:p>
            <w:pPr>
              <w:pStyle w:val="Normal"/>
              <w:jc w:val="center"/>
              <w:rPr/>
            </w:pPr>
            <w:r>
              <w:rPr/>
              <w:t>3,40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2,00</w:t>
            </w:r>
          </w:p>
        </w:tc>
        <w:tc>
          <w:tcPr>
            <w:tcW w:w="811" w:type="dxa"/>
            <w:tcBorders>
              <w:left w:val="single" w:sz="8" w:space="0" w:color="000000"/>
            </w:tcBorders>
            <w:shd w:fill="FFFFFF" w:val="clear"/>
            <w:tcMar>
              <w:left w:w="0" w:type="dxa"/>
              <w:right w:w="0" w:type="dxa"/>
            </w:tcMar>
          </w:tcPr>
          <w:p>
            <w:pPr>
              <w:pStyle w:val="Normal"/>
              <w:jc w:val="center"/>
              <w:rPr/>
            </w:pPr>
            <w:r>
              <w:rPr/>
              <w:t>2,60</w:t>
            </w:r>
          </w:p>
        </w:tc>
        <w:tc>
          <w:tcPr>
            <w:tcW w:w="812" w:type="dxa"/>
            <w:tcBorders>
              <w:left w:val="single" w:sz="8" w:space="0" w:color="000000"/>
            </w:tcBorders>
            <w:shd w:fill="FFFFFF" w:val="clear"/>
            <w:tcMar>
              <w:left w:w="0" w:type="dxa"/>
              <w:right w:w="0" w:type="dxa"/>
            </w:tcMar>
          </w:tcPr>
          <w:p>
            <w:pPr>
              <w:pStyle w:val="Normal"/>
              <w:jc w:val="center"/>
              <w:rPr/>
            </w:pPr>
            <w:r>
              <w:rPr/>
              <w:t>3,35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1,80</w:t>
            </w:r>
          </w:p>
        </w:tc>
        <w:tc>
          <w:tcPr>
            <w:tcW w:w="811" w:type="dxa"/>
            <w:tcBorders>
              <w:left w:val="single" w:sz="8" w:space="0" w:color="000000"/>
            </w:tcBorders>
            <w:shd w:fill="FFFFFF" w:val="clear"/>
            <w:tcMar>
              <w:left w:w="0" w:type="dxa"/>
              <w:right w:w="0" w:type="dxa"/>
            </w:tcMar>
          </w:tcPr>
          <w:p>
            <w:pPr>
              <w:pStyle w:val="Normal"/>
              <w:jc w:val="center"/>
              <w:rPr/>
            </w:pPr>
            <w:r>
              <w:rPr/>
              <w:t>2,50</w:t>
            </w:r>
          </w:p>
        </w:tc>
        <w:tc>
          <w:tcPr>
            <w:tcW w:w="812" w:type="dxa"/>
            <w:tcBorders>
              <w:left w:val="single" w:sz="8" w:space="0" w:color="000000"/>
            </w:tcBorders>
            <w:shd w:fill="FFFFFF" w:val="clear"/>
            <w:tcMar>
              <w:left w:w="0" w:type="dxa"/>
              <w:right w:w="0" w:type="dxa"/>
            </w:tcMar>
          </w:tcPr>
          <w:p>
            <w:pPr>
              <w:pStyle w:val="Normal"/>
              <w:jc w:val="center"/>
              <w:rPr/>
            </w:pPr>
            <w:r>
              <w:rPr/>
              <w:t>3,25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1,50</w:t>
            </w:r>
          </w:p>
        </w:tc>
        <w:tc>
          <w:tcPr>
            <w:tcW w:w="811" w:type="dxa"/>
            <w:tcBorders>
              <w:left w:val="single" w:sz="8" w:space="0" w:color="000000"/>
            </w:tcBorders>
            <w:shd w:fill="FFFFFF" w:val="clear"/>
            <w:tcMar>
              <w:left w:w="0" w:type="dxa"/>
              <w:right w:w="0" w:type="dxa"/>
            </w:tcMar>
          </w:tcPr>
          <w:p>
            <w:pPr>
              <w:pStyle w:val="Normal"/>
              <w:jc w:val="center"/>
              <w:rPr/>
            </w:pPr>
            <w:r>
              <w:rPr/>
              <w:t>2,45</w:t>
            </w:r>
          </w:p>
        </w:tc>
        <w:tc>
          <w:tcPr>
            <w:tcW w:w="812" w:type="dxa"/>
            <w:tcBorders>
              <w:left w:val="single" w:sz="8" w:space="0" w:color="000000"/>
            </w:tcBorders>
            <w:shd w:fill="FFFFFF" w:val="clear"/>
            <w:tcMar>
              <w:left w:w="0" w:type="dxa"/>
              <w:right w:w="0" w:type="dxa"/>
            </w:tcMar>
          </w:tcPr>
          <w:p>
            <w:pPr>
              <w:pStyle w:val="Normal"/>
              <w:jc w:val="center"/>
              <w:rPr/>
            </w:pPr>
            <w:r>
              <w:rPr/>
              <w:t>3,30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1,20</w:t>
            </w:r>
          </w:p>
        </w:tc>
        <w:tc>
          <w:tcPr>
            <w:tcW w:w="811" w:type="dxa"/>
            <w:tcBorders>
              <w:left w:val="single" w:sz="8" w:space="0" w:color="000000"/>
            </w:tcBorders>
            <w:shd w:fill="FFFFFF" w:val="clear"/>
            <w:tcMar>
              <w:left w:w="0" w:type="dxa"/>
              <w:right w:w="0" w:type="dxa"/>
            </w:tcMar>
          </w:tcPr>
          <w:p>
            <w:pPr>
              <w:pStyle w:val="Normal"/>
              <w:jc w:val="center"/>
              <w:rPr/>
            </w:pPr>
            <w:r>
              <w:rPr/>
              <w:t>2,30</w:t>
            </w:r>
          </w:p>
        </w:tc>
        <w:tc>
          <w:tcPr>
            <w:tcW w:w="812" w:type="dxa"/>
            <w:tcBorders>
              <w:left w:val="single" w:sz="8" w:space="0" w:color="000000"/>
            </w:tcBorders>
            <w:shd w:fill="FFFFFF" w:val="clear"/>
            <w:tcMar>
              <w:left w:w="0" w:type="dxa"/>
              <w:right w:w="0" w:type="dxa"/>
            </w:tcMar>
          </w:tcPr>
          <w:p>
            <w:pPr>
              <w:pStyle w:val="Normal"/>
              <w:jc w:val="center"/>
              <w:rPr/>
            </w:pPr>
            <w:r>
              <w:rPr/>
              <w:t>3,20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2,10</w:t>
            </w:r>
          </w:p>
        </w:tc>
        <w:tc>
          <w:tcPr>
            <w:tcW w:w="812" w:type="dxa"/>
            <w:tcBorders>
              <w:left w:val="single" w:sz="8" w:space="0" w:color="000000"/>
            </w:tcBorders>
            <w:shd w:fill="FFFFFF" w:val="clear"/>
            <w:tcMar>
              <w:left w:w="0" w:type="dxa"/>
              <w:right w:w="0" w:type="dxa"/>
            </w:tcMar>
          </w:tcPr>
          <w:p>
            <w:pPr>
              <w:pStyle w:val="Normal"/>
              <w:jc w:val="center"/>
              <w:rPr/>
            </w:pPr>
            <w:r>
              <w:rPr/>
              <w:t>3,05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2,00</w:t>
            </w:r>
          </w:p>
        </w:tc>
        <w:tc>
          <w:tcPr>
            <w:tcW w:w="812" w:type="dxa"/>
            <w:tcBorders>
              <w:left w:val="single" w:sz="8" w:space="0" w:color="000000"/>
            </w:tcBorders>
            <w:shd w:fill="FFFFFF" w:val="clear"/>
            <w:tcMar>
              <w:left w:w="0" w:type="dxa"/>
              <w:right w:w="0" w:type="dxa"/>
            </w:tcMar>
          </w:tcPr>
          <w:p>
            <w:pPr>
              <w:pStyle w:val="Normal"/>
              <w:jc w:val="center"/>
              <w:rPr/>
            </w:pPr>
            <w:r>
              <w:rPr/>
              <w:t>2,90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1,60</w:t>
            </w:r>
          </w:p>
        </w:tc>
        <w:tc>
          <w:tcPr>
            <w:tcW w:w="812" w:type="dxa"/>
            <w:tcBorders>
              <w:left w:val="single" w:sz="8" w:space="0" w:color="000000"/>
            </w:tcBorders>
            <w:shd w:fill="FFFFFF" w:val="clear"/>
            <w:tcMar>
              <w:left w:w="0" w:type="dxa"/>
              <w:right w:w="0" w:type="dxa"/>
            </w:tcMar>
          </w:tcPr>
          <w:p>
            <w:pPr>
              <w:pStyle w:val="Normal"/>
              <w:jc w:val="center"/>
              <w:rPr/>
            </w:pPr>
            <w:r>
              <w:rPr/>
              <w:t>2,75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80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2,60</w:t>
            </w:r>
          </w:p>
        </w:tc>
        <w:tc>
          <w:tcPr>
            <w:tcW w:w="101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3,50</w:t>
            </w:r>
          </w:p>
        </w:tc>
      </w:tr>
      <w:tr>
        <w:trPr/>
        <w:tc>
          <w:tcPr>
            <w:tcW w:w="1320" w:type="dxa"/>
            <w:tcBorders>
              <w:left w:val="single" w:sz="8" w:space="0" w:color="000000"/>
            </w:tcBorders>
            <w:shd w:fill="FFFFFF" w:val="clear"/>
          </w:tcPr>
          <w:p>
            <w:pPr>
              <w:pStyle w:val="Normal"/>
              <w:jc w:val="center"/>
              <w:rPr/>
            </w:pPr>
            <w:r>
              <w:rPr/>
              <w:t>150</w:t>
            </w:r>
          </w:p>
        </w:tc>
        <w:tc>
          <w:tcPr>
            <w:tcW w:w="1348" w:type="dxa"/>
            <w:tcBorders>
              <w:left w:val="single" w:sz="8" w:space="0" w:color="000000"/>
            </w:tcBorders>
            <w:shd w:fill="FFFFFF" w:val="clear"/>
            <w:tcMar>
              <w:left w:w="0" w:type="dxa"/>
              <w:right w:w="0" w:type="dxa"/>
            </w:tcMar>
          </w:tcPr>
          <w:p>
            <w:pPr>
              <w:pStyle w:val="Normal"/>
              <w:jc w:val="center"/>
              <w:rPr/>
            </w:pPr>
            <w:r>
              <w:rPr/>
              <w:t>3,5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0,65</w:t>
            </w:r>
          </w:p>
        </w:tc>
        <w:tc>
          <w:tcPr>
            <w:tcW w:w="812" w:type="dxa"/>
            <w:tcBorders>
              <w:left w:val="single" w:sz="8" w:space="0" w:color="000000"/>
            </w:tcBorders>
            <w:shd w:fill="FFFFFF" w:val="clear"/>
            <w:tcMar>
              <w:left w:w="0" w:type="dxa"/>
              <w:right w:w="0" w:type="dxa"/>
            </w:tcMar>
          </w:tcPr>
          <w:p>
            <w:pPr>
              <w:pStyle w:val="Normal"/>
              <w:jc w:val="center"/>
              <w:rPr/>
            </w:pPr>
            <w:r>
              <w:rPr/>
              <w:t>1,50</w:t>
            </w:r>
          </w:p>
        </w:tc>
        <w:tc>
          <w:tcPr>
            <w:tcW w:w="809" w:type="dxa"/>
            <w:tcBorders>
              <w:left w:val="single" w:sz="8" w:space="0" w:color="000000"/>
            </w:tcBorders>
            <w:shd w:fill="FFFFFF" w:val="clear"/>
            <w:tcMar>
              <w:left w:w="0" w:type="dxa"/>
              <w:right w:w="0" w:type="dxa"/>
            </w:tcMar>
          </w:tcPr>
          <w:p>
            <w:pPr>
              <w:pStyle w:val="Normal"/>
              <w:jc w:val="center"/>
              <w:rPr/>
            </w:pPr>
            <w:r>
              <w:rPr/>
              <w:t>2,50</w:t>
            </w:r>
          </w:p>
        </w:tc>
        <w:tc>
          <w:tcPr>
            <w:tcW w:w="811" w:type="dxa"/>
            <w:tcBorders>
              <w:left w:val="single" w:sz="8" w:space="0" w:color="000000"/>
            </w:tcBorders>
            <w:shd w:fill="FFFFFF" w:val="clear"/>
            <w:tcMar>
              <w:left w:w="0" w:type="dxa"/>
              <w:right w:w="0" w:type="dxa"/>
            </w:tcMar>
          </w:tcPr>
          <w:p>
            <w:pPr>
              <w:pStyle w:val="Normal"/>
              <w:jc w:val="center"/>
              <w:rPr/>
            </w:pPr>
            <w:r>
              <w:rPr/>
              <w:t>2,85</w:t>
            </w:r>
          </w:p>
        </w:tc>
        <w:tc>
          <w:tcPr>
            <w:tcW w:w="812" w:type="dxa"/>
            <w:tcBorders>
              <w:left w:val="single" w:sz="8" w:space="0" w:color="000000"/>
            </w:tcBorders>
            <w:shd w:fill="FFFFFF" w:val="clear"/>
            <w:tcMar>
              <w:left w:w="0" w:type="dxa"/>
              <w:right w:w="0" w:type="dxa"/>
            </w:tcMar>
          </w:tcPr>
          <w:p>
            <w:pPr>
              <w:pStyle w:val="Normal"/>
              <w:jc w:val="center"/>
              <w:rPr/>
            </w:pPr>
            <w:r>
              <w:rPr/>
              <w:t>3,60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1,50</w:t>
            </w:r>
          </w:p>
        </w:tc>
        <w:tc>
          <w:tcPr>
            <w:tcW w:w="809" w:type="dxa"/>
            <w:tcBorders>
              <w:left w:val="single" w:sz="8" w:space="0" w:color="000000"/>
            </w:tcBorders>
            <w:shd w:fill="FFFFFF" w:val="clear"/>
            <w:tcMar>
              <w:left w:w="0" w:type="dxa"/>
              <w:right w:w="0" w:type="dxa"/>
            </w:tcMar>
          </w:tcPr>
          <w:p>
            <w:pPr>
              <w:pStyle w:val="Normal"/>
              <w:jc w:val="center"/>
              <w:rPr/>
            </w:pPr>
            <w:r>
              <w:rPr/>
              <w:t>2,30</w:t>
            </w:r>
          </w:p>
        </w:tc>
        <w:tc>
          <w:tcPr>
            <w:tcW w:w="811" w:type="dxa"/>
            <w:tcBorders>
              <w:left w:val="single" w:sz="8" w:space="0" w:color="000000"/>
            </w:tcBorders>
            <w:shd w:fill="FFFFFF" w:val="clear"/>
            <w:tcMar>
              <w:left w:w="0" w:type="dxa"/>
              <w:right w:w="0" w:type="dxa"/>
            </w:tcMar>
          </w:tcPr>
          <w:p>
            <w:pPr>
              <w:pStyle w:val="Normal"/>
              <w:jc w:val="center"/>
              <w:rPr/>
            </w:pPr>
            <w:r>
              <w:rPr/>
              <w:t>2,80</w:t>
            </w:r>
          </w:p>
        </w:tc>
        <w:tc>
          <w:tcPr>
            <w:tcW w:w="812" w:type="dxa"/>
            <w:tcBorders>
              <w:left w:val="single" w:sz="8" w:space="0" w:color="000000"/>
            </w:tcBorders>
            <w:shd w:fill="FFFFFF" w:val="clear"/>
            <w:tcMar>
              <w:left w:w="0" w:type="dxa"/>
              <w:right w:w="0" w:type="dxa"/>
            </w:tcMar>
          </w:tcPr>
          <w:p>
            <w:pPr>
              <w:pStyle w:val="Normal"/>
              <w:jc w:val="center"/>
              <w:rPr/>
            </w:pPr>
            <w:r>
              <w:rPr/>
              <w:t>3,55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0,75</w:t>
            </w:r>
          </w:p>
        </w:tc>
        <w:tc>
          <w:tcPr>
            <w:tcW w:w="809" w:type="dxa"/>
            <w:tcBorders>
              <w:left w:val="single" w:sz="8" w:space="0" w:color="000000"/>
            </w:tcBorders>
            <w:shd w:fill="FFFFFF" w:val="clear"/>
            <w:tcMar>
              <w:left w:w="0" w:type="dxa"/>
              <w:right w:w="0" w:type="dxa"/>
            </w:tcMar>
          </w:tcPr>
          <w:p>
            <w:pPr>
              <w:pStyle w:val="Normal"/>
              <w:jc w:val="center"/>
              <w:rPr/>
            </w:pPr>
            <w:r>
              <w:rPr/>
              <w:t>2,20</w:t>
            </w:r>
          </w:p>
        </w:tc>
        <w:tc>
          <w:tcPr>
            <w:tcW w:w="811" w:type="dxa"/>
            <w:tcBorders>
              <w:left w:val="single" w:sz="8" w:space="0" w:color="000000"/>
            </w:tcBorders>
            <w:shd w:fill="FFFFFF" w:val="clear"/>
            <w:tcMar>
              <w:left w:w="0" w:type="dxa"/>
              <w:right w:w="0" w:type="dxa"/>
            </w:tcMar>
          </w:tcPr>
          <w:p>
            <w:pPr>
              <w:pStyle w:val="Normal"/>
              <w:jc w:val="center"/>
              <w:rPr/>
            </w:pPr>
            <w:r>
              <w:rPr/>
              <w:t>2,75</w:t>
            </w:r>
          </w:p>
        </w:tc>
        <w:tc>
          <w:tcPr>
            <w:tcW w:w="812" w:type="dxa"/>
            <w:tcBorders>
              <w:left w:val="single" w:sz="8" w:space="0" w:color="000000"/>
            </w:tcBorders>
            <w:shd w:fill="FFFFFF" w:val="clear"/>
            <w:tcMar>
              <w:left w:w="0" w:type="dxa"/>
              <w:right w:w="0" w:type="dxa"/>
            </w:tcMar>
          </w:tcPr>
          <w:p>
            <w:pPr>
              <w:pStyle w:val="Normal"/>
              <w:jc w:val="center"/>
              <w:rPr/>
            </w:pPr>
            <w:r>
              <w:rPr/>
              <w:t>3,50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2,00</w:t>
            </w:r>
          </w:p>
        </w:tc>
        <w:tc>
          <w:tcPr>
            <w:tcW w:w="811" w:type="dxa"/>
            <w:tcBorders>
              <w:left w:val="single" w:sz="8" w:space="0" w:color="000000"/>
            </w:tcBorders>
            <w:shd w:fill="FFFFFF" w:val="clear"/>
            <w:tcMar>
              <w:left w:w="0" w:type="dxa"/>
              <w:right w:w="0" w:type="dxa"/>
            </w:tcMar>
          </w:tcPr>
          <w:p>
            <w:pPr>
              <w:pStyle w:val="Normal"/>
              <w:jc w:val="center"/>
              <w:rPr/>
            </w:pPr>
            <w:r>
              <w:rPr/>
              <w:t>2,70</w:t>
            </w:r>
          </w:p>
        </w:tc>
        <w:tc>
          <w:tcPr>
            <w:tcW w:w="812" w:type="dxa"/>
            <w:tcBorders>
              <w:left w:val="single" w:sz="8" w:space="0" w:color="000000"/>
            </w:tcBorders>
            <w:shd w:fill="FFFFFF" w:val="clear"/>
            <w:tcMar>
              <w:left w:w="0" w:type="dxa"/>
              <w:right w:w="0" w:type="dxa"/>
            </w:tcMar>
          </w:tcPr>
          <w:p>
            <w:pPr>
              <w:pStyle w:val="Normal"/>
              <w:jc w:val="center"/>
              <w:rPr/>
            </w:pPr>
            <w:r>
              <w:rPr/>
              <w:t>3,50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1,60</w:t>
            </w:r>
          </w:p>
        </w:tc>
        <w:tc>
          <w:tcPr>
            <w:tcW w:w="811" w:type="dxa"/>
            <w:tcBorders>
              <w:left w:val="single" w:sz="8" w:space="0" w:color="000000"/>
            </w:tcBorders>
            <w:shd w:fill="FFFFFF" w:val="clear"/>
            <w:tcMar>
              <w:left w:w="0" w:type="dxa"/>
              <w:right w:w="0" w:type="dxa"/>
            </w:tcMar>
          </w:tcPr>
          <w:p>
            <w:pPr>
              <w:pStyle w:val="Normal"/>
              <w:jc w:val="center"/>
              <w:rPr/>
            </w:pPr>
            <w:r>
              <w:rPr/>
              <w:t>2,60</w:t>
            </w:r>
          </w:p>
        </w:tc>
        <w:tc>
          <w:tcPr>
            <w:tcW w:w="812" w:type="dxa"/>
            <w:tcBorders>
              <w:left w:val="single" w:sz="8" w:space="0" w:color="000000"/>
            </w:tcBorders>
            <w:shd w:fill="FFFFFF" w:val="clear"/>
            <w:tcMar>
              <w:left w:w="0" w:type="dxa"/>
              <w:right w:w="0" w:type="dxa"/>
            </w:tcMar>
          </w:tcPr>
          <w:p>
            <w:pPr>
              <w:pStyle w:val="Normal"/>
              <w:jc w:val="center"/>
              <w:rPr/>
            </w:pPr>
            <w:r>
              <w:rPr/>
              <w:t>3,45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1,50</w:t>
            </w:r>
          </w:p>
        </w:tc>
        <w:tc>
          <w:tcPr>
            <w:tcW w:w="811" w:type="dxa"/>
            <w:tcBorders>
              <w:left w:val="single" w:sz="8" w:space="0" w:color="000000"/>
            </w:tcBorders>
            <w:shd w:fill="FFFFFF" w:val="clear"/>
            <w:tcMar>
              <w:left w:w="0" w:type="dxa"/>
              <w:right w:w="0" w:type="dxa"/>
            </w:tcMar>
          </w:tcPr>
          <w:p>
            <w:pPr>
              <w:pStyle w:val="Normal"/>
              <w:jc w:val="center"/>
              <w:rPr/>
            </w:pPr>
            <w:r>
              <w:rPr/>
              <w:t>2,50</w:t>
            </w:r>
          </w:p>
        </w:tc>
        <w:tc>
          <w:tcPr>
            <w:tcW w:w="812" w:type="dxa"/>
            <w:tcBorders>
              <w:left w:val="single" w:sz="8" w:space="0" w:color="000000"/>
            </w:tcBorders>
            <w:shd w:fill="FFFFFF" w:val="clear"/>
            <w:tcMar>
              <w:left w:w="0" w:type="dxa"/>
              <w:right w:w="0" w:type="dxa"/>
            </w:tcMar>
          </w:tcPr>
          <w:p>
            <w:pPr>
              <w:pStyle w:val="Normal"/>
              <w:jc w:val="center"/>
              <w:rPr/>
            </w:pPr>
            <w:r>
              <w:rPr/>
              <w:t>3,40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0,95</w:t>
            </w:r>
          </w:p>
        </w:tc>
        <w:tc>
          <w:tcPr>
            <w:tcW w:w="811" w:type="dxa"/>
            <w:tcBorders>
              <w:left w:val="single" w:sz="8" w:space="0" w:color="000000"/>
            </w:tcBorders>
            <w:shd w:fill="FFFFFF" w:val="clear"/>
            <w:tcMar>
              <w:left w:w="0" w:type="dxa"/>
              <w:right w:w="0" w:type="dxa"/>
            </w:tcMar>
          </w:tcPr>
          <w:p>
            <w:pPr>
              <w:pStyle w:val="Normal"/>
              <w:jc w:val="center"/>
              <w:rPr/>
            </w:pPr>
            <w:r>
              <w:rPr/>
              <w:t>2,30</w:t>
            </w:r>
          </w:p>
        </w:tc>
        <w:tc>
          <w:tcPr>
            <w:tcW w:w="812" w:type="dxa"/>
            <w:tcBorders>
              <w:left w:val="single" w:sz="8" w:space="0" w:color="000000"/>
            </w:tcBorders>
            <w:shd w:fill="FFFFFF" w:val="clear"/>
            <w:tcMar>
              <w:left w:w="0" w:type="dxa"/>
              <w:right w:w="0" w:type="dxa"/>
            </w:tcMar>
          </w:tcPr>
          <w:p>
            <w:pPr>
              <w:pStyle w:val="Normal"/>
              <w:jc w:val="center"/>
              <w:rPr/>
            </w:pPr>
            <w:r>
              <w:rPr/>
              <w:t>3,30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2,10</w:t>
            </w:r>
          </w:p>
        </w:tc>
        <w:tc>
          <w:tcPr>
            <w:tcW w:w="812" w:type="dxa"/>
            <w:tcBorders>
              <w:left w:val="single" w:sz="8" w:space="0" w:color="000000"/>
            </w:tcBorders>
            <w:shd w:fill="FFFFFF" w:val="clear"/>
            <w:tcMar>
              <w:left w:w="0" w:type="dxa"/>
              <w:right w:w="0" w:type="dxa"/>
            </w:tcMar>
          </w:tcPr>
          <w:p>
            <w:pPr>
              <w:pStyle w:val="Normal"/>
              <w:jc w:val="center"/>
              <w:rPr/>
            </w:pPr>
            <w:r>
              <w:rPr/>
              <w:t>3,15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1,80</w:t>
            </w:r>
          </w:p>
        </w:tc>
        <w:tc>
          <w:tcPr>
            <w:tcW w:w="812" w:type="dxa"/>
            <w:tcBorders>
              <w:left w:val="single" w:sz="8" w:space="0" w:color="000000"/>
            </w:tcBorders>
            <w:shd w:fill="FFFFFF" w:val="clear"/>
            <w:tcMar>
              <w:left w:w="0" w:type="dxa"/>
              <w:right w:w="0" w:type="dxa"/>
            </w:tcMar>
          </w:tcPr>
          <w:p>
            <w:pPr>
              <w:pStyle w:val="Normal"/>
              <w:jc w:val="center"/>
              <w:rPr/>
            </w:pPr>
            <w:r>
              <w:rPr/>
              <w:t>3,00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8,0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1,45</w:t>
            </w:r>
          </w:p>
        </w:tc>
        <w:tc>
          <w:tcPr>
            <w:tcW w:w="812" w:type="dxa"/>
            <w:tcBorders>
              <w:left w:val="single" w:sz="8" w:space="0" w:color="000000"/>
            </w:tcBorders>
            <w:shd w:fill="FFFFFF" w:val="clear"/>
            <w:tcMar>
              <w:left w:w="0" w:type="dxa"/>
              <w:right w:w="0" w:type="dxa"/>
            </w:tcMar>
          </w:tcPr>
          <w:p>
            <w:pPr>
              <w:pStyle w:val="Normal"/>
              <w:jc w:val="center"/>
              <w:rPr/>
            </w:pPr>
            <w:r>
              <w:rPr/>
              <w:t>2,80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80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0,80</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2,60</w:t>
            </w:r>
          </w:p>
        </w:tc>
        <w:tc>
          <w:tcPr>
            <w:tcW w:w="101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3,65</w:t>
            </w:r>
          </w:p>
        </w:tc>
      </w:tr>
      <w:tr>
        <w:trPr/>
        <w:tc>
          <w:tcPr>
            <w:tcW w:w="1320" w:type="dxa"/>
            <w:tcBorders>
              <w:left w:val="single" w:sz="8" w:space="0" w:color="000000"/>
            </w:tcBorders>
            <w:shd w:fill="FFFFFF" w:val="clear"/>
          </w:tcPr>
          <w:p>
            <w:pPr>
              <w:pStyle w:val="Normal"/>
              <w:jc w:val="center"/>
              <w:rPr/>
            </w:pPr>
            <w:r>
              <w:rPr/>
              <w:t>220</w:t>
            </w:r>
          </w:p>
        </w:tc>
        <w:tc>
          <w:tcPr>
            <w:tcW w:w="1348" w:type="dxa"/>
            <w:tcBorders>
              <w:left w:val="single" w:sz="8" w:space="0" w:color="000000"/>
            </w:tcBorders>
            <w:shd w:fill="FFFFFF" w:val="clear"/>
            <w:tcMar>
              <w:left w:w="0" w:type="dxa"/>
              <w:right w:w="0" w:type="dxa"/>
            </w:tcMar>
          </w:tcPr>
          <w:p>
            <w:pPr>
              <w:pStyle w:val="Normal"/>
              <w:jc w:val="center"/>
              <w:rPr/>
            </w:pPr>
            <w:r>
              <w:rPr/>
              <w:t>4,0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1,45</w:t>
            </w:r>
          </w:p>
        </w:tc>
        <w:tc>
          <w:tcPr>
            <w:tcW w:w="809" w:type="dxa"/>
            <w:tcBorders>
              <w:left w:val="single" w:sz="8" w:space="0" w:color="000000"/>
            </w:tcBorders>
            <w:shd w:fill="FFFFFF" w:val="clear"/>
            <w:tcMar>
              <w:left w:w="0" w:type="dxa"/>
              <w:right w:w="0" w:type="dxa"/>
            </w:tcMar>
          </w:tcPr>
          <w:p>
            <w:pPr>
              <w:pStyle w:val="Normal"/>
              <w:jc w:val="center"/>
              <w:rPr/>
            </w:pPr>
            <w:r>
              <w:rPr/>
              <w:t>2,60</w:t>
            </w:r>
          </w:p>
        </w:tc>
        <w:tc>
          <w:tcPr>
            <w:tcW w:w="811" w:type="dxa"/>
            <w:tcBorders>
              <w:left w:val="single" w:sz="8" w:space="0" w:color="000000"/>
            </w:tcBorders>
            <w:shd w:fill="FFFFFF" w:val="clear"/>
            <w:tcMar>
              <w:left w:w="0" w:type="dxa"/>
              <w:right w:w="0" w:type="dxa"/>
            </w:tcMar>
          </w:tcPr>
          <w:p>
            <w:pPr>
              <w:pStyle w:val="Normal"/>
              <w:jc w:val="center"/>
              <w:rPr/>
            </w:pPr>
            <w:r>
              <w:rPr/>
              <w:t>3,05</w:t>
            </w:r>
          </w:p>
        </w:tc>
        <w:tc>
          <w:tcPr>
            <w:tcW w:w="812" w:type="dxa"/>
            <w:tcBorders>
              <w:left w:val="single" w:sz="8" w:space="0" w:color="000000"/>
            </w:tcBorders>
            <w:shd w:fill="FFFFFF" w:val="clear"/>
            <w:tcMar>
              <w:left w:w="0" w:type="dxa"/>
              <w:right w:w="0" w:type="dxa"/>
            </w:tcMar>
          </w:tcPr>
          <w:p>
            <w:pPr>
              <w:pStyle w:val="Normal"/>
              <w:jc w:val="center"/>
              <w:rPr/>
            </w:pPr>
            <w:r>
              <w:rPr/>
              <w:t>3,95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4,70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4,5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1,10</w:t>
            </w:r>
          </w:p>
        </w:tc>
        <w:tc>
          <w:tcPr>
            <w:tcW w:w="809" w:type="dxa"/>
            <w:tcBorders>
              <w:left w:val="single" w:sz="8" w:space="0" w:color="000000"/>
            </w:tcBorders>
            <w:shd w:fill="FFFFFF" w:val="clear"/>
            <w:tcMar>
              <w:left w:w="0" w:type="dxa"/>
              <w:right w:w="0" w:type="dxa"/>
            </w:tcMar>
          </w:tcPr>
          <w:p>
            <w:pPr>
              <w:pStyle w:val="Normal"/>
              <w:jc w:val="center"/>
              <w:rPr/>
            </w:pPr>
            <w:r>
              <w:rPr/>
              <w:t>2,45</w:t>
            </w:r>
          </w:p>
        </w:tc>
        <w:tc>
          <w:tcPr>
            <w:tcW w:w="811" w:type="dxa"/>
            <w:tcBorders>
              <w:left w:val="single" w:sz="8" w:space="0" w:color="000000"/>
            </w:tcBorders>
            <w:shd w:fill="FFFFFF" w:val="clear"/>
            <w:tcMar>
              <w:left w:w="0" w:type="dxa"/>
              <w:right w:w="0" w:type="dxa"/>
            </w:tcMar>
          </w:tcPr>
          <w:p>
            <w:pPr>
              <w:pStyle w:val="Normal"/>
              <w:jc w:val="center"/>
              <w:rPr/>
            </w:pPr>
            <w:r>
              <w:rPr/>
              <w:t>3,00</w:t>
            </w:r>
          </w:p>
        </w:tc>
        <w:tc>
          <w:tcPr>
            <w:tcW w:w="812" w:type="dxa"/>
            <w:tcBorders>
              <w:left w:val="single" w:sz="8" w:space="0" w:color="000000"/>
            </w:tcBorders>
            <w:shd w:fill="FFFFFF" w:val="clear"/>
            <w:tcMar>
              <w:left w:w="0" w:type="dxa"/>
              <w:right w:w="0" w:type="dxa"/>
            </w:tcMar>
          </w:tcPr>
          <w:p>
            <w:pPr>
              <w:pStyle w:val="Normal"/>
              <w:jc w:val="center"/>
              <w:rPr/>
            </w:pPr>
            <w:r>
              <w:rPr/>
              <w:t>3,90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4,65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2,30</w:t>
            </w:r>
          </w:p>
        </w:tc>
        <w:tc>
          <w:tcPr>
            <w:tcW w:w="811" w:type="dxa"/>
            <w:tcBorders>
              <w:left w:val="single" w:sz="8" w:space="0" w:color="000000"/>
            </w:tcBorders>
            <w:shd w:fill="FFFFFF" w:val="clear"/>
            <w:tcMar>
              <w:left w:w="0" w:type="dxa"/>
              <w:right w:w="0" w:type="dxa"/>
            </w:tcMar>
          </w:tcPr>
          <w:p>
            <w:pPr>
              <w:pStyle w:val="Normal"/>
              <w:jc w:val="center"/>
              <w:rPr/>
            </w:pPr>
            <w:r>
              <w:rPr/>
              <w:t>3,00</w:t>
            </w:r>
          </w:p>
        </w:tc>
        <w:tc>
          <w:tcPr>
            <w:tcW w:w="812" w:type="dxa"/>
            <w:tcBorders>
              <w:left w:val="single" w:sz="8" w:space="0" w:color="000000"/>
            </w:tcBorders>
            <w:shd w:fill="FFFFFF" w:val="clear"/>
            <w:tcMar>
              <w:left w:w="0" w:type="dxa"/>
              <w:right w:w="0" w:type="dxa"/>
            </w:tcMar>
          </w:tcPr>
          <w:p>
            <w:pPr>
              <w:pStyle w:val="Normal"/>
              <w:jc w:val="center"/>
              <w:rPr/>
            </w:pPr>
            <w:r>
              <w:rPr/>
              <w:t>3,85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4,60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5,5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2,00</w:t>
            </w:r>
          </w:p>
        </w:tc>
        <w:tc>
          <w:tcPr>
            <w:tcW w:w="811" w:type="dxa"/>
            <w:tcBorders>
              <w:left w:val="single" w:sz="8" w:space="0" w:color="000000"/>
            </w:tcBorders>
            <w:shd w:fill="FFFFFF" w:val="clear"/>
            <w:tcMar>
              <w:left w:w="0" w:type="dxa"/>
              <w:right w:w="0" w:type="dxa"/>
            </w:tcMar>
          </w:tcPr>
          <w:p>
            <w:pPr>
              <w:pStyle w:val="Normal"/>
              <w:jc w:val="center"/>
              <w:rPr/>
            </w:pPr>
            <w:r>
              <w:rPr/>
              <w:t>2,80</w:t>
            </w:r>
          </w:p>
        </w:tc>
        <w:tc>
          <w:tcPr>
            <w:tcW w:w="812" w:type="dxa"/>
            <w:tcBorders>
              <w:left w:val="single" w:sz="8" w:space="0" w:color="000000"/>
            </w:tcBorders>
            <w:shd w:fill="FFFFFF" w:val="clear"/>
            <w:tcMar>
              <w:left w:w="0" w:type="dxa"/>
              <w:right w:w="0" w:type="dxa"/>
            </w:tcMar>
          </w:tcPr>
          <w:p>
            <w:pPr>
              <w:pStyle w:val="Normal"/>
              <w:jc w:val="center"/>
              <w:rPr/>
            </w:pPr>
            <w:r>
              <w:rPr/>
              <w:t>3,65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2,00</w:t>
            </w:r>
          </w:p>
        </w:tc>
        <w:tc>
          <w:tcPr>
            <w:tcW w:w="811" w:type="dxa"/>
            <w:tcBorders>
              <w:left w:val="single" w:sz="8" w:space="0" w:color="000000"/>
            </w:tcBorders>
            <w:shd w:fill="FFFFFF" w:val="clear"/>
            <w:tcMar>
              <w:left w:w="0" w:type="dxa"/>
              <w:right w:w="0" w:type="dxa"/>
            </w:tcMar>
          </w:tcPr>
          <w:p>
            <w:pPr>
              <w:pStyle w:val="Normal"/>
              <w:jc w:val="center"/>
              <w:rPr/>
            </w:pPr>
            <w:r>
              <w:rPr/>
              <w:t>2,70</w:t>
            </w:r>
          </w:p>
        </w:tc>
        <w:tc>
          <w:tcPr>
            <w:tcW w:w="812" w:type="dxa"/>
            <w:tcBorders>
              <w:left w:val="single" w:sz="8" w:space="0" w:color="000000"/>
            </w:tcBorders>
            <w:shd w:fill="FFFFFF" w:val="clear"/>
            <w:tcMar>
              <w:left w:w="0" w:type="dxa"/>
              <w:right w:w="0" w:type="dxa"/>
            </w:tcMar>
          </w:tcPr>
          <w:p>
            <w:pPr>
              <w:pStyle w:val="Normal"/>
              <w:jc w:val="center"/>
              <w:rPr/>
            </w:pPr>
            <w:r>
              <w:rPr/>
              <w:t>3,55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4,35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6,5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1,75</w:t>
            </w:r>
          </w:p>
        </w:tc>
        <w:tc>
          <w:tcPr>
            <w:tcW w:w="811" w:type="dxa"/>
            <w:tcBorders>
              <w:left w:val="single" w:sz="8" w:space="0" w:color="000000"/>
            </w:tcBorders>
            <w:shd w:fill="FFFFFF" w:val="clear"/>
            <w:tcMar>
              <w:left w:w="0" w:type="dxa"/>
              <w:right w:w="0" w:type="dxa"/>
            </w:tcMar>
          </w:tcPr>
          <w:p>
            <w:pPr>
              <w:pStyle w:val="Normal"/>
              <w:jc w:val="center"/>
              <w:rPr/>
            </w:pPr>
            <w:r>
              <w:rPr/>
              <w:t>2,60</w:t>
            </w:r>
          </w:p>
        </w:tc>
        <w:tc>
          <w:tcPr>
            <w:tcW w:w="812" w:type="dxa"/>
            <w:tcBorders>
              <w:left w:val="single" w:sz="8" w:space="0" w:color="000000"/>
            </w:tcBorders>
            <w:shd w:fill="FFFFFF" w:val="clear"/>
            <w:tcMar>
              <w:left w:w="0" w:type="dxa"/>
              <w:right w:w="0" w:type="dxa"/>
            </w:tcMar>
          </w:tcPr>
          <w:p>
            <w:pPr>
              <w:pStyle w:val="Normal"/>
              <w:jc w:val="center"/>
              <w:rPr/>
            </w:pPr>
            <w:r>
              <w:rPr/>
              <w:t>3,55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4,35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2,35</w:t>
            </w:r>
          </w:p>
        </w:tc>
        <w:tc>
          <w:tcPr>
            <w:tcW w:w="812" w:type="dxa"/>
            <w:tcBorders>
              <w:left w:val="single" w:sz="8" w:space="0" w:color="000000"/>
            </w:tcBorders>
            <w:shd w:fill="FFFFFF" w:val="clear"/>
            <w:tcMar>
              <w:left w:w="0" w:type="dxa"/>
              <w:right w:w="0" w:type="dxa"/>
            </w:tcMar>
          </w:tcPr>
          <w:p>
            <w:pPr>
              <w:pStyle w:val="Normal"/>
              <w:jc w:val="center"/>
              <w:rPr/>
            </w:pPr>
            <w:r>
              <w:rPr/>
              <w:t>3,35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7,5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2,10</w:t>
            </w:r>
          </w:p>
        </w:tc>
        <w:tc>
          <w:tcPr>
            <w:tcW w:w="812" w:type="dxa"/>
            <w:tcBorders>
              <w:left w:val="single" w:sz="8" w:space="0" w:color="000000"/>
            </w:tcBorders>
            <w:shd w:fill="FFFFFF" w:val="clear"/>
            <w:tcMar>
              <w:left w:w="0" w:type="dxa"/>
              <w:right w:w="0" w:type="dxa"/>
            </w:tcMar>
          </w:tcPr>
          <w:p>
            <w:pPr>
              <w:pStyle w:val="Normal"/>
              <w:jc w:val="center"/>
              <w:rPr/>
            </w:pPr>
            <w:r>
              <w:rPr/>
              <w:t>3,25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8,0</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1,80</w:t>
            </w:r>
          </w:p>
        </w:tc>
        <w:tc>
          <w:tcPr>
            <w:tcW w:w="812" w:type="dxa"/>
            <w:tcBorders>
              <w:left w:val="single" w:sz="8" w:space="0" w:color="000000"/>
            </w:tcBorders>
            <w:shd w:fill="FFFFFF" w:val="clear"/>
            <w:tcMar>
              <w:left w:w="0" w:type="dxa"/>
              <w:right w:w="0" w:type="dxa"/>
            </w:tcMar>
          </w:tcPr>
          <w:p>
            <w:pPr>
              <w:pStyle w:val="Normal"/>
              <w:jc w:val="center"/>
              <w:rPr/>
            </w:pPr>
            <w:r>
              <w:rPr/>
              <w:t>3,10</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1320" w:type="dxa"/>
            <w:tcBorders>
              <w:left w:val="single" w:sz="8" w:space="0" w:color="000000"/>
            </w:tcBorders>
            <w:shd w:fill="FFFFFF" w:val="clear"/>
          </w:tcPr>
          <w:p>
            <w:pPr>
              <w:pStyle w:val="Normal"/>
              <w:snapToGrid w:val="false"/>
              <w:rPr/>
            </w:pPr>
            <w:r>
              <w:rPr/>
            </w:r>
          </w:p>
        </w:tc>
        <w:tc>
          <w:tcPr>
            <w:tcW w:w="1348" w:type="dxa"/>
            <w:tcBorders>
              <w:left w:val="single" w:sz="8" w:space="0" w:color="000000"/>
            </w:tcBorders>
            <w:shd w:fill="FFFFFF" w:val="clear"/>
            <w:tcMar>
              <w:left w:w="0" w:type="dxa"/>
              <w:right w:w="0" w:type="dxa"/>
            </w:tcMar>
          </w:tcPr>
          <w:p>
            <w:pPr>
              <w:pStyle w:val="Normal"/>
              <w:jc w:val="center"/>
              <w:rPr/>
            </w:pPr>
            <w:r>
              <w:rPr/>
              <w:t>8,5</w:t>
            </w:r>
          </w:p>
        </w:tc>
        <w:tc>
          <w:tcPr>
            <w:tcW w:w="808"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tcBorders>
            <w:shd w:fill="FFFFFF" w:val="clear"/>
            <w:tcMar>
              <w:left w:w="0" w:type="dxa"/>
              <w:right w:w="0" w:type="dxa"/>
            </w:tcMar>
          </w:tcPr>
          <w:p>
            <w:pPr>
              <w:pStyle w:val="Normal"/>
              <w:jc w:val="center"/>
              <w:rPr/>
            </w:pPr>
            <w:r>
              <w:rPr/>
              <w:t>1,40</w:t>
            </w:r>
          </w:p>
        </w:tc>
        <w:tc>
          <w:tcPr>
            <w:tcW w:w="812" w:type="dxa"/>
            <w:tcBorders>
              <w:left w:val="single" w:sz="8" w:space="0" w:color="000000"/>
            </w:tcBorders>
            <w:shd w:fill="FFFFFF" w:val="clear"/>
            <w:tcMar>
              <w:left w:w="0" w:type="dxa"/>
              <w:right w:w="0" w:type="dxa"/>
            </w:tcMar>
          </w:tcPr>
          <w:p>
            <w:pPr>
              <w:pStyle w:val="Normal"/>
              <w:jc w:val="center"/>
              <w:rPr/>
            </w:pPr>
            <w:r>
              <w:rPr/>
              <w:t>2,85</w:t>
            </w:r>
          </w:p>
        </w:tc>
        <w:tc>
          <w:tcPr>
            <w:tcW w:w="101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80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8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2,65</w:t>
            </w:r>
          </w:p>
        </w:tc>
        <w:tc>
          <w:tcPr>
            <w:tcW w:w="101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3,75</w:t>
            </w:r>
          </w:p>
        </w:tc>
      </w:tr>
    </w:tbl>
    <w:p>
      <w:pPr>
        <w:pStyle w:val="Normal"/>
        <w:spacing w:before="120" w:after="120"/>
        <w:jc w:val="right"/>
        <w:rPr/>
      </w:pPr>
      <w:r>
        <w:rPr>
          <w:spacing w:val="40"/>
        </w:rPr>
        <w:t>Таблица</w:t>
      </w:r>
      <w:r>
        <w:rPr/>
        <w:t xml:space="preserve"> П2</w:t>
      </w:r>
    </w:p>
    <w:p>
      <w:pPr>
        <w:pStyle w:val="Normal"/>
        <w:spacing w:before="0" w:after="120"/>
        <w:jc w:val="center"/>
        <w:rPr>
          <w:b/>
          <w:b/>
          <w:bCs/>
        </w:rPr>
      </w:pPr>
      <w:r>
        <w:rPr>
          <w:b/>
          <w:bCs/>
        </w:rPr>
        <w:t>Наименьшее смещение проводов соседних ярусов по горизонтали на промежуточных опорах ВЛ 330 кВ в районах с умеренной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43"/>
        <w:gridCol w:w="1110"/>
        <w:gridCol w:w="1112"/>
        <w:gridCol w:w="1112"/>
        <w:gridCol w:w="1112"/>
        <w:gridCol w:w="1113"/>
        <w:gridCol w:w="1133"/>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43"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92"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43"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110"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111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11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16 и более</w:t>
            </w:r>
          </w:p>
        </w:tc>
      </w:tr>
      <w:tr>
        <w:trPr/>
        <w:tc>
          <w:tcPr>
            <w:tcW w:w="1320" w:type="dxa"/>
            <w:tcBorders>
              <w:left w:val="single" w:sz="8" w:space="0" w:color="000000"/>
            </w:tcBorders>
            <w:shd w:fill="FFFFFF" w:val="clear"/>
          </w:tcPr>
          <w:p>
            <w:pPr>
              <w:pStyle w:val="Normal"/>
              <w:jc w:val="center"/>
              <w:rPr/>
            </w:pPr>
            <w:r>
              <w:rPr/>
              <w:t>330</w:t>
            </w:r>
          </w:p>
        </w:tc>
        <w:tc>
          <w:tcPr>
            <w:tcW w:w="1343" w:type="dxa"/>
            <w:tcBorders>
              <w:left w:val="single" w:sz="8" w:space="0" w:color="000000"/>
            </w:tcBorders>
            <w:shd w:fill="FFFFFF" w:val="clear"/>
            <w:tcMar>
              <w:left w:w="0" w:type="dxa"/>
              <w:right w:w="0" w:type="dxa"/>
            </w:tcMar>
          </w:tcPr>
          <w:p>
            <w:pPr>
              <w:pStyle w:val="Normal"/>
              <w:jc w:val="center"/>
              <w:rPr/>
            </w:pPr>
            <w:r>
              <w:rPr/>
              <w:t>5,0</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1,20</w:t>
            </w:r>
          </w:p>
        </w:tc>
        <w:tc>
          <w:tcPr>
            <w:tcW w:w="1112" w:type="dxa"/>
            <w:tcBorders>
              <w:left w:val="single" w:sz="8" w:space="0" w:color="000000"/>
            </w:tcBorders>
            <w:shd w:fill="FFFFFF" w:val="clear"/>
            <w:tcMar>
              <w:left w:w="0" w:type="dxa"/>
              <w:right w:w="0" w:type="dxa"/>
            </w:tcMar>
          </w:tcPr>
          <w:p>
            <w:pPr>
              <w:pStyle w:val="Normal"/>
              <w:jc w:val="center"/>
              <w:rPr/>
            </w:pPr>
            <w:r>
              <w:rPr/>
              <w:t>2,45</w:t>
            </w:r>
          </w:p>
        </w:tc>
        <w:tc>
          <w:tcPr>
            <w:tcW w:w="1112" w:type="dxa"/>
            <w:tcBorders>
              <w:left w:val="single" w:sz="8" w:space="0" w:color="000000"/>
            </w:tcBorders>
            <w:shd w:fill="FFFFFF" w:val="clear"/>
            <w:tcMar>
              <w:left w:w="0" w:type="dxa"/>
              <w:right w:w="0" w:type="dxa"/>
            </w:tcMar>
          </w:tcPr>
          <w:p>
            <w:pPr>
              <w:pStyle w:val="Normal"/>
              <w:jc w:val="center"/>
              <w:rPr/>
            </w:pPr>
            <w:r>
              <w:rPr/>
              <w:t>2,65</w:t>
            </w:r>
          </w:p>
        </w:tc>
        <w:tc>
          <w:tcPr>
            <w:tcW w:w="1113" w:type="dxa"/>
            <w:tcBorders>
              <w:left w:val="single" w:sz="8" w:space="0" w:color="000000"/>
            </w:tcBorders>
            <w:shd w:fill="FFFFFF" w:val="clear"/>
            <w:tcMar>
              <w:left w:w="0" w:type="dxa"/>
              <w:right w:w="0" w:type="dxa"/>
            </w:tcMar>
          </w:tcPr>
          <w:p>
            <w:pPr>
              <w:pStyle w:val="Normal"/>
              <w:jc w:val="center"/>
              <w:rPr/>
            </w:pPr>
            <w:r>
              <w:rPr/>
              <w:t>3,10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3,70</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5,5</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1,85</w:t>
            </w:r>
          </w:p>
        </w:tc>
        <w:tc>
          <w:tcPr>
            <w:tcW w:w="1112" w:type="dxa"/>
            <w:tcBorders>
              <w:left w:val="single" w:sz="8" w:space="0" w:color="000000"/>
            </w:tcBorders>
            <w:shd w:fill="FFFFFF" w:val="clear"/>
            <w:tcMar>
              <w:left w:w="0" w:type="dxa"/>
              <w:right w:w="0" w:type="dxa"/>
            </w:tcMar>
          </w:tcPr>
          <w:p>
            <w:pPr>
              <w:pStyle w:val="Normal"/>
              <w:jc w:val="center"/>
              <w:rPr/>
            </w:pPr>
            <w:r>
              <w:rPr/>
              <w:t>2,50</w:t>
            </w:r>
          </w:p>
        </w:tc>
        <w:tc>
          <w:tcPr>
            <w:tcW w:w="1113" w:type="dxa"/>
            <w:tcBorders>
              <w:left w:val="single" w:sz="8" w:space="0" w:color="000000"/>
            </w:tcBorders>
            <w:shd w:fill="FFFFFF" w:val="clear"/>
            <w:tcMar>
              <w:left w:w="0" w:type="dxa"/>
              <w:right w:w="0" w:type="dxa"/>
            </w:tcMar>
          </w:tcPr>
          <w:p>
            <w:pPr>
              <w:pStyle w:val="Normal"/>
              <w:jc w:val="center"/>
              <w:rPr/>
            </w:pPr>
            <w:r>
              <w:rPr/>
              <w:t>3,05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3,65</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6,0</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2,50</w:t>
            </w:r>
          </w:p>
        </w:tc>
        <w:tc>
          <w:tcPr>
            <w:tcW w:w="1113" w:type="dxa"/>
            <w:tcBorders>
              <w:left w:val="single" w:sz="8" w:space="0" w:color="000000"/>
            </w:tcBorders>
            <w:shd w:fill="FFFFFF" w:val="clear"/>
            <w:tcMar>
              <w:left w:w="0" w:type="dxa"/>
              <w:right w:w="0" w:type="dxa"/>
            </w:tcMar>
          </w:tcPr>
          <w:p>
            <w:pPr>
              <w:pStyle w:val="Normal"/>
              <w:jc w:val="center"/>
              <w:rPr/>
            </w:pPr>
            <w:r>
              <w:rPr/>
              <w:t>2,95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3,60</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6,5</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2,85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3,55</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7,0</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2,70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3,50</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7,5</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2,50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3,45</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8,0</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2,50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3,40</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8,5</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2,50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3,20</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9,0</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2,25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3,15</w:t>
            </w:r>
          </w:p>
        </w:tc>
      </w:tr>
      <w:tr>
        <w:trPr/>
        <w:tc>
          <w:tcPr>
            <w:tcW w:w="1320" w:type="dxa"/>
            <w:tcBorders>
              <w:left w:val="single" w:sz="8" w:space="0" w:color="000000"/>
            </w:tcBorders>
            <w:shd w:fill="FFFFFF" w:val="clear"/>
          </w:tcPr>
          <w:p>
            <w:pPr>
              <w:pStyle w:val="Normal"/>
              <w:snapToGrid w:val="false"/>
              <w:rPr/>
            </w:pPr>
            <w:r>
              <w:rPr/>
            </w:r>
          </w:p>
        </w:tc>
        <w:tc>
          <w:tcPr>
            <w:tcW w:w="1343" w:type="dxa"/>
            <w:tcBorders>
              <w:left w:val="single" w:sz="8" w:space="0" w:color="000000"/>
            </w:tcBorders>
            <w:shd w:fill="FFFFFF" w:val="clear"/>
            <w:tcMar>
              <w:left w:w="0" w:type="dxa"/>
              <w:right w:w="0" w:type="dxa"/>
            </w:tcMar>
          </w:tcPr>
          <w:p>
            <w:pPr>
              <w:pStyle w:val="Normal"/>
              <w:jc w:val="center"/>
              <w:rPr/>
            </w:pPr>
            <w:r>
              <w:rPr/>
              <w:t>9,5</w:t>
            </w:r>
          </w:p>
        </w:tc>
        <w:tc>
          <w:tcPr>
            <w:tcW w:w="1110"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1,95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1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11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2,90</w:t>
            </w:r>
          </w:p>
        </w:tc>
      </w:tr>
    </w:tbl>
    <w:p>
      <w:pPr>
        <w:pStyle w:val="Normal"/>
        <w:spacing w:before="120" w:after="120"/>
        <w:jc w:val="right"/>
        <w:rPr/>
      </w:pPr>
      <w:r>
        <w:rPr>
          <w:spacing w:val="40"/>
        </w:rPr>
        <w:t>Таблица</w:t>
      </w:r>
      <w:r>
        <w:rPr/>
        <w:t xml:space="preserve"> П3</w:t>
      </w:r>
    </w:p>
    <w:p>
      <w:pPr>
        <w:pStyle w:val="Normal"/>
        <w:spacing w:before="0" w:after="120"/>
        <w:jc w:val="center"/>
        <w:rPr>
          <w:b/>
          <w:b/>
          <w:bCs/>
        </w:rPr>
      </w:pPr>
      <w:r>
        <w:rPr>
          <w:b/>
          <w:bCs/>
        </w:rPr>
        <w:t>Наименьшее смещение проводов соседних ярусов по горизонтали на промежуточных опорах ВЛ 500 - 750 кВ в районах с умеренной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39"/>
        <w:gridCol w:w="1334"/>
        <w:gridCol w:w="1334"/>
        <w:gridCol w:w="1334"/>
        <w:gridCol w:w="1335"/>
        <w:gridCol w:w="1359"/>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39"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9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39"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33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12 и более</w:t>
            </w:r>
          </w:p>
        </w:tc>
      </w:tr>
      <w:tr>
        <w:trPr/>
        <w:tc>
          <w:tcPr>
            <w:tcW w:w="1320" w:type="dxa"/>
            <w:tcBorders>
              <w:left w:val="single" w:sz="8" w:space="0" w:color="000000"/>
            </w:tcBorders>
            <w:shd w:fill="FFFFFF" w:val="clear"/>
          </w:tcPr>
          <w:p>
            <w:pPr>
              <w:pStyle w:val="Normal"/>
              <w:jc w:val="center"/>
              <w:rPr/>
            </w:pPr>
            <w:r>
              <w:rPr/>
              <w:t>500</w:t>
            </w:r>
          </w:p>
        </w:tc>
        <w:tc>
          <w:tcPr>
            <w:tcW w:w="1339" w:type="dxa"/>
            <w:tcBorders>
              <w:left w:val="single" w:sz="8" w:space="0" w:color="000000"/>
            </w:tcBorders>
            <w:shd w:fill="FFFFFF" w:val="clear"/>
            <w:tcMar>
              <w:left w:w="0" w:type="dxa"/>
              <w:right w:w="0" w:type="dxa"/>
            </w:tcMar>
          </w:tcPr>
          <w:p>
            <w:pPr>
              <w:pStyle w:val="Normal"/>
              <w:jc w:val="center"/>
              <w:rPr/>
            </w:pPr>
            <w:r>
              <w:rPr/>
              <w:t>6,0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1,60</w:t>
            </w:r>
          </w:p>
        </w:tc>
        <w:tc>
          <w:tcPr>
            <w:tcW w:w="1334" w:type="dxa"/>
            <w:tcBorders>
              <w:left w:val="single" w:sz="8" w:space="0" w:color="000000"/>
            </w:tcBorders>
            <w:shd w:fill="FFFFFF" w:val="clear"/>
            <w:tcMar>
              <w:left w:w="0" w:type="dxa"/>
              <w:right w:w="0" w:type="dxa"/>
            </w:tcMar>
          </w:tcPr>
          <w:p>
            <w:pPr>
              <w:pStyle w:val="Normal"/>
              <w:jc w:val="center"/>
              <w:rPr/>
            </w:pPr>
            <w:r>
              <w:rPr/>
              <w:t>2,20</w:t>
            </w:r>
          </w:p>
        </w:tc>
        <w:tc>
          <w:tcPr>
            <w:tcW w:w="1335" w:type="dxa"/>
            <w:tcBorders>
              <w:left w:val="single" w:sz="8" w:space="0" w:color="000000"/>
            </w:tcBorders>
            <w:shd w:fill="FFFFFF" w:val="clear"/>
            <w:tcMar>
              <w:left w:w="0" w:type="dxa"/>
              <w:right w:w="0" w:type="dxa"/>
            </w:tcMar>
          </w:tcPr>
          <w:p>
            <w:pPr>
              <w:pStyle w:val="Normal"/>
              <w:jc w:val="center"/>
              <w:rPr/>
            </w:pPr>
            <w:r>
              <w:rPr/>
              <w:t>3,10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4,50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6,5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1,25</w:t>
            </w:r>
          </w:p>
        </w:tc>
        <w:tc>
          <w:tcPr>
            <w:tcW w:w="1334" w:type="dxa"/>
            <w:tcBorders>
              <w:left w:val="single" w:sz="8" w:space="0" w:color="000000"/>
            </w:tcBorders>
            <w:shd w:fill="FFFFFF" w:val="clear"/>
            <w:tcMar>
              <w:left w:w="0" w:type="dxa"/>
              <w:right w:w="0" w:type="dxa"/>
            </w:tcMar>
          </w:tcPr>
          <w:p>
            <w:pPr>
              <w:pStyle w:val="Normal"/>
              <w:jc w:val="center"/>
              <w:rPr/>
            </w:pPr>
            <w:r>
              <w:rPr/>
              <w:t>1,90</w:t>
            </w:r>
          </w:p>
        </w:tc>
        <w:tc>
          <w:tcPr>
            <w:tcW w:w="1335" w:type="dxa"/>
            <w:tcBorders>
              <w:left w:val="single" w:sz="8" w:space="0" w:color="000000"/>
            </w:tcBorders>
            <w:shd w:fill="FFFFFF" w:val="clear"/>
            <w:tcMar>
              <w:left w:w="0" w:type="dxa"/>
              <w:right w:w="0" w:type="dxa"/>
            </w:tcMar>
          </w:tcPr>
          <w:p>
            <w:pPr>
              <w:pStyle w:val="Normal"/>
              <w:jc w:val="center"/>
              <w:rPr/>
            </w:pPr>
            <w:r>
              <w:rPr/>
              <w:t>2,95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1,70</w:t>
            </w:r>
          </w:p>
        </w:tc>
        <w:tc>
          <w:tcPr>
            <w:tcW w:w="1335" w:type="dxa"/>
            <w:tcBorders>
              <w:left w:val="single" w:sz="8" w:space="0" w:color="000000"/>
            </w:tcBorders>
            <w:shd w:fill="FFFFFF" w:val="clear"/>
            <w:tcMar>
              <w:left w:w="0" w:type="dxa"/>
              <w:right w:w="0" w:type="dxa"/>
            </w:tcMar>
          </w:tcPr>
          <w:p>
            <w:pPr>
              <w:pStyle w:val="Normal"/>
              <w:jc w:val="center"/>
              <w:rPr/>
            </w:pPr>
            <w:r>
              <w:rPr/>
              <w:t>2,80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4,35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1,35</w:t>
            </w:r>
          </w:p>
        </w:tc>
        <w:tc>
          <w:tcPr>
            <w:tcW w:w="1335" w:type="dxa"/>
            <w:tcBorders>
              <w:left w:val="single" w:sz="8" w:space="0" w:color="000000"/>
            </w:tcBorders>
            <w:shd w:fill="FFFFFF" w:val="clear"/>
            <w:tcMar>
              <w:left w:w="0" w:type="dxa"/>
              <w:right w:w="0" w:type="dxa"/>
            </w:tcMar>
          </w:tcPr>
          <w:p>
            <w:pPr>
              <w:pStyle w:val="Normal"/>
              <w:jc w:val="center"/>
              <w:rPr/>
            </w:pPr>
            <w:r>
              <w:rPr/>
              <w:t>2,70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2,50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2,25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2,00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1,50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3,45</w:t>
            </w:r>
          </w:p>
        </w:tc>
      </w:tr>
      <w:tr>
        <w:trPr/>
        <w:tc>
          <w:tcPr>
            <w:tcW w:w="1320" w:type="dxa"/>
            <w:tcBorders>
              <w:left w:val="single" w:sz="8" w:space="0" w:color="000000"/>
            </w:tcBorders>
            <w:shd w:fill="FFFFFF" w:val="clear"/>
          </w:tcPr>
          <w:p>
            <w:pPr>
              <w:pStyle w:val="Normal"/>
              <w:jc w:val="center"/>
              <w:rPr/>
            </w:pPr>
            <w:r>
              <w:rPr/>
              <w:t>750</w:t>
            </w:r>
          </w:p>
        </w:tc>
        <w:tc>
          <w:tcPr>
            <w:tcW w:w="1339" w:type="dxa"/>
            <w:tcBorders>
              <w:left w:val="single" w:sz="8" w:space="0" w:color="000000"/>
            </w:tcBorders>
            <w:shd w:fill="FFFFFF" w:val="clear"/>
            <w:tcMar>
              <w:left w:w="0" w:type="dxa"/>
              <w:right w:w="0" w:type="dxa"/>
            </w:tcMar>
          </w:tcPr>
          <w:p>
            <w:pPr>
              <w:pStyle w:val="Normal"/>
              <w:jc w:val="center"/>
              <w:rPr/>
            </w:pPr>
            <w:r>
              <w:rPr/>
              <w:t>7,0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1,30</w:t>
            </w:r>
          </w:p>
        </w:tc>
        <w:tc>
          <w:tcPr>
            <w:tcW w:w="1334" w:type="dxa"/>
            <w:tcBorders>
              <w:left w:val="single" w:sz="8" w:space="0" w:color="000000"/>
            </w:tcBorders>
            <w:shd w:fill="FFFFFF" w:val="clear"/>
            <w:tcMar>
              <w:left w:w="0" w:type="dxa"/>
              <w:right w:w="0" w:type="dxa"/>
            </w:tcMar>
          </w:tcPr>
          <w:p>
            <w:pPr>
              <w:pStyle w:val="Normal"/>
              <w:jc w:val="center"/>
              <w:rPr/>
            </w:pPr>
            <w:r>
              <w:rPr/>
              <w:t>2,05</w:t>
            </w:r>
          </w:p>
        </w:tc>
        <w:tc>
          <w:tcPr>
            <w:tcW w:w="1335" w:type="dxa"/>
            <w:tcBorders>
              <w:left w:val="single" w:sz="8" w:space="0" w:color="000000"/>
            </w:tcBorders>
            <w:shd w:fill="FFFFFF" w:val="clear"/>
            <w:tcMar>
              <w:left w:w="0" w:type="dxa"/>
              <w:right w:w="0" w:type="dxa"/>
            </w:tcMar>
          </w:tcPr>
          <w:p>
            <w:pPr>
              <w:pStyle w:val="Normal"/>
              <w:jc w:val="center"/>
              <w:rPr/>
            </w:pPr>
            <w:r>
              <w:rPr/>
              <w:t>3,00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0,60</w:t>
            </w:r>
          </w:p>
        </w:tc>
        <w:tc>
          <w:tcPr>
            <w:tcW w:w="1334" w:type="dxa"/>
            <w:tcBorders>
              <w:left w:val="single" w:sz="8" w:space="0" w:color="000000"/>
            </w:tcBorders>
            <w:shd w:fill="FFFFFF" w:val="clear"/>
            <w:tcMar>
              <w:left w:w="0" w:type="dxa"/>
              <w:right w:w="0" w:type="dxa"/>
            </w:tcMar>
          </w:tcPr>
          <w:p>
            <w:pPr>
              <w:pStyle w:val="Normal"/>
              <w:jc w:val="center"/>
              <w:rPr/>
            </w:pPr>
            <w:r>
              <w:rPr/>
              <w:t>1,80</w:t>
            </w:r>
          </w:p>
        </w:tc>
        <w:tc>
          <w:tcPr>
            <w:tcW w:w="1335" w:type="dxa"/>
            <w:tcBorders>
              <w:left w:val="single" w:sz="8" w:space="0" w:color="000000"/>
            </w:tcBorders>
            <w:shd w:fill="FFFFFF" w:val="clear"/>
            <w:tcMar>
              <w:left w:w="0" w:type="dxa"/>
              <w:right w:w="0" w:type="dxa"/>
            </w:tcMar>
          </w:tcPr>
          <w:p>
            <w:pPr>
              <w:pStyle w:val="Normal"/>
              <w:jc w:val="center"/>
              <w:rPr/>
            </w:pPr>
            <w:r>
              <w:rPr/>
              <w:t>2,90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1,45</w:t>
            </w:r>
          </w:p>
        </w:tc>
        <w:tc>
          <w:tcPr>
            <w:tcW w:w="1335" w:type="dxa"/>
            <w:tcBorders>
              <w:left w:val="single" w:sz="8" w:space="0" w:color="000000"/>
            </w:tcBorders>
            <w:shd w:fill="FFFFFF" w:val="clear"/>
            <w:tcMar>
              <w:left w:w="0" w:type="dxa"/>
              <w:right w:w="0" w:type="dxa"/>
            </w:tcMar>
          </w:tcPr>
          <w:p>
            <w:pPr>
              <w:pStyle w:val="Normal"/>
              <w:jc w:val="center"/>
              <w:rPr/>
            </w:pPr>
            <w:r>
              <w:rPr/>
              <w:t>2,70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4,30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0,70</w:t>
            </w:r>
          </w:p>
        </w:tc>
        <w:tc>
          <w:tcPr>
            <w:tcW w:w="1335" w:type="dxa"/>
            <w:tcBorders>
              <w:left w:val="single" w:sz="8" w:space="0" w:color="000000"/>
            </w:tcBorders>
            <w:shd w:fill="FFFFFF" w:val="clear"/>
            <w:tcMar>
              <w:left w:w="0" w:type="dxa"/>
              <w:right w:w="0" w:type="dxa"/>
            </w:tcMar>
          </w:tcPr>
          <w:p>
            <w:pPr>
              <w:pStyle w:val="Normal"/>
              <w:jc w:val="center"/>
              <w:rPr/>
            </w:pPr>
            <w:r>
              <w:rPr/>
              <w:t>2,55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2,35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2,05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1,65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11,0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11,5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3,30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12,0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3,10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12,5</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2,80</w:t>
            </w:r>
          </w:p>
        </w:tc>
      </w:tr>
    </w:tbl>
    <w:p>
      <w:pPr>
        <w:pStyle w:val="Normal"/>
        <w:spacing w:before="120" w:after="120"/>
        <w:jc w:val="right"/>
        <w:rPr/>
      </w:pPr>
      <w:r>
        <w:rPr>
          <w:spacing w:val="40"/>
        </w:rPr>
        <w:t>Таблица</w:t>
      </w:r>
      <w:r>
        <w:rPr/>
        <w:t xml:space="preserve"> П4</w:t>
      </w:r>
    </w:p>
    <w:p>
      <w:pPr>
        <w:pStyle w:val="Normal"/>
        <w:spacing w:before="0" w:after="120"/>
        <w:jc w:val="center"/>
        <w:rPr>
          <w:b/>
          <w:b/>
          <w:bCs/>
        </w:rPr>
      </w:pPr>
      <w:r>
        <w:rPr>
          <w:b/>
          <w:bCs/>
        </w:rPr>
        <w:t>Наименьшее смещение проводов соседних ярусов по горизонтали на промежуточных опорах ВЛ 35 - 220 кВ в районах с частой и интенсивной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46"/>
        <w:gridCol w:w="797"/>
        <w:gridCol w:w="798"/>
        <w:gridCol w:w="797"/>
        <w:gridCol w:w="798"/>
        <w:gridCol w:w="797"/>
        <w:gridCol w:w="799"/>
        <w:gridCol w:w="798"/>
        <w:gridCol w:w="1105"/>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4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89"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4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797"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79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16</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110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30 и более</w:t>
            </w:r>
          </w:p>
        </w:tc>
      </w:tr>
      <w:tr>
        <w:trPr/>
        <w:tc>
          <w:tcPr>
            <w:tcW w:w="1320" w:type="dxa"/>
            <w:tcBorders>
              <w:left w:val="single" w:sz="8" w:space="0" w:color="000000"/>
            </w:tcBorders>
            <w:shd w:fill="FFFFFF" w:val="clear"/>
          </w:tcPr>
          <w:p>
            <w:pPr>
              <w:pStyle w:val="Normal"/>
              <w:jc w:val="center"/>
              <w:rPr/>
            </w:pPr>
            <w:r>
              <w:rPr/>
              <w:t>35</w:t>
            </w:r>
          </w:p>
        </w:tc>
        <w:tc>
          <w:tcPr>
            <w:tcW w:w="1346" w:type="dxa"/>
            <w:tcBorders>
              <w:left w:val="single" w:sz="8" w:space="0" w:color="000000"/>
            </w:tcBorders>
            <w:shd w:fill="FFFFFF" w:val="clear"/>
            <w:tcMar>
              <w:left w:w="0" w:type="dxa"/>
              <w:right w:w="0" w:type="dxa"/>
            </w:tcMar>
          </w:tcPr>
          <w:p>
            <w:pPr>
              <w:pStyle w:val="Normal"/>
              <w:jc w:val="center"/>
              <w:rPr/>
            </w:pPr>
            <w:r>
              <w:rPr/>
              <w:t>2,5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0,7</w:t>
            </w:r>
          </w:p>
        </w:tc>
        <w:tc>
          <w:tcPr>
            <w:tcW w:w="797" w:type="dxa"/>
            <w:tcBorders>
              <w:left w:val="single" w:sz="8" w:space="0" w:color="000000"/>
            </w:tcBorders>
            <w:shd w:fill="FFFFFF" w:val="clear"/>
            <w:tcMar>
              <w:left w:w="0" w:type="dxa"/>
              <w:right w:w="0" w:type="dxa"/>
            </w:tcMar>
          </w:tcPr>
          <w:p>
            <w:pPr>
              <w:pStyle w:val="Normal"/>
              <w:jc w:val="center"/>
              <w:rPr/>
            </w:pPr>
            <w:r>
              <w:rPr/>
              <w:t>1,20</w:t>
            </w:r>
          </w:p>
        </w:tc>
        <w:tc>
          <w:tcPr>
            <w:tcW w:w="798" w:type="dxa"/>
            <w:tcBorders>
              <w:left w:val="single" w:sz="8" w:space="0" w:color="000000"/>
            </w:tcBorders>
            <w:shd w:fill="FFFFFF" w:val="clear"/>
            <w:tcMar>
              <w:left w:w="0" w:type="dxa"/>
              <w:right w:w="0" w:type="dxa"/>
            </w:tcMar>
          </w:tcPr>
          <w:p>
            <w:pPr>
              <w:pStyle w:val="Normal"/>
              <w:jc w:val="center"/>
              <w:rPr/>
            </w:pPr>
            <w:r>
              <w:rPr/>
              <w:t>1,90</w:t>
            </w:r>
          </w:p>
        </w:tc>
        <w:tc>
          <w:tcPr>
            <w:tcW w:w="797" w:type="dxa"/>
            <w:tcBorders>
              <w:left w:val="single" w:sz="8" w:space="0" w:color="000000"/>
            </w:tcBorders>
            <w:shd w:fill="FFFFFF" w:val="clear"/>
            <w:tcMar>
              <w:left w:w="0" w:type="dxa"/>
              <w:right w:w="0" w:type="dxa"/>
            </w:tcMar>
          </w:tcPr>
          <w:p>
            <w:pPr>
              <w:pStyle w:val="Normal"/>
              <w:jc w:val="center"/>
              <w:rPr/>
            </w:pPr>
            <w:r>
              <w:rPr/>
              <w:t>3,10</w:t>
            </w:r>
          </w:p>
        </w:tc>
        <w:tc>
          <w:tcPr>
            <w:tcW w:w="799" w:type="dxa"/>
            <w:tcBorders>
              <w:left w:val="single" w:sz="8" w:space="0" w:color="000000"/>
            </w:tcBorders>
            <w:shd w:fill="FFFFFF" w:val="clear"/>
            <w:tcMar>
              <w:left w:w="0" w:type="dxa"/>
              <w:right w:w="0" w:type="dxa"/>
            </w:tcMar>
          </w:tcPr>
          <w:p>
            <w:pPr>
              <w:pStyle w:val="Normal"/>
              <w:jc w:val="center"/>
              <w:rPr/>
            </w:pPr>
            <w:r>
              <w:rPr/>
              <w:t>4,15</w:t>
            </w:r>
          </w:p>
        </w:tc>
        <w:tc>
          <w:tcPr>
            <w:tcW w:w="798" w:type="dxa"/>
            <w:tcBorders>
              <w:left w:val="single" w:sz="8" w:space="0" w:color="000000"/>
            </w:tcBorders>
            <w:shd w:fill="FFFFFF" w:val="clear"/>
            <w:tcMar>
              <w:left w:w="0" w:type="dxa"/>
              <w:right w:w="0" w:type="dxa"/>
            </w:tcMar>
          </w:tcPr>
          <w:p>
            <w:pPr>
              <w:pStyle w:val="Normal"/>
              <w:jc w:val="center"/>
              <w:rPr/>
            </w:pPr>
            <w:r>
              <w:rPr/>
              <w:t>5,20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3,0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0,75</w:t>
            </w:r>
          </w:p>
        </w:tc>
        <w:tc>
          <w:tcPr>
            <w:tcW w:w="798" w:type="dxa"/>
            <w:tcBorders>
              <w:left w:val="single" w:sz="8" w:space="0" w:color="000000"/>
            </w:tcBorders>
            <w:shd w:fill="FFFFFF" w:val="clear"/>
            <w:tcMar>
              <w:left w:w="0" w:type="dxa"/>
              <w:right w:w="0" w:type="dxa"/>
            </w:tcMar>
          </w:tcPr>
          <w:p>
            <w:pPr>
              <w:pStyle w:val="Normal"/>
              <w:jc w:val="center"/>
              <w:rPr/>
            </w:pPr>
            <w:r>
              <w:rPr/>
              <w:t>1,70</w:t>
            </w:r>
          </w:p>
        </w:tc>
        <w:tc>
          <w:tcPr>
            <w:tcW w:w="797" w:type="dxa"/>
            <w:tcBorders>
              <w:left w:val="single" w:sz="8" w:space="0" w:color="000000"/>
            </w:tcBorders>
            <w:shd w:fill="FFFFFF" w:val="clear"/>
            <w:tcMar>
              <w:left w:w="0" w:type="dxa"/>
              <w:right w:w="0" w:type="dxa"/>
            </w:tcMar>
          </w:tcPr>
          <w:p>
            <w:pPr>
              <w:pStyle w:val="Normal"/>
              <w:jc w:val="center"/>
              <w:rPr/>
            </w:pPr>
            <w:r>
              <w:rPr/>
              <w:t>3,00</w:t>
            </w:r>
          </w:p>
        </w:tc>
        <w:tc>
          <w:tcPr>
            <w:tcW w:w="799" w:type="dxa"/>
            <w:tcBorders>
              <w:left w:val="single" w:sz="8" w:space="0" w:color="000000"/>
            </w:tcBorders>
            <w:shd w:fill="FFFFFF" w:val="clear"/>
            <w:tcMar>
              <w:left w:w="0" w:type="dxa"/>
              <w:right w:w="0" w:type="dxa"/>
            </w:tcMar>
          </w:tcPr>
          <w:p>
            <w:pPr>
              <w:pStyle w:val="Normal"/>
              <w:jc w:val="center"/>
              <w:rPr/>
            </w:pPr>
            <w:r>
              <w:rPr/>
              <w:t>4,10</w:t>
            </w:r>
          </w:p>
        </w:tc>
        <w:tc>
          <w:tcPr>
            <w:tcW w:w="798" w:type="dxa"/>
            <w:tcBorders>
              <w:left w:val="single" w:sz="8" w:space="0" w:color="000000"/>
            </w:tcBorders>
            <w:shd w:fill="FFFFFF" w:val="clear"/>
            <w:tcMar>
              <w:left w:w="0" w:type="dxa"/>
              <w:right w:w="0" w:type="dxa"/>
            </w:tcMar>
          </w:tcPr>
          <w:p>
            <w:pPr>
              <w:pStyle w:val="Normal"/>
              <w:jc w:val="center"/>
              <w:rPr/>
            </w:pPr>
            <w:r>
              <w:rPr/>
              <w:t>5,15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3,5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1,45</w:t>
            </w:r>
          </w:p>
        </w:tc>
        <w:tc>
          <w:tcPr>
            <w:tcW w:w="797" w:type="dxa"/>
            <w:tcBorders>
              <w:left w:val="single" w:sz="8" w:space="0" w:color="000000"/>
            </w:tcBorders>
            <w:shd w:fill="FFFFFF" w:val="clear"/>
            <w:tcMar>
              <w:left w:w="0" w:type="dxa"/>
              <w:right w:w="0" w:type="dxa"/>
            </w:tcMar>
          </w:tcPr>
          <w:p>
            <w:pPr>
              <w:pStyle w:val="Normal"/>
              <w:jc w:val="center"/>
              <w:rPr/>
            </w:pPr>
            <w:r>
              <w:rPr/>
              <w:t>2,85</w:t>
            </w:r>
          </w:p>
        </w:tc>
        <w:tc>
          <w:tcPr>
            <w:tcW w:w="799" w:type="dxa"/>
            <w:tcBorders>
              <w:left w:val="single" w:sz="8" w:space="0" w:color="000000"/>
            </w:tcBorders>
            <w:shd w:fill="FFFFFF" w:val="clear"/>
            <w:tcMar>
              <w:left w:w="0" w:type="dxa"/>
              <w:right w:w="0" w:type="dxa"/>
            </w:tcMar>
          </w:tcPr>
          <w:p>
            <w:pPr>
              <w:pStyle w:val="Normal"/>
              <w:jc w:val="center"/>
              <w:rPr/>
            </w:pPr>
            <w:r>
              <w:rPr/>
              <w:t>4,05</w:t>
            </w:r>
          </w:p>
        </w:tc>
        <w:tc>
          <w:tcPr>
            <w:tcW w:w="798" w:type="dxa"/>
            <w:tcBorders>
              <w:left w:val="single" w:sz="8" w:space="0" w:color="000000"/>
            </w:tcBorders>
            <w:shd w:fill="FFFFFF" w:val="clear"/>
            <w:tcMar>
              <w:left w:w="0" w:type="dxa"/>
              <w:right w:w="0" w:type="dxa"/>
            </w:tcMar>
          </w:tcPr>
          <w:p>
            <w:pPr>
              <w:pStyle w:val="Normal"/>
              <w:jc w:val="center"/>
              <w:rPr/>
            </w:pPr>
            <w:r>
              <w:rPr/>
              <w:t>5,10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0,90</w:t>
            </w:r>
          </w:p>
        </w:tc>
        <w:tc>
          <w:tcPr>
            <w:tcW w:w="797" w:type="dxa"/>
            <w:tcBorders>
              <w:left w:val="single" w:sz="8" w:space="0" w:color="000000"/>
            </w:tcBorders>
            <w:shd w:fill="FFFFFF" w:val="clear"/>
            <w:tcMar>
              <w:left w:w="0" w:type="dxa"/>
              <w:right w:w="0" w:type="dxa"/>
            </w:tcMar>
          </w:tcPr>
          <w:p>
            <w:pPr>
              <w:pStyle w:val="Normal"/>
              <w:jc w:val="center"/>
              <w:rPr/>
            </w:pPr>
            <w:r>
              <w:rPr/>
              <w:t>2,70</w:t>
            </w:r>
          </w:p>
        </w:tc>
        <w:tc>
          <w:tcPr>
            <w:tcW w:w="799" w:type="dxa"/>
            <w:tcBorders>
              <w:left w:val="single" w:sz="8" w:space="0" w:color="000000"/>
            </w:tcBorders>
            <w:shd w:fill="FFFFFF" w:val="clear"/>
            <w:tcMar>
              <w:left w:w="0" w:type="dxa"/>
              <w:right w:w="0" w:type="dxa"/>
            </w:tcMar>
          </w:tcPr>
          <w:p>
            <w:pPr>
              <w:pStyle w:val="Normal"/>
              <w:jc w:val="center"/>
              <w:rPr/>
            </w:pPr>
            <w:r>
              <w:rPr/>
              <w:t>3,95</w:t>
            </w:r>
          </w:p>
        </w:tc>
        <w:tc>
          <w:tcPr>
            <w:tcW w:w="798" w:type="dxa"/>
            <w:tcBorders>
              <w:left w:val="single" w:sz="8" w:space="0" w:color="000000"/>
            </w:tcBorders>
            <w:shd w:fill="FFFFFF" w:val="clear"/>
            <w:tcMar>
              <w:left w:w="0" w:type="dxa"/>
              <w:right w:w="0" w:type="dxa"/>
            </w:tcMar>
          </w:tcPr>
          <w:p>
            <w:pPr>
              <w:pStyle w:val="Normal"/>
              <w:jc w:val="center"/>
              <w:rPr/>
            </w:pPr>
            <w:r>
              <w:rPr/>
              <w:t>5,05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6,15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2,50</w:t>
            </w:r>
          </w:p>
        </w:tc>
        <w:tc>
          <w:tcPr>
            <w:tcW w:w="799" w:type="dxa"/>
            <w:tcBorders>
              <w:left w:val="single" w:sz="8" w:space="0" w:color="000000"/>
            </w:tcBorders>
            <w:shd w:fill="FFFFFF" w:val="clear"/>
            <w:tcMar>
              <w:left w:w="0" w:type="dxa"/>
              <w:right w:w="0" w:type="dxa"/>
            </w:tcMar>
          </w:tcPr>
          <w:p>
            <w:pPr>
              <w:pStyle w:val="Normal"/>
              <w:jc w:val="center"/>
              <w:rPr/>
            </w:pPr>
            <w:r>
              <w:rPr/>
              <w:t>3,80</w:t>
            </w:r>
          </w:p>
        </w:tc>
        <w:tc>
          <w:tcPr>
            <w:tcW w:w="798" w:type="dxa"/>
            <w:tcBorders>
              <w:left w:val="single" w:sz="8" w:space="0" w:color="000000"/>
            </w:tcBorders>
            <w:shd w:fill="FFFFFF" w:val="clear"/>
            <w:tcMar>
              <w:left w:w="0" w:type="dxa"/>
              <w:right w:w="0" w:type="dxa"/>
            </w:tcMar>
          </w:tcPr>
          <w:p>
            <w:pPr>
              <w:pStyle w:val="Normal"/>
              <w:jc w:val="center"/>
              <w:rPr/>
            </w:pPr>
            <w:r>
              <w:rPr/>
              <w:t>4,95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6,10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2,20</w:t>
            </w:r>
          </w:p>
        </w:tc>
        <w:tc>
          <w:tcPr>
            <w:tcW w:w="799" w:type="dxa"/>
            <w:tcBorders>
              <w:left w:val="single" w:sz="8" w:space="0" w:color="000000"/>
            </w:tcBorders>
            <w:shd w:fill="FFFFFF" w:val="clear"/>
            <w:tcMar>
              <w:left w:w="0" w:type="dxa"/>
              <w:right w:w="0" w:type="dxa"/>
            </w:tcMar>
          </w:tcPr>
          <w:p>
            <w:pPr>
              <w:pStyle w:val="Normal"/>
              <w:jc w:val="center"/>
              <w:rPr/>
            </w:pPr>
            <w:r>
              <w:rPr/>
              <w:t>3,65</w:t>
            </w:r>
          </w:p>
        </w:tc>
        <w:tc>
          <w:tcPr>
            <w:tcW w:w="798" w:type="dxa"/>
            <w:tcBorders>
              <w:left w:val="single" w:sz="8" w:space="0" w:color="000000"/>
            </w:tcBorders>
            <w:shd w:fill="FFFFFF" w:val="clear"/>
            <w:tcMar>
              <w:left w:w="0" w:type="dxa"/>
              <w:right w:w="0" w:type="dxa"/>
            </w:tcMar>
          </w:tcPr>
          <w:p>
            <w:pPr>
              <w:pStyle w:val="Normal"/>
              <w:jc w:val="center"/>
              <w:rPr/>
            </w:pPr>
            <w:r>
              <w:rPr/>
              <w:t>4,85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6,00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1,80</w:t>
            </w:r>
          </w:p>
        </w:tc>
        <w:tc>
          <w:tcPr>
            <w:tcW w:w="799" w:type="dxa"/>
            <w:tcBorders>
              <w:left w:val="single" w:sz="8" w:space="0" w:color="000000"/>
            </w:tcBorders>
            <w:shd w:fill="FFFFFF" w:val="clear"/>
            <w:tcMar>
              <w:left w:w="0" w:type="dxa"/>
              <w:right w:w="0" w:type="dxa"/>
            </w:tcMar>
          </w:tcPr>
          <w:p>
            <w:pPr>
              <w:pStyle w:val="Normal"/>
              <w:jc w:val="center"/>
              <w:rPr/>
            </w:pPr>
            <w:r>
              <w:rPr/>
              <w:t>3,50</w:t>
            </w:r>
          </w:p>
        </w:tc>
        <w:tc>
          <w:tcPr>
            <w:tcW w:w="798" w:type="dxa"/>
            <w:tcBorders>
              <w:left w:val="single" w:sz="8" w:space="0" w:color="000000"/>
            </w:tcBorders>
            <w:shd w:fill="FFFFFF" w:val="clear"/>
            <w:tcMar>
              <w:left w:w="0" w:type="dxa"/>
              <w:right w:w="0" w:type="dxa"/>
            </w:tcMar>
          </w:tcPr>
          <w:p>
            <w:pPr>
              <w:pStyle w:val="Normal"/>
              <w:jc w:val="center"/>
              <w:rPr/>
            </w:pPr>
            <w:r>
              <w:rPr/>
              <w:t>4,75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5,90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1,15</w:t>
            </w:r>
          </w:p>
        </w:tc>
        <w:tc>
          <w:tcPr>
            <w:tcW w:w="799" w:type="dxa"/>
            <w:tcBorders>
              <w:left w:val="single" w:sz="8" w:space="0" w:color="000000"/>
            </w:tcBorders>
            <w:shd w:fill="FFFFFF" w:val="clear"/>
            <w:tcMar>
              <w:left w:w="0" w:type="dxa"/>
              <w:right w:w="0" w:type="dxa"/>
            </w:tcMar>
          </w:tcPr>
          <w:p>
            <w:pPr>
              <w:pStyle w:val="Normal"/>
              <w:jc w:val="center"/>
              <w:rPr/>
            </w:pPr>
            <w:r>
              <w:rPr/>
              <w:t>3,25</w:t>
            </w:r>
          </w:p>
        </w:tc>
        <w:tc>
          <w:tcPr>
            <w:tcW w:w="798" w:type="dxa"/>
            <w:tcBorders>
              <w:left w:val="single" w:sz="8" w:space="0" w:color="000000"/>
            </w:tcBorders>
            <w:shd w:fill="FFFFFF" w:val="clear"/>
            <w:tcMar>
              <w:left w:w="0" w:type="dxa"/>
              <w:right w:w="0" w:type="dxa"/>
            </w:tcMar>
          </w:tcPr>
          <w:p>
            <w:pPr>
              <w:pStyle w:val="Normal"/>
              <w:jc w:val="center"/>
              <w:rPr/>
            </w:pPr>
            <w:r>
              <w:rPr/>
              <w:t>4,60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5,80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2,95</w:t>
            </w:r>
          </w:p>
        </w:tc>
        <w:tc>
          <w:tcPr>
            <w:tcW w:w="798" w:type="dxa"/>
            <w:tcBorders>
              <w:left w:val="single" w:sz="8" w:space="0" w:color="000000"/>
            </w:tcBorders>
            <w:shd w:fill="FFFFFF" w:val="clear"/>
            <w:tcMar>
              <w:left w:w="0" w:type="dxa"/>
              <w:right w:w="0" w:type="dxa"/>
            </w:tcMar>
          </w:tcPr>
          <w:p>
            <w:pPr>
              <w:pStyle w:val="Normal"/>
              <w:jc w:val="center"/>
              <w:rPr/>
            </w:pPr>
            <w:r>
              <w:rPr/>
              <w:t>4,45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5,65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2,60</w:t>
            </w:r>
          </w:p>
        </w:tc>
        <w:tc>
          <w:tcPr>
            <w:tcW w:w="798" w:type="dxa"/>
            <w:tcBorders>
              <w:left w:val="single" w:sz="8" w:space="0" w:color="000000"/>
            </w:tcBorders>
            <w:shd w:fill="FFFFFF" w:val="clear"/>
            <w:tcMar>
              <w:left w:w="0" w:type="dxa"/>
              <w:right w:w="0" w:type="dxa"/>
            </w:tcMar>
          </w:tcPr>
          <w:p>
            <w:pPr>
              <w:pStyle w:val="Normal"/>
              <w:jc w:val="center"/>
              <w:rPr/>
            </w:pPr>
            <w:r>
              <w:rPr/>
              <w:t>4,25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2,15</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w:t>
            </w:r>
          </w:p>
        </w:tc>
        <w:tc>
          <w:tcPr>
            <w:tcW w:w="110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5,40</w:t>
            </w:r>
          </w:p>
        </w:tc>
      </w:tr>
      <w:tr>
        <w:trPr/>
        <w:tc>
          <w:tcPr>
            <w:tcW w:w="1320" w:type="dxa"/>
            <w:tcBorders>
              <w:left w:val="single" w:sz="8" w:space="0" w:color="000000"/>
            </w:tcBorders>
            <w:shd w:fill="FFFFFF" w:val="clear"/>
          </w:tcPr>
          <w:p>
            <w:pPr>
              <w:pStyle w:val="Normal"/>
              <w:jc w:val="center"/>
              <w:rPr/>
            </w:pPr>
            <w:r>
              <w:rPr/>
              <w:t>110</w:t>
            </w:r>
          </w:p>
        </w:tc>
        <w:tc>
          <w:tcPr>
            <w:tcW w:w="1346" w:type="dxa"/>
            <w:tcBorders>
              <w:left w:val="single" w:sz="8" w:space="0" w:color="000000"/>
            </w:tcBorders>
            <w:shd w:fill="FFFFFF" w:val="clear"/>
            <w:tcMar>
              <w:left w:w="0" w:type="dxa"/>
              <w:right w:w="0" w:type="dxa"/>
            </w:tcMar>
          </w:tcPr>
          <w:p>
            <w:pPr>
              <w:pStyle w:val="Normal"/>
              <w:jc w:val="center"/>
              <w:rPr/>
            </w:pPr>
            <w:r>
              <w:rPr/>
              <w:t>3,0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1,15</w:t>
            </w:r>
          </w:p>
        </w:tc>
        <w:tc>
          <w:tcPr>
            <w:tcW w:w="798" w:type="dxa"/>
            <w:tcBorders>
              <w:left w:val="single" w:sz="8" w:space="0" w:color="000000"/>
            </w:tcBorders>
            <w:shd w:fill="FFFFFF" w:val="clear"/>
            <w:tcMar>
              <w:left w:w="0" w:type="dxa"/>
              <w:right w:w="0" w:type="dxa"/>
            </w:tcMar>
          </w:tcPr>
          <w:p>
            <w:pPr>
              <w:pStyle w:val="Normal"/>
              <w:jc w:val="center"/>
              <w:rPr/>
            </w:pPr>
            <w:r>
              <w:rPr/>
              <w:t>2,0</w:t>
            </w:r>
          </w:p>
        </w:tc>
        <w:tc>
          <w:tcPr>
            <w:tcW w:w="797" w:type="dxa"/>
            <w:tcBorders>
              <w:left w:val="single" w:sz="8" w:space="0" w:color="000000"/>
            </w:tcBorders>
            <w:shd w:fill="FFFFFF" w:val="clear"/>
            <w:tcMar>
              <w:left w:w="0" w:type="dxa"/>
              <w:right w:w="0" w:type="dxa"/>
            </w:tcMar>
          </w:tcPr>
          <w:p>
            <w:pPr>
              <w:pStyle w:val="Normal"/>
              <w:jc w:val="center"/>
              <w:rPr/>
            </w:pPr>
            <w:r>
              <w:rPr/>
              <w:t>3,25</w:t>
            </w:r>
          </w:p>
        </w:tc>
        <w:tc>
          <w:tcPr>
            <w:tcW w:w="799" w:type="dxa"/>
            <w:tcBorders>
              <w:left w:val="single" w:sz="8" w:space="0" w:color="000000"/>
            </w:tcBorders>
            <w:shd w:fill="FFFFFF" w:val="clear"/>
            <w:tcMar>
              <w:left w:w="0" w:type="dxa"/>
              <w:right w:w="0" w:type="dxa"/>
            </w:tcMar>
          </w:tcPr>
          <w:p>
            <w:pPr>
              <w:pStyle w:val="Normal"/>
              <w:jc w:val="center"/>
              <w:rPr/>
            </w:pPr>
            <w:r>
              <w:rPr/>
              <w:t>4,35</w:t>
            </w:r>
          </w:p>
        </w:tc>
        <w:tc>
          <w:tcPr>
            <w:tcW w:w="798" w:type="dxa"/>
            <w:tcBorders>
              <w:left w:val="single" w:sz="8" w:space="0" w:color="000000"/>
            </w:tcBorders>
            <w:shd w:fill="FFFFFF" w:val="clear"/>
            <w:tcMar>
              <w:left w:w="0" w:type="dxa"/>
              <w:right w:w="0" w:type="dxa"/>
            </w:tcMar>
          </w:tcPr>
          <w:p>
            <w:pPr>
              <w:pStyle w:val="Normal"/>
              <w:jc w:val="center"/>
              <w:rPr/>
            </w:pPr>
            <w:r>
              <w:rPr/>
              <w:t>5,40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3,5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1,72</w:t>
            </w:r>
          </w:p>
        </w:tc>
        <w:tc>
          <w:tcPr>
            <w:tcW w:w="797" w:type="dxa"/>
            <w:tcBorders>
              <w:left w:val="single" w:sz="8" w:space="0" w:color="000000"/>
            </w:tcBorders>
            <w:shd w:fill="FFFFFF" w:val="clear"/>
            <w:tcMar>
              <w:left w:w="0" w:type="dxa"/>
              <w:right w:w="0" w:type="dxa"/>
            </w:tcMar>
          </w:tcPr>
          <w:p>
            <w:pPr>
              <w:pStyle w:val="Normal"/>
              <w:jc w:val="center"/>
              <w:rPr/>
            </w:pPr>
            <w:r>
              <w:rPr/>
              <w:t>3,10</w:t>
            </w:r>
          </w:p>
        </w:tc>
        <w:tc>
          <w:tcPr>
            <w:tcW w:w="799" w:type="dxa"/>
            <w:tcBorders>
              <w:left w:val="single" w:sz="8" w:space="0" w:color="000000"/>
            </w:tcBorders>
            <w:shd w:fill="FFFFFF" w:val="clear"/>
            <w:tcMar>
              <w:left w:w="0" w:type="dxa"/>
              <w:right w:w="0" w:type="dxa"/>
            </w:tcMar>
          </w:tcPr>
          <w:p>
            <w:pPr>
              <w:pStyle w:val="Normal"/>
              <w:jc w:val="center"/>
              <w:rPr/>
            </w:pPr>
            <w:r>
              <w:rPr/>
              <w:t>4,25</w:t>
            </w:r>
          </w:p>
        </w:tc>
        <w:tc>
          <w:tcPr>
            <w:tcW w:w="798" w:type="dxa"/>
            <w:tcBorders>
              <w:left w:val="single" w:sz="8" w:space="0" w:color="000000"/>
            </w:tcBorders>
            <w:shd w:fill="FFFFFF" w:val="clear"/>
            <w:tcMar>
              <w:left w:w="0" w:type="dxa"/>
              <w:right w:w="0" w:type="dxa"/>
            </w:tcMar>
          </w:tcPr>
          <w:p>
            <w:pPr>
              <w:pStyle w:val="Normal"/>
              <w:jc w:val="center"/>
              <w:rPr/>
            </w:pPr>
            <w:r>
              <w:rPr/>
              <w:t>5,35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1,30</w:t>
            </w:r>
          </w:p>
        </w:tc>
        <w:tc>
          <w:tcPr>
            <w:tcW w:w="797" w:type="dxa"/>
            <w:tcBorders>
              <w:left w:val="single" w:sz="8" w:space="0" w:color="000000"/>
            </w:tcBorders>
            <w:shd w:fill="FFFFFF" w:val="clear"/>
            <w:tcMar>
              <w:left w:w="0" w:type="dxa"/>
              <w:right w:w="0" w:type="dxa"/>
            </w:tcMar>
          </w:tcPr>
          <w:p>
            <w:pPr>
              <w:pStyle w:val="Normal"/>
              <w:jc w:val="center"/>
              <w:rPr/>
            </w:pPr>
            <w:r>
              <w:rPr/>
              <w:t>2,95</w:t>
            </w:r>
          </w:p>
        </w:tc>
        <w:tc>
          <w:tcPr>
            <w:tcW w:w="799" w:type="dxa"/>
            <w:tcBorders>
              <w:left w:val="single" w:sz="8" w:space="0" w:color="000000"/>
            </w:tcBorders>
            <w:shd w:fill="FFFFFF" w:val="clear"/>
            <w:tcMar>
              <w:left w:w="0" w:type="dxa"/>
              <w:right w:w="0" w:type="dxa"/>
            </w:tcMar>
          </w:tcPr>
          <w:p>
            <w:pPr>
              <w:pStyle w:val="Normal"/>
              <w:jc w:val="center"/>
              <w:rPr/>
            </w:pPr>
            <w:r>
              <w:rPr/>
              <w:t>4,15</w:t>
            </w:r>
          </w:p>
        </w:tc>
        <w:tc>
          <w:tcPr>
            <w:tcW w:w="798" w:type="dxa"/>
            <w:tcBorders>
              <w:left w:val="single" w:sz="8" w:space="0" w:color="000000"/>
            </w:tcBorders>
            <w:shd w:fill="FFFFFF" w:val="clear"/>
            <w:tcMar>
              <w:left w:w="0" w:type="dxa"/>
              <w:right w:w="0" w:type="dxa"/>
            </w:tcMar>
          </w:tcPr>
          <w:p>
            <w:pPr>
              <w:pStyle w:val="Normal"/>
              <w:jc w:val="center"/>
              <w:rPr/>
            </w:pPr>
            <w:r>
              <w:rPr/>
              <w:t>5,30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2,75</w:t>
            </w:r>
          </w:p>
        </w:tc>
        <w:tc>
          <w:tcPr>
            <w:tcW w:w="799" w:type="dxa"/>
            <w:tcBorders>
              <w:left w:val="single" w:sz="8" w:space="0" w:color="000000"/>
            </w:tcBorders>
            <w:shd w:fill="FFFFFF" w:val="clear"/>
            <w:tcMar>
              <w:left w:w="0" w:type="dxa"/>
              <w:right w:w="0" w:type="dxa"/>
            </w:tcMar>
          </w:tcPr>
          <w:p>
            <w:pPr>
              <w:pStyle w:val="Normal"/>
              <w:jc w:val="center"/>
              <w:rPr/>
            </w:pPr>
            <w:r>
              <w:rPr/>
              <w:t>4,05</w:t>
            </w:r>
          </w:p>
        </w:tc>
        <w:tc>
          <w:tcPr>
            <w:tcW w:w="798" w:type="dxa"/>
            <w:tcBorders>
              <w:left w:val="single" w:sz="8" w:space="0" w:color="000000"/>
            </w:tcBorders>
            <w:shd w:fill="FFFFFF" w:val="clear"/>
            <w:tcMar>
              <w:left w:w="0" w:type="dxa"/>
              <w:right w:w="0" w:type="dxa"/>
            </w:tcMar>
          </w:tcPr>
          <w:p>
            <w:pPr>
              <w:pStyle w:val="Normal"/>
              <w:jc w:val="center"/>
              <w:rPr/>
            </w:pPr>
            <w:r>
              <w:rPr/>
              <w:t>5,20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2,50</w:t>
            </w:r>
          </w:p>
        </w:tc>
        <w:tc>
          <w:tcPr>
            <w:tcW w:w="799" w:type="dxa"/>
            <w:tcBorders>
              <w:left w:val="single" w:sz="8" w:space="0" w:color="000000"/>
            </w:tcBorders>
            <w:shd w:fill="FFFFFF" w:val="clear"/>
            <w:tcMar>
              <w:left w:w="0" w:type="dxa"/>
              <w:right w:w="0" w:type="dxa"/>
            </w:tcMar>
          </w:tcPr>
          <w:p>
            <w:pPr>
              <w:pStyle w:val="Normal"/>
              <w:jc w:val="center"/>
              <w:rPr/>
            </w:pPr>
            <w:r>
              <w:rPr/>
              <w:t>3,95</w:t>
            </w:r>
          </w:p>
        </w:tc>
        <w:tc>
          <w:tcPr>
            <w:tcW w:w="798" w:type="dxa"/>
            <w:tcBorders>
              <w:left w:val="single" w:sz="8" w:space="0" w:color="000000"/>
            </w:tcBorders>
            <w:shd w:fill="FFFFFF" w:val="clear"/>
            <w:tcMar>
              <w:left w:w="0" w:type="dxa"/>
              <w:right w:w="0" w:type="dxa"/>
            </w:tcMar>
          </w:tcPr>
          <w:p>
            <w:pPr>
              <w:pStyle w:val="Normal"/>
              <w:jc w:val="center"/>
              <w:rPr/>
            </w:pPr>
            <w:r>
              <w:rPr/>
              <w:t>5,10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2,15</w:t>
            </w:r>
          </w:p>
        </w:tc>
        <w:tc>
          <w:tcPr>
            <w:tcW w:w="799" w:type="dxa"/>
            <w:tcBorders>
              <w:left w:val="single" w:sz="8" w:space="0" w:color="000000"/>
            </w:tcBorders>
            <w:shd w:fill="FFFFFF" w:val="clear"/>
            <w:tcMar>
              <w:left w:w="0" w:type="dxa"/>
              <w:right w:w="0" w:type="dxa"/>
            </w:tcMar>
          </w:tcPr>
          <w:p>
            <w:pPr>
              <w:pStyle w:val="Normal"/>
              <w:jc w:val="center"/>
              <w:rPr/>
            </w:pPr>
            <w:r>
              <w:rPr/>
              <w:t>3,70</w:t>
            </w:r>
          </w:p>
        </w:tc>
        <w:tc>
          <w:tcPr>
            <w:tcW w:w="798" w:type="dxa"/>
            <w:tcBorders>
              <w:left w:val="single" w:sz="8" w:space="0" w:color="000000"/>
            </w:tcBorders>
            <w:shd w:fill="FFFFFF" w:val="clear"/>
            <w:tcMar>
              <w:left w:w="0" w:type="dxa"/>
              <w:right w:w="0" w:type="dxa"/>
            </w:tcMar>
          </w:tcPr>
          <w:p>
            <w:pPr>
              <w:pStyle w:val="Normal"/>
              <w:jc w:val="center"/>
              <w:rPr/>
            </w:pPr>
            <w:r>
              <w:rPr/>
              <w:t>5,00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6,15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1,60</w:t>
            </w:r>
          </w:p>
        </w:tc>
        <w:tc>
          <w:tcPr>
            <w:tcW w:w="799" w:type="dxa"/>
            <w:tcBorders>
              <w:left w:val="single" w:sz="8" w:space="0" w:color="000000"/>
            </w:tcBorders>
            <w:shd w:fill="FFFFFF" w:val="clear"/>
            <w:tcMar>
              <w:left w:w="0" w:type="dxa"/>
              <w:right w:w="0" w:type="dxa"/>
            </w:tcMar>
          </w:tcPr>
          <w:p>
            <w:pPr>
              <w:pStyle w:val="Normal"/>
              <w:jc w:val="center"/>
              <w:rPr/>
            </w:pPr>
            <w:r>
              <w:rPr/>
              <w:t>3,50</w:t>
            </w:r>
          </w:p>
        </w:tc>
        <w:tc>
          <w:tcPr>
            <w:tcW w:w="798" w:type="dxa"/>
            <w:tcBorders>
              <w:left w:val="single" w:sz="8" w:space="0" w:color="000000"/>
            </w:tcBorders>
            <w:shd w:fill="FFFFFF" w:val="clear"/>
            <w:tcMar>
              <w:left w:w="0" w:type="dxa"/>
              <w:right w:w="0" w:type="dxa"/>
            </w:tcMar>
          </w:tcPr>
          <w:p>
            <w:pPr>
              <w:pStyle w:val="Normal"/>
              <w:jc w:val="center"/>
              <w:rPr/>
            </w:pPr>
            <w:r>
              <w:rPr/>
              <w:t>4,85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6,05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3,25</w:t>
            </w:r>
          </w:p>
        </w:tc>
        <w:tc>
          <w:tcPr>
            <w:tcW w:w="798" w:type="dxa"/>
            <w:tcBorders>
              <w:left w:val="single" w:sz="8" w:space="0" w:color="000000"/>
            </w:tcBorders>
            <w:shd w:fill="FFFFFF" w:val="clear"/>
            <w:tcMar>
              <w:left w:w="0" w:type="dxa"/>
              <w:right w:w="0" w:type="dxa"/>
            </w:tcMar>
          </w:tcPr>
          <w:p>
            <w:pPr>
              <w:pStyle w:val="Normal"/>
              <w:jc w:val="center"/>
              <w:rPr/>
            </w:pPr>
            <w:r>
              <w:rPr/>
              <w:t>4,70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5,90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2,50</w:t>
            </w:r>
          </w:p>
        </w:tc>
        <w:tc>
          <w:tcPr>
            <w:tcW w:w="798" w:type="dxa"/>
            <w:tcBorders>
              <w:left w:val="single" w:sz="8" w:space="0" w:color="000000"/>
            </w:tcBorders>
            <w:shd w:fill="FFFFFF" w:val="clear"/>
            <w:tcMar>
              <w:left w:w="0" w:type="dxa"/>
              <w:right w:w="0" w:type="dxa"/>
            </w:tcMar>
          </w:tcPr>
          <w:p>
            <w:pPr>
              <w:pStyle w:val="Normal"/>
              <w:jc w:val="center"/>
              <w:rPr/>
            </w:pPr>
            <w:r>
              <w:rPr/>
              <w:t>4,25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5,65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1,90</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w:t>
            </w:r>
          </w:p>
        </w:tc>
        <w:tc>
          <w:tcPr>
            <w:tcW w:w="110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5,45</w:t>
            </w:r>
          </w:p>
        </w:tc>
      </w:tr>
      <w:tr>
        <w:trPr/>
        <w:tc>
          <w:tcPr>
            <w:tcW w:w="1320" w:type="dxa"/>
            <w:tcBorders>
              <w:left w:val="single" w:sz="8" w:space="0" w:color="000000"/>
            </w:tcBorders>
            <w:shd w:fill="FFFFFF" w:val="clear"/>
          </w:tcPr>
          <w:p>
            <w:pPr>
              <w:pStyle w:val="Normal"/>
              <w:jc w:val="center"/>
              <w:rPr/>
            </w:pPr>
            <w:r>
              <w:rPr/>
              <w:t>150</w:t>
            </w:r>
          </w:p>
        </w:tc>
        <w:tc>
          <w:tcPr>
            <w:tcW w:w="1346" w:type="dxa"/>
            <w:tcBorders>
              <w:left w:val="single" w:sz="8" w:space="0" w:color="000000"/>
            </w:tcBorders>
            <w:shd w:fill="FFFFFF" w:val="clear"/>
            <w:tcMar>
              <w:left w:w="0" w:type="dxa"/>
              <w:right w:w="0" w:type="dxa"/>
            </w:tcMar>
          </w:tcPr>
          <w:p>
            <w:pPr>
              <w:pStyle w:val="Normal"/>
              <w:jc w:val="center"/>
              <w:rPr/>
            </w:pPr>
            <w:r>
              <w:rPr/>
              <w:t>3,5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0,65</w:t>
            </w:r>
          </w:p>
        </w:tc>
        <w:tc>
          <w:tcPr>
            <w:tcW w:w="798" w:type="dxa"/>
            <w:tcBorders>
              <w:left w:val="single" w:sz="8" w:space="0" w:color="000000"/>
            </w:tcBorders>
            <w:shd w:fill="FFFFFF" w:val="clear"/>
            <w:tcMar>
              <w:left w:w="0" w:type="dxa"/>
              <w:right w:w="0" w:type="dxa"/>
            </w:tcMar>
          </w:tcPr>
          <w:p>
            <w:pPr>
              <w:pStyle w:val="Normal"/>
              <w:jc w:val="center"/>
              <w:rPr/>
            </w:pPr>
            <w:r>
              <w:rPr/>
              <w:t>1,90</w:t>
            </w:r>
          </w:p>
        </w:tc>
        <w:tc>
          <w:tcPr>
            <w:tcW w:w="797" w:type="dxa"/>
            <w:tcBorders>
              <w:left w:val="single" w:sz="8" w:space="0" w:color="000000"/>
            </w:tcBorders>
            <w:shd w:fill="FFFFFF" w:val="clear"/>
            <w:tcMar>
              <w:left w:w="0" w:type="dxa"/>
              <w:right w:w="0" w:type="dxa"/>
            </w:tcMar>
          </w:tcPr>
          <w:p>
            <w:pPr>
              <w:pStyle w:val="Normal"/>
              <w:jc w:val="center"/>
              <w:rPr/>
            </w:pPr>
            <w:r>
              <w:rPr/>
              <w:t>3,25</w:t>
            </w:r>
          </w:p>
        </w:tc>
        <w:tc>
          <w:tcPr>
            <w:tcW w:w="799" w:type="dxa"/>
            <w:tcBorders>
              <w:left w:val="single" w:sz="8" w:space="0" w:color="000000"/>
            </w:tcBorders>
            <w:shd w:fill="FFFFFF" w:val="clear"/>
            <w:tcMar>
              <w:left w:w="0" w:type="dxa"/>
              <w:right w:w="0" w:type="dxa"/>
            </w:tcMar>
          </w:tcPr>
          <w:p>
            <w:pPr>
              <w:pStyle w:val="Normal"/>
              <w:jc w:val="center"/>
              <w:rPr/>
            </w:pPr>
            <w:r>
              <w:rPr/>
              <w:t>4,40</w:t>
            </w:r>
          </w:p>
        </w:tc>
        <w:tc>
          <w:tcPr>
            <w:tcW w:w="798" w:type="dxa"/>
            <w:tcBorders>
              <w:left w:val="single" w:sz="8" w:space="0" w:color="000000"/>
            </w:tcBorders>
            <w:shd w:fill="FFFFFF" w:val="clear"/>
            <w:tcMar>
              <w:left w:w="0" w:type="dxa"/>
              <w:right w:w="0" w:type="dxa"/>
            </w:tcMar>
          </w:tcPr>
          <w:p>
            <w:pPr>
              <w:pStyle w:val="Normal"/>
              <w:jc w:val="center"/>
              <w:rPr/>
            </w:pPr>
            <w:r>
              <w:rPr/>
              <w:t>5,50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1,50</w:t>
            </w:r>
          </w:p>
        </w:tc>
        <w:tc>
          <w:tcPr>
            <w:tcW w:w="797" w:type="dxa"/>
            <w:tcBorders>
              <w:left w:val="single" w:sz="8" w:space="0" w:color="000000"/>
            </w:tcBorders>
            <w:shd w:fill="FFFFFF" w:val="clear"/>
            <w:tcMar>
              <w:left w:w="0" w:type="dxa"/>
              <w:right w:w="0" w:type="dxa"/>
            </w:tcMar>
          </w:tcPr>
          <w:p>
            <w:pPr>
              <w:pStyle w:val="Normal"/>
              <w:jc w:val="center"/>
              <w:rPr/>
            </w:pPr>
            <w:r>
              <w:rPr/>
              <w:t>3,10</w:t>
            </w:r>
          </w:p>
        </w:tc>
        <w:tc>
          <w:tcPr>
            <w:tcW w:w="799" w:type="dxa"/>
            <w:tcBorders>
              <w:left w:val="single" w:sz="8" w:space="0" w:color="000000"/>
            </w:tcBorders>
            <w:shd w:fill="FFFFFF" w:val="clear"/>
            <w:tcMar>
              <w:left w:w="0" w:type="dxa"/>
              <w:right w:w="0" w:type="dxa"/>
            </w:tcMar>
          </w:tcPr>
          <w:p>
            <w:pPr>
              <w:pStyle w:val="Normal"/>
              <w:jc w:val="center"/>
              <w:rPr/>
            </w:pPr>
            <w:r>
              <w:rPr/>
              <w:t>4,30</w:t>
            </w:r>
          </w:p>
        </w:tc>
        <w:tc>
          <w:tcPr>
            <w:tcW w:w="798" w:type="dxa"/>
            <w:tcBorders>
              <w:left w:val="single" w:sz="8" w:space="0" w:color="000000"/>
            </w:tcBorders>
            <w:shd w:fill="FFFFFF" w:val="clear"/>
            <w:tcMar>
              <w:left w:w="0" w:type="dxa"/>
              <w:right w:w="0" w:type="dxa"/>
            </w:tcMar>
          </w:tcPr>
          <w:p>
            <w:pPr>
              <w:pStyle w:val="Normal"/>
              <w:jc w:val="center"/>
              <w:rPr/>
            </w:pPr>
            <w:r>
              <w:rPr/>
              <w:t>5,45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0,75</w:t>
            </w:r>
          </w:p>
        </w:tc>
        <w:tc>
          <w:tcPr>
            <w:tcW w:w="797" w:type="dxa"/>
            <w:tcBorders>
              <w:left w:val="single" w:sz="8" w:space="0" w:color="000000"/>
            </w:tcBorders>
            <w:shd w:fill="FFFFFF" w:val="clear"/>
            <w:tcMar>
              <w:left w:w="0" w:type="dxa"/>
              <w:right w:w="0" w:type="dxa"/>
            </w:tcMar>
          </w:tcPr>
          <w:p>
            <w:pPr>
              <w:pStyle w:val="Normal"/>
              <w:jc w:val="center"/>
              <w:rPr/>
            </w:pPr>
            <w:r>
              <w:rPr/>
              <w:t>2,90</w:t>
            </w:r>
          </w:p>
        </w:tc>
        <w:tc>
          <w:tcPr>
            <w:tcW w:w="799" w:type="dxa"/>
            <w:tcBorders>
              <w:left w:val="single" w:sz="8" w:space="0" w:color="000000"/>
            </w:tcBorders>
            <w:shd w:fill="FFFFFF" w:val="clear"/>
            <w:tcMar>
              <w:left w:w="0" w:type="dxa"/>
              <w:right w:w="0" w:type="dxa"/>
            </w:tcMar>
          </w:tcPr>
          <w:p>
            <w:pPr>
              <w:pStyle w:val="Normal"/>
              <w:jc w:val="center"/>
              <w:rPr/>
            </w:pPr>
            <w:r>
              <w:rPr/>
              <w:t>4,20</w:t>
            </w:r>
          </w:p>
        </w:tc>
        <w:tc>
          <w:tcPr>
            <w:tcW w:w="798" w:type="dxa"/>
            <w:tcBorders>
              <w:left w:val="single" w:sz="8" w:space="0" w:color="000000"/>
            </w:tcBorders>
            <w:shd w:fill="FFFFFF" w:val="clear"/>
            <w:tcMar>
              <w:left w:w="0" w:type="dxa"/>
              <w:right w:w="0" w:type="dxa"/>
            </w:tcMar>
          </w:tcPr>
          <w:p>
            <w:pPr>
              <w:pStyle w:val="Normal"/>
              <w:jc w:val="center"/>
              <w:rPr/>
            </w:pPr>
            <w:r>
              <w:rPr/>
              <w:t>5,35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2,85</w:t>
            </w:r>
          </w:p>
        </w:tc>
        <w:tc>
          <w:tcPr>
            <w:tcW w:w="799" w:type="dxa"/>
            <w:tcBorders>
              <w:left w:val="single" w:sz="8" w:space="0" w:color="000000"/>
            </w:tcBorders>
            <w:shd w:fill="FFFFFF" w:val="clear"/>
            <w:tcMar>
              <w:left w:w="0" w:type="dxa"/>
              <w:right w:w="0" w:type="dxa"/>
            </w:tcMar>
          </w:tcPr>
          <w:p>
            <w:pPr>
              <w:pStyle w:val="Normal"/>
              <w:jc w:val="center"/>
              <w:rPr/>
            </w:pPr>
            <w:r>
              <w:rPr/>
              <w:t>4,05</w:t>
            </w:r>
          </w:p>
        </w:tc>
        <w:tc>
          <w:tcPr>
            <w:tcW w:w="798" w:type="dxa"/>
            <w:tcBorders>
              <w:left w:val="single" w:sz="8" w:space="0" w:color="000000"/>
            </w:tcBorders>
            <w:shd w:fill="FFFFFF" w:val="clear"/>
            <w:tcMar>
              <w:left w:w="0" w:type="dxa"/>
              <w:right w:w="0" w:type="dxa"/>
            </w:tcMar>
          </w:tcPr>
          <w:p>
            <w:pPr>
              <w:pStyle w:val="Normal"/>
              <w:jc w:val="center"/>
              <w:rPr/>
            </w:pPr>
            <w:r>
              <w:rPr/>
              <w:t>5,25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2,30</w:t>
            </w:r>
          </w:p>
        </w:tc>
        <w:tc>
          <w:tcPr>
            <w:tcW w:w="799" w:type="dxa"/>
            <w:tcBorders>
              <w:left w:val="single" w:sz="8" w:space="0" w:color="000000"/>
            </w:tcBorders>
            <w:shd w:fill="FFFFFF" w:val="clear"/>
            <w:tcMar>
              <w:left w:w="0" w:type="dxa"/>
              <w:right w:w="0" w:type="dxa"/>
            </w:tcMar>
          </w:tcPr>
          <w:p>
            <w:pPr>
              <w:pStyle w:val="Normal"/>
              <w:jc w:val="center"/>
              <w:rPr/>
            </w:pPr>
            <w:r>
              <w:rPr/>
              <w:t>3,85</w:t>
            </w:r>
          </w:p>
        </w:tc>
        <w:tc>
          <w:tcPr>
            <w:tcW w:w="798" w:type="dxa"/>
            <w:tcBorders>
              <w:left w:val="single" w:sz="8" w:space="0" w:color="000000"/>
            </w:tcBorders>
            <w:shd w:fill="FFFFFF" w:val="clear"/>
            <w:tcMar>
              <w:left w:w="0" w:type="dxa"/>
              <w:right w:w="0" w:type="dxa"/>
            </w:tcMar>
          </w:tcPr>
          <w:p>
            <w:pPr>
              <w:pStyle w:val="Normal"/>
              <w:jc w:val="center"/>
              <w:rPr/>
            </w:pPr>
            <w:r>
              <w:rPr/>
              <w:t>5,15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1,85</w:t>
            </w:r>
          </w:p>
        </w:tc>
        <w:tc>
          <w:tcPr>
            <w:tcW w:w="799" w:type="dxa"/>
            <w:tcBorders>
              <w:left w:val="single" w:sz="8" w:space="0" w:color="000000"/>
            </w:tcBorders>
            <w:shd w:fill="FFFFFF" w:val="clear"/>
            <w:tcMar>
              <w:left w:w="0" w:type="dxa"/>
              <w:right w:w="0" w:type="dxa"/>
            </w:tcMar>
          </w:tcPr>
          <w:p>
            <w:pPr>
              <w:pStyle w:val="Normal"/>
              <w:jc w:val="center"/>
              <w:rPr/>
            </w:pPr>
            <w:r>
              <w:rPr/>
              <w:t>3,65</w:t>
            </w:r>
          </w:p>
        </w:tc>
        <w:tc>
          <w:tcPr>
            <w:tcW w:w="798" w:type="dxa"/>
            <w:tcBorders>
              <w:left w:val="single" w:sz="8" w:space="0" w:color="000000"/>
            </w:tcBorders>
            <w:shd w:fill="FFFFFF" w:val="clear"/>
            <w:tcMar>
              <w:left w:w="0" w:type="dxa"/>
              <w:right w:w="0" w:type="dxa"/>
            </w:tcMar>
          </w:tcPr>
          <w:p>
            <w:pPr>
              <w:pStyle w:val="Normal"/>
              <w:jc w:val="center"/>
              <w:rPr/>
            </w:pPr>
            <w:r>
              <w:rPr/>
              <w:t>5,00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0,95</w:t>
            </w:r>
          </w:p>
        </w:tc>
        <w:tc>
          <w:tcPr>
            <w:tcW w:w="799" w:type="dxa"/>
            <w:tcBorders>
              <w:left w:val="single" w:sz="8" w:space="0" w:color="000000"/>
            </w:tcBorders>
            <w:shd w:fill="FFFFFF" w:val="clear"/>
            <w:tcMar>
              <w:left w:w="0" w:type="dxa"/>
              <w:right w:w="0" w:type="dxa"/>
            </w:tcMar>
          </w:tcPr>
          <w:p>
            <w:pPr>
              <w:pStyle w:val="Normal"/>
              <w:jc w:val="center"/>
              <w:rPr/>
            </w:pPr>
            <w:r>
              <w:rPr/>
              <w:t>3,40</w:t>
            </w:r>
          </w:p>
        </w:tc>
        <w:tc>
          <w:tcPr>
            <w:tcW w:w="798" w:type="dxa"/>
            <w:tcBorders>
              <w:left w:val="single" w:sz="8" w:space="0" w:color="000000"/>
            </w:tcBorders>
            <w:shd w:fill="FFFFFF" w:val="clear"/>
            <w:tcMar>
              <w:left w:w="0" w:type="dxa"/>
              <w:right w:w="0" w:type="dxa"/>
            </w:tcMar>
          </w:tcPr>
          <w:p>
            <w:pPr>
              <w:pStyle w:val="Normal"/>
              <w:jc w:val="center"/>
              <w:rPr/>
            </w:pPr>
            <w:r>
              <w:rPr/>
              <w:t>4,85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6,05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3,10</w:t>
            </w:r>
          </w:p>
        </w:tc>
        <w:tc>
          <w:tcPr>
            <w:tcW w:w="798" w:type="dxa"/>
            <w:tcBorders>
              <w:left w:val="single" w:sz="8" w:space="0" w:color="000000"/>
            </w:tcBorders>
            <w:shd w:fill="FFFFFF" w:val="clear"/>
            <w:tcMar>
              <w:left w:w="0" w:type="dxa"/>
              <w:right w:w="0" w:type="dxa"/>
            </w:tcMar>
          </w:tcPr>
          <w:p>
            <w:pPr>
              <w:pStyle w:val="Normal"/>
              <w:jc w:val="center"/>
              <w:rPr/>
            </w:pPr>
            <w:r>
              <w:rPr/>
              <w:t>4,65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5,95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2,70</w:t>
            </w:r>
          </w:p>
        </w:tc>
        <w:tc>
          <w:tcPr>
            <w:tcW w:w="798" w:type="dxa"/>
            <w:tcBorders>
              <w:left w:val="single" w:sz="8" w:space="0" w:color="000000"/>
            </w:tcBorders>
            <w:shd w:fill="FFFFFF" w:val="clear"/>
            <w:tcMar>
              <w:left w:w="0" w:type="dxa"/>
              <w:right w:w="0" w:type="dxa"/>
            </w:tcMar>
          </w:tcPr>
          <w:p>
            <w:pPr>
              <w:pStyle w:val="Normal"/>
              <w:jc w:val="center"/>
              <w:rPr/>
            </w:pPr>
            <w:r>
              <w:rPr/>
              <w:t>4,40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5,75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8,0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2,15</w:t>
            </w:r>
          </w:p>
        </w:tc>
        <w:tc>
          <w:tcPr>
            <w:tcW w:w="798" w:type="dxa"/>
            <w:tcBorders>
              <w:left w:val="single" w:sz="8" w:space="0" w:color="000000"/>
            </w:tcBorders>
            <w:shd w:fill="FFFFFF" w:val="clear"/>
            <w:tcMar>
              <w:left w:w="0" w:type="dxa"/>
              <w:right w:w="0" w:type="dxa"/>
            </w:tcMar>
          </w:tcPr>
          <w:p>
            <w:pPr>
              <w:pStyle w:val="Normal"/>
              <w:jc w:val="center"/>
              <w:rPr/>
            </w:pPr>
            <w:r>
              <w:rPr/>
              <w:t>4,15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5,60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8,5</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3,85</w:t>
            </w:r>
          </w:p>
        </w:tc>
        <w:tc>
          <w:tcPr>
            <w:tcW w:w="110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5,40</w:t>
            </w:r>
          </w:p>
        </w:tc>
      </w:tr>
      <w:tr>
        <w:trPr/>
        <w:tc>
          <w:tcPr>
            <w:tcW w:w="1320" w:type="dxa"/>
            <w:tcBorders>
              <w:left w:val="single" w:sz="8" w:space="0" w:color="000000"/>
            </w:tcBorders>
            <w:shd w:fill="FFFFFF" w:val="clear"/>
          </w:tcPr>
          <w:p>
            <w:pPr>
              <w:pStyle w:val="Normal"/>
              <w:jc w:val="center"/>
              <w:rPr/>
            </w:pPr>
            <w:r>
              <w:rPr/>
              <w:t>220</w:t>
            </w:r>
          </w:p>
        </w:tc>
        <w:tc>
          <w:tcPr>
            <w:tcW w:w="1346" w:type="dxa"/>
            <w:tcBorders>
              <w:left w:val="single" w:sz="8" w:space="0" w:color="000000"/>
            </w:tcBorders>
            <w:shd w:fill="FFFFFF" w:val="clear"/>
            <w:tcMar>
              <w:left w:w="0" w:type="dxa"/>
              <w:right w:w="0" w:type="dxa"/>
            </w:tcMar>
          </w:tcPr>
          <w:p>
            <w:pPr>
              <w:pStyle w:val="Normal"/>
              <w:jc w:val="center"/>
              <w:rPr/>
            </w:pPr>
            <w:r>
              <w:rPr/>
              <w:t>4,0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1,95</w:t>
            </w:r>
          </w:p>
        </w:tc>
        <w:tc>
          <w:tcPr>
            <w:tcW w:w="797" w:type="dxa"/>
            <w:tcBorders>
              <w:left w:val="single" w:sz="8" w:space="0" w:color="000000"/>
            </w:tcBorders>
            <w:shd w:fill="FFFFFF" w:val="clear"/>
            <w:tcMar>
              <w:left w:w="0" w:type="dxa"/>
              <w:right w:w="0" w:type="dxa"/>
            </w:tcMar>
          </w:tcPr>
          <w:p>
            <w:pPr>
              <w:pStyle w:val="Normal"/>
              <w:jc w:val="center"/>
              <w:rPr/>
            </w:pPr>
            <w:r>
              <w:rPr/>
              <w:t>3,45</w:t>
            </w:r>
          </w:p>
        </w:tc>
        <w:tc>
          <w:tcPr>
            <w:tcW w:w="799" w:type="dxa"/>
            <w:tcBorders>
              <w:left w:val="single" w:sz="8" w:space="0" w:color="000000"/>
            </w:tcBorders>
            <w:shd w:fill="FFFFFF" w:val="clear"/>
            <w:tcMar>
              <w:left w:w="0" w:type="dxa"/>
              <w:right w:w="0" w:type="dxa"/>
            </w:tcMar>
          </w:tcPr>
          <w:p>
            <w:pPr>
              <w:pStyle w:val="Normal"/>
              <w:jc w:val="center"/>
              <w:rPr/>
            </w:pPr>
            <w:r>
              <w:rPr/>
              <w:t>4,45</w:t>
            </w:r>
          </w:p>
        </w:tc>
        <w:tc>
          <w:tcPr>
            <w:tcW w:w="798" w:type="dxa"/>
            <w:tcBorders>
              <w:left w:val="single" w:sz="8" w:space="0" w:color="000000"/>
            </w:tcBorders>
            <w:shd w:fill="FFFFFF" w:val="clear"/>
            <w:tcMar>
              <w:left w:w="0" w:type="dxa"/>
              <w:right w:w="0" w:type="dxa"/>
            </w:tcMar>
          </w:tcPr>
          <w:p>
            <w:pPr>
              <w:pStyle w:val="Normal"/>
              <w:jc w:val="center"/>
              <w:rPr/>
            </w:pPr>
            <w:r>
              <w:rPr/>
              <w:t>5,80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6,85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4,5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1,45</w:t>
            </w:r>
          </w:p>
        </w:tc>
        <w:tc>
          <w:tcPr>
            <w:tcW w:w="797" w:type="dxa"/>
            <w:tcBorders>
              <w:left w:val="single" w:sz="8" w:space="0" w:color="000000"/>
            </w:tcBorders>
            <w:shd w:fill="FFFFFF" w:val="clear"/>
            <w:tcMar>
              <w:left w:w="0" w:type="dxa"/>
              <w:right w:w="0" w:type="dxa"/>
            </w:tcMar>
          </w:tcPr>
          <w:p>
            <w:pPr>
              <w:pStyle w:val="Normal"/>
              <w:jc w:val="center"/>
              <w:rPr/>
            </w:pPr>
            <w:r>
              <w:rPr/>
              <w:t>3,25</w:t>
            </w:r>
          </w:p>
        </w:tc>
        <w:tc>
          <w:tcPr>
            <w:tcW w:w="799" w:type="dxa"/>
            <w:tcBorders>
              <w:left w:val="single" w:sz="8" w:space="0" w:color="000000"/>
            </w:tcBorders>
            <w:shd w:fill="FFFFFF" w:val="clear"/>
            <w:tcMar>
              <w:left w:w="0" w:type="dxa"/>
              <w:right w:w="0" w:type="dxa"/>
            </w:tcMar>
          </w:tcPr>
          <w:p>
            <w:pPr>
              <w:pStyle w:val="Normal"/>
              <w:jc w:val="center"/>
              <w:rPr/>
            </w:pPr>
            <w:r>
              <w:rPr/>
              <w:t>4,55</w:t>
            </w:r>
          </w:p>
        </w:tc>
        <w:tc>
          <w:tcPr>
            <w:tcW w:w="798" w:type="dxa"/>
            <w:tcBorders>
              <w:left w:val="single" w:sz="8" w:space="0" w:color="000000"/>
            </w:tcBorders>
            <w:shd w:fill="FFFFFF" w:val="clear"/>
            <w:tcMar>
              <w:left w:w="0" w:type="dxa"/>
              <w:right w:w="0" w:type="dxa"/>
            </w:tcMar>
          </w:tcPr>
          <w:p>
            <w:pPr>
              <w:pStyle w:val="Normal"/>
              <w:jc w:val="center"/>
              <w:rPr/>
            </w:pPr>
            <w:r>
              <w:rPr/>
              <w:t>5,70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6,80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3,05</w:t>
            </w:r>
          </w:p>
        </w:tc>
        <w:tc>
          <w:tcPr>
            <w:tcW w:w="799" w:type="dxa"/>
            <w:tcBorders>
              <w:left w:val="single" w:sz="8" w:space="0" w:color="000000"/>
            </w:tcBorders>
            <w:shd w:fill="FFFFFF" w:val="clear"/>
            <w:tcMar>
              <w:left w:w="0" w:type="dxa"/>
              <w:right w:w="0" w:type="dxa"/>
            </w:tcMar>
          </w:tcPr>
          <w:p>
            <w:pPr>
              <w:pStyle w:val="Normal"/>
              <w:jc w:val="center"/>
              <w:rPr/>
            </w:pPr>
            <w:r>
              <w:rPr/>
              <w:t>4,40</w:t>
            </w:r>
          </w:p>
        </w:tc>
        <w:tc>
          <w:tcPr>
            <w:tcW w:w="798" w:type="dxa"/>
            <w:tcBorders>
              <w:left w:val="single" w:sz="8" w:space="0" w:color="000000"/>
            </w:tcBorders>
            <w:shd w:fill="FFFFFF" w:val="clear"/>
            <w:tcMar>
              <w:left w:w="0" w:type="dxa"/>
              <w:right w:w="0" w:type="dxa"/>
            </w:tcMar>
          </w:tcPr>
          <w:p>
            <w:pPr>
              <w:pStyle w:val="Normal"/>
              <w:jc w:val="center"/>
              <w:rPr/>
            </w:pPr>
            <w:r>
              <w:rPr/>
              <w:t>5,60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6,70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5,5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2,75</w:t>
            </w:r>
          </w:p>
        </w:tc>
        <w:tc>
          <w:tcPr>
            <w:tcW w:w="799" w:type="dxa"/>
            <w:tcBorders>
              <w:left w:val="single" w:sz="8" w:space="0" w:color="000000"/>
            </w:tcBorders>
            <w:shd w:fill="FFFFFF" w:val="clear"/>
            <w:tcMar>
              <w:left w:w="0" w:type="dxa"/>
              <w:right w:w="0" w:type="dxa"/>
            </w:tcMar>
          </w:tcPr>
          <w:p>
            <w:pPr>
              <w:pStyle w:val="Normal"/>
              <w:jc w:val="center"/>
              <w:rPr/>
            </w:pPr>
            <w:r>
              <w:rPr/>
              <w:t>4,25</w:t>
            </w:r>
          </w:p>
        </w:tc>
        <w:tc>
          <w:tcPr>
            <w:tcW w:w="798" w:type="dxa"/>
            <w:tcBorders>
              <w:left w:val="single" w:sz="8" w:space="0" w:color="000000"/>
            </w:tcBorders>
            <w:shd w:fill="FFFFFF" w:val="clear"/>
            <w:tcMar>
              <w:left w:w="0" w:type="dxa"/>
              <w:right w:w="0" w:type="dxa"/>
            </w:tcMar>
          </w:tcPr>
          <w:p>
            <w:pPr>
              <w:pStyle w:val="Normal"/>
              <w:jc w:val="center"/>
              <w:rPr/>
            </w:pPr>
            <w:r>
              <w:rPr/>
              <w:t>5,50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6,65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2,35</w:t>
            </w:r>
          </w:p>
        </w:tc>
        <w:tc>
          <w:tcPr>
            <w:tcW w:w="799" w:type="dxa"/>
            <w:tcBorders>
              <w:left w:val="single" w:sz="8" w:space="0" w:color="000000"/>
            </w:tcBorders>
            <w:shd w:fill="FFFFFF" w:val="clear"/>
            <w:tcMar>
              <w:left w:w="0" w:type="dxa"/>
              <w:right w:w="0" w:type="dxa"/>
            </w:tcMar>
          </w:tcPr>
          <w:p>
            <w:pPr>
              <w:pStyle w:val="Normal"/>
              <w:jc w:val="center"/>
              <w:rPr/>
            </w:pPr>
            <w:r>
              <w:rPr/>
              <w:t>4,05</w:t>
            </w:r>
          </w:p>
        </w:tc>
        <w:tc>
          <w:tcPr>
            <w:tcW w:w="798" w:type="dxa"/>
            <w:tcBorders>
              <w:left w:val="single" w:sz="8" w:space="0" w:color="000000"/>
            </w:tcBorders>
            <w:shd w:fill="FFFFFF" w:val="clear"/>
            <w:tcMar>
              <w:left w:w="0" w:type="dxa"/>
              <w:right w:w="0" w:type="dxa"/>
            </w:tcMar>
          </w:tcPr>
          <w:p>
            <w:pPr>
              <w:pStyle w:val="Normal"/>
              <w:jc w:val="center"/>
              <w:rPr/>
            </w:pPr>
            <w:r>
              <w:rPr/>
              <w:t>5,35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6,5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1,75</w:t>
            </w:r>
          </w:p>
        </w:tc>
        <w:tc>
          <w:tcPr>
            <w:tcW w:w="799" w:type="dxa"/>
            <w:tcBorders>
              <w:left w:val="single" w:sz="8" w:space="0" w:color="000000"/>
            </w:tcBorders>
            <w:shd w:fill="FFFFFF" w:val="clear"/>
            <w:tcMar>
              <w:left w:w="0" w:type="dxa"/>
              <w:right w:w="0" w:type="dxa"/>
            </w:tcMar>
          </w:tcPr>
          <w:p>
            <w:pPr>
              <w:pStyle w:val="Normal"/>
              <w:jc w:val="center"/>
              <w:rPr/>
            </w:pPr>
            <w:r>
              <w:rPr/>
              <w:t>3,80</w:t>
            </w:r>
          </w:p>
        </w:tc>
        <w:tc>
          <w:tcPr>
            <w:tcW w:w="798" w:type="dxa"/>
            <w:tcBorders>
              <w:left w:val="single" w:sz="8" w:space="0" w:color="000000"/>
            </w:tcBorders>
            <w:shd w:fill="FFFFFF" w:val="clear"/>
            <w:tcMar>
              <w:left w:w="0" w:type="dxa"/>
              <w:right w:w="0" w:type="dxa"/>
            </w:tcMar>
          </w:tcPr>
          <w:p>
            <w:pPr>
              <w:pStyle w:val="Normal"/>
              <w:jc w:val="center"/>
              <w:rPr/>
            </w:pPr>
            <w:r>
              <w:rPr/>
              <w:t>5,20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3,50</w:t>
            </w:r>
          </w:p>
        </w:tc>
        <w:tc>
          <w:tcPr>
            <w:tcW w:w="798" w:type="dxa"/>
            <w:tcBorders>
              <w:left w:val="single" w:sz="8" w:space="0" w:color="000000"/>
            </w:tcBorders>
            <w:shd w:fill="FFFFFF" w:val="clear"/>
            <w:tcMar>
              <w:left w:w="0" w:type="dxa"/>
              <w:right w:w="0" w:type="dxa"/>
            </w:tcMar>
          </w:tcPr>
          <w:p>
            <w:pPr>
              <w:pStyle w:val="Normal"/>
              <w:jc w:val="center"/>
              <w:rPr/>
            </w:pPr>
            <w:r>
              <w:rPr/>
              <w:t>5,00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6,30</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7,5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3,15</w:t>
            </w:r>
          </w:p>
        </w:tc>
        <w:tc>
          <w:tcPr>
            <w:tcW w:w="798" w:type="dxa"/>
            <w:tcBorders>
              <w:left w:val="single" w:sz="8" w:space="0" w:color="000000"/>
            </w:tcBorders>
            <w:shd w:fill="FFFFFF" w:val="clear"/>
            <w:tcMar>
              <w:left w:w="0" w:type="dxa"/>
              <w:right w:w="0" w:type="dxa"/>
            </w:tcMar>
          </w:tcPr>
          <w:p>
            <w:pPr>
              <w:pStyle w:val="Normal"/>
              <w:jc w:val="center"/>
              <w:rPr/>
            </w:pPr>
            <w:r>
              <w:rPr/>
              <w:t>4,80</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6,15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8,0</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2,70</w:t>
            </w:r>
          </w:p>
        </w:tc>
        <w:tc>
          <w:tcPr>
            <w:tcW w:w="798" w:type="dxa"/>
            <w:tcBorders>
              <w:left w:val="single" w:sz="8" w:space="0" w:color="000000"/>
            </w:tcBorders>
            <w:shd w:fill="FFFFFF" w:val="clear"/>
            <w:tcMar>
              <w:left w:w="0" w:type="dxa"/>
              <w:right w:w="0" w:type="dxa"/>
            </w:tcMar>
          </w:tcPr>
          <w:p>
            <w:pPr>
              <w:pStyle w:val="Normal"/>
              <w:jc w:val="center"/>
              <w:rPr/>
            </w:pPr>
            <w:r>
              <w:rPr/>
              <w:t>4,55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5,95</w:t>
            </w:r>
          </w:p>
        </w:tc>
      </w:tr>
      <w:tr>
        <w:trPr/>
        <w:tc>
          <w:tcPr>
            <w:tcW w:w="1320" w:type="dxa"/>
            <w:tcBorders>
              <w:left w:val="single" w:sz="8" w:space="0" w:color="000000"/>
            </w:tcBorders>
            <w:shd w:fill="FFFFFF" w:val="clear"/>
          </w:tcPr>
          <w:p>
            <w:pPr>
              <w:pStyle w:val="Normal"/>
              <w:snapToGrid w:val="false"/>
              <w:rPr/>
            </w:pPr>
            <w:r>
              <w:rPr/>
            </w:r>
          </w:p>
        </w:tc>
        <w:tc>
          <w:tcPr>
            <w:tcW w:w="1346" w:type="dxa"/>
            <w:tcBorders>
              <w:left w:val="single" w:sz="8" w:space="0" w:color="000000"/>
            </w:tcBorders>
            <w:shd w:fill="FFFFFF" w:val="clear"/>
            <w:tcMar>
              <w:left w:w="0" w:type="dxa"/>
              <w:right w:w="0" w:type="dxa"/>
            </w:tcMar>
          </w:tcPr>
          <w:p>
            <w:pPr>
              <w:pStyle w:val="Normal"/>
              <w:jc w:val="center"/>
              <w:rPr/>
            </w:pPr>
            <w:r>
              <w:rPr/>
              <w:t>8,5</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tcBorders>
            <w:shd w:fill="FFFFFF" w:val="clear"/>
            <w:tcMar>
              <w:left w:w="0" w:type="dxa"/>
              <w:right w:w="0" w:type="dxa"/>
            </w:tcMar>
          </w:tcPr>
          <w:p>
            <w:pPr>
              <w:pStyle w:val="Normal"/>
              <w:jc w:val="center"/>
              <w:rPr/>
            </w:pPr>
            <w:r>
              <w:rPr/>
              <w:t>2,05</w:t>
            </w:r>
          </w:p>
        </w:tc>
        <w:tc>
          <w:tcPr>
            <w:tcW w:w="798" w:type="dxa"/>
            <w:tcBorders>
              <w:left w:val="single" w:sz="8" w:space="0" w:color="000000"/>
            </w:tcBorders>
            <w:shd w:fill="FFFFFF" w:val="clear"/>
            <w:tcMar>
              <w:left w:w="0" w:type="dxa"/>
              <w:right w:w="0" w:type="dxa"/>
            </w:tcMar>
          </w:tcPr>
          <w:p>
            <w:pPr>
              <w:pStyle w:val="Normal"/>
              <w:jc w:val="center"/>
              <w:rPr/>
            </w:pPr>
            <w:r>
              <w:rPr/>
              <w:t>4,25</w:t>
            </w:r>
          </w:p>
        </w:tc>
        <w:tc>
          <w:tcPr>
            <w:tcW w:w="110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5,75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3,95</w:t>
            </w:r>
          </w:p>
        </w:tc>
        <w:tc>
          <w:tcPr>
            <w:tcW w:w="110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5,55</w:t>
            </w:r>
          </w:p>
        </w:tc>
      </w:tr>
    </w:tbl>
    <w:p>
      <w:pPr>
        <w:pStyle w:val="Normal"/>
        <w:spacing w:before="120" w:after="120"/>
        <w:jc w:val="right"/>
        <w:rPr/>
      </w:pPr>
      <w:r>
        <w:rPr>
          <w:spacing w:val="40"/>
        </w:rPr>
        <w:t>Таблица</w:t>
      </w:r>
      <w:r>
        <w:rPr/>
        <w:t xml:space="preserve"> П5</w:t>
      </w:r>
    </w:p>
    <w:p>
      <w:pPr>
        <w:pStyle w:val="Normal"/>
        <w:spacing w:before="0" w:after="120"/>
        <w:jc w:val="center"/>
        <w:rPr>
          <w:b/>
          <w:b/>
          <w:bCs/>
        </w:rPr>
      </w:pPr>
      <w:r>
        <w:rPr>
          <w:b/>
          <w:bCs/>
        </w:rPr>
        <w:t>Наименьшее смещение проводов соседних ярусов по горизонтали на промежуточных опорах ВЛ 330 кВ в районах с частой и интенсивной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41"/>
        <w:gridCol w:w="1112"/>
        <w:gridCol w:w="1112"/>
        <w:gridCol w:w="1112"/>
        <w:gridCol w:w="1112"/>
        <w:gridCol w:w="1113"/>
        <w:gridCol w:w="1133"/>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4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94"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4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112"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111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11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16 и более</w:t>
            </w:r>
          </w:p>
        </w:tc>
      </w:tr>
      <w:tr>
        <w:trPr/>
        <w:tc>
          <w:tcPr>
            <w:tcW w:w="1320" w:type="dxa"/>
            <w:tcBorders>
              <w:left w:val="single" w:sz="8" w:space="0" w:color="000000"/>
            </w:tcBorders>
            <w:shd w:fill="FFFFFF" w:val="clear"/>
          </w:tcPr>
          <w:p>
            <w:pPr>
              <w:pStyle w:val="Normal"/>
              <w:jc w:val="center"/>
              <w:rPr/>
            </w:pPr>
            <w:r>
              <w:rPr/>
              <w:t>330</w:t>
            </w:r>
          </w:p>
        </w:tc>
        <w:tc>
          <w:tcPr>
            <w:tcW w:w="1341" w:type="dxa"/>
            <w:tcBorders>
              <w:left w:val="single" w:sz="8" w:space="0" w:color="000000"/>
            </w:tcBorders>
            <w:shd w:fill="FFFFFF" w:val="clear"/>
            <w:tcMar>
              <w:left w:w="0" w:type="dxa"/>
              <w:right w:w="0" w:type="dxa"/>
            </w:tcMar>
          </w:tcPr>
          <w:p>
            <w:pPr>
              <w:pStyle w:val="Normal"/>
              <w:jc w:val="center"/>
              <w:rPr/>
            </w:pPr>
            <w:r>
              <w:rPr/>
              <w:t>5,0</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1,20</w:t>
            </w:r>
          </w:p>
        </w:tc>
        <w:tc>
          <w:tcPr>
            <w:tcW w:w="1112" w:type="dxa"/>
            <w:tcBorders>
              <w:left w:val="single" w:sz="8" w:space="0" w:color="000000"/>
            </w:tcBorders>
            <w:shd w:fill="FFFFFF" w:val="clear"/>
            <w:tcMar>
              <w:left w:w="0" w:type="dxa"/>
              <w:right w:w="0" w:type="dxa"/>
            </w:tcMar>
          </w:tcPr>
          <w:p>
            <w:pPr>
              <w:pStyle w:val="Normal"/>
              <w:jc w:val="center"/>
              <w:rPr/>
            </w:pPr>
            <w:r>
              <w:rPr/>
              <w:t>2,45</w:t>
            </w:r>
          </w:p>
        </w:tc>
        <w:tc>
          <w:tcPr>
            <w:tcW w:w="1112" w:type="dxa"/>
            <w:tcBorders>
              <w:left w:val="single" w:sz="8" w:space="0" w:color="000000"/>
            </w:tcBorders>
            <w:shd w:fill="FFFFFF" w:val="clear"/>
            <w:tcMar>
              <w:left w:w="0" w:type="dxa"/>
              <w:right w:w="0" w:type="dxa"/>
            </w:tcMar>
          </w:tcPr>
          <w:p>
            <w:pPr>
              <w:pStyle w:val="Normal"/>
              <w:jc w:val="center"/>
              <w:rPr/>
            </w:pPr>
            <w:r>
              <w:rPr/>
              <w:t>3,80</w:t>
            </w:r>
          </w:p>
        </w:tc>
        <w:tc>
          <w:tcPr>
            <w:tcW w:w="1113" w:type="dxa"/>
            <w:tcBorders>
              <w:left w:val="single" w:sz="8" w:space="0" w:color="000000"/>
            </w:tcBorders>
            <w:shd w:fill="FFFFFF" w:val="clear"/>
            <w:tcMar>
              <w:left w:w="0" w:type="dxa"/>
              <w:right w:w="0" w:type="dxa"/>
            </w:tcMar>
          </w:tcPr>
          <w:p>
            <w:pPr>
              <w:pStyle w:val="Normal"/>
              <w:jc w:val="center"/>
              <w:rPr/>
            </w:pPr>
            <w:r>
              <w:rPr/>
              <w:t>5,80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7,55</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5,5</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1,85</w:t>
            </w:r>
          </w:p>
        </w:tc>
        <w:tc>
          <w:tcPr>
            <w:tcW w:w="1112" w:type="dxa"/>
            <w:tcBorders>
              <w:left w:val="single" w:sz="8" w:space="0" w:color="000000"/>
            </w:tcBorders>
            <w:shd w:fill="FFFFFF" w:val="clear"/>
            <w:tcMar>
              <w:left w:w="0" w:type="dxa"/>
              <w:right w:w="0" w:type="dxa"/>
            </w:tcMar>
          </w:tcPr>
          <w:p>
            <w:pPr>
              <w:pStyle w:val="Normal"/>
              <w:jc w:val="center"/>
              <w:rPr/>
            </w:pPr>
            <w:r>
              <w:rPr/>
              <w:t>3,55</w:t>
            </w:r>
          </w:p>
        </w:tc>
        <w:tc>
          <w:tcPr>
            <w:tcW w:w="1113" w:type="dxa"/>
            <w:tcBorders>
              <w:left w:val="single" w:sz="8" w:space="0" w:color="000000"/>
            </w:tcBorders>
            <w:shd w:fill="FFFFFF" w:val="clear"/>
            <w:tcMar>
              <w:left w:w="0" w:type="dxa"/>
              <w:right w:w="0" w:type="dxa"/>
            </w:tcMar>
          </w:tcPr>
          <w:p>
            <w:pPr>
              <w:pStyle w:val="Normal"/>
              <w:jc w:val="center"/>
              <w:rPr/>
            </w:pPr>
            <w:r>
              <w:rPr/>
              <w:t>5,70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7,45</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6,0</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3,20</w:t>
            </w:r>
          </w:p>
        </w:tc>
        <w:tc>
          <w:tcPr>
            <w:tcW w:w="1113" w:type="dxa"/>
            <w:tcBorders>
              <w:left w:val="single" w:sz="8" w:space="0" w:color="000000"/>
            </w:tcBorders>
            <w:shd w:fill="FFFFFF" w:val="clear"/>
            <w:tcMar>
              <w:left w:w="0" w:type="dxa"/>
              <w:right w:w="0" w:type="dxa"/>
            </w:tcMar>
          </w:tcPr>
          <w:p>
            <w:pPr>
              <w:pStyle w:val="Normal"/>
              <w:jc w:val="center"/>
              <w:rPr/>
            </w:pPr>
            <w:r>
              <w:rPr/>
              <w:t>5,55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7,40</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6,5</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2,80</w:t>
            </w:r>
          </w:p>
        </w:tc>
        <w:tc>
          <w:tcPr>
            <w:tcW w:w="1113" w:type="dxa"/>
            <w:tcBorders>
              <w:left w:val="single" w:sz="8" w:space="0" w:color="000000"/>
            </w:tcBorders>
            <w:shd w:fill="FFFFFF" w:val="clear"/>
            <w:tcMar>
              <w:left w:w="0" w:type="dxa"/>
              <w:right w:w="0" w:type="dxa"/>
            </w:tcMar>
          </w:tcPr>
          <w:p>
            <w:pPr>
              <w:pStyle w:val="Normal"/>
              <w:jc w:val="center"/>
              <w:rPr/>
            </w:pPr>
            <w:r>
              <w:rPr/>
              <w:t>5,40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7,30</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7,0</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2,10</w:t>
            </w:r>
          </w:p>
        </w:tc>
        <w:tc>
          <w:tcPr>
            <w:tcW w:w="1113" w:type="dxa"/>
            <w:tcBorders>
              <w:left w:val="single" w:sz="8" w:space="0" w:color="000000"/>
            </w:tcBorders>
            <w:shd w:fill="FFFFFF" w:val="clear"/>
            <w:tcMar>
              <w:left w:w="0" w:type="dxa"/>
              <w:right w:w="0" w:type="dxa"/>
            </w:tcMar>
          </w:tcPr>
          <w:p>
            <w:pPr>
              <w:pStyle w:val="Normal"/>
              <w:jc w:val="center"/>
              <w:rPr/>
            </w:pPr>
            <w:r>
              <w:rPr/>
              <w:t>5,20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7,20</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7,5</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4,95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7,05</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8,0</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4,70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6,95</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8,5</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4,35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6,75</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9,0</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3,95</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6,60</w:t>
            </w:r>
          </w:p>
        </w:tc>
      </w:tr>
      <w:tr>
        <w:trPr/>
        <w:tc>
          <w:tcPr>
            <w:tcW w:w="1320" w:type="dxa"/>
            <w:tcBorders>
              <w:left w:val="single" w:sz="8" w:space="0" w:color="000000"/>
            </w:tcBorders>
            <w:shd w:fill="FFFFFF" w:val="clear"/>
          </w:tcPr>
          <w:p>
            <w:pPr>
              <w:pStyle w:val="Normal"/>
              <w:snapToGrid w:val="false"/>
              <w:rPr/>
            </w:pPr>
            <w:r>
              <w:rPr/>
            </w:r>
          </w:p>
        </w:tc>
        <w:tc>
          <w:tcPr>
            <w:tcW w:w="1341" w:type="dxa"/>
            <w:tcBorders>
              <w:left w:val="single" w:sz="8" w:space="0" w:color="000000"/>
            </w:tcBorders>
            <w:shd w:fill="FFFFFF" w:val="clear"/>
            <w:tcMar>
              <w:left w:w="0" w:type="dxa"/>
              <w:right w:w="0" w:type="dxa"/>
            </w:tcMar>
          </w:tcPr>
          <w:p>
            <w:pPr>
              <w:pStyle w:val="Normal"/>
              <w:jc w:val="center"/>
              <w:rPr/>
            </w:pPr>
            <w:r>
              <w:rPr/>
              <w:t>9,5</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tcBorders>
            <w:shd w:fill="FFFFFF" w:val="clear"/>
            <w:tcMar>
              <w:left w:w="0" w:type="dxa"/>
              <w:right w:w="0" w:type="dxa"/>
            </w:tcMar>
          </w:tcPr>
          <w:p>
            <w:pPr>
              <w:pStyle w:val="Normal"/>
              <w:jc w:val="center"/>
              <w:rPr/>
            </w:pPr>
            <w:r>
              <w:rPr/>
              <w:t>3,40</w:t>
            </w:r>
          </w:p>
        </w:tc>
        <w:tc>
          <w:tcPr>
            <w:tcW w:w="11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11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2,60</w:t>
            </w:r>
          </w:p>
        </w:tc>
        <w:tc>
          <w:tcPr>
            <w:tcW w:w="11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6,10</w:t>
            </w:r>
          </w:p>
        </w:tc>
      </w:tr>
    </w:tbl>
    <w:p>
      <w:pPr>
        <w:pStyle w:val="Normal"/>
        <w:spacing w:before="120" w:after="120"/>
        <w:jc w:val="right"/>
        <w:rPr/>
      </w:pPr>
      <w:r>
        <w:rPr>
          <w:spacing w:val="40"/>
        </w:rPr>
        <w:t>Таблица</w:t>
      </w:r>
      <w:r>
        <w:rPr/>
        <w:t xml:space="preserve"> П6</w:t>
      </w:r>
    </w:p>
    <w:p>
      <w:pPr>
        <w:pStyle w:val="Normal"/>
        <w:spacing w:before="0" w:after="120"/>
        <w:jc w:val="center"/>
        <w:rPr>
          <w:b/>
          <w:b/>
          <w:bCs/>
        </w:rPr>
      </w:pPr>
      <w:r>
        <w:rPr>
          <w:b/>
          <w:bCs/>
        </w:rPr>
        <w:t>Наименьшее смещение проводов соседних ярусов по горизонтали на промежуточных опорах ВЛ 500 - 750 кВ в районах с частой и интенсивной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39"/>
        <w:gridCol w:w="1334"/>
        <w:gridCol w:w="1334"/>
        <w:gridCol w:w="1334"/>
        <w:gridCol w:w="1335"/>
        <w:gridCol w:w="1359"/>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39"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96" w:type="dxa"/>
            <w:gridSpan w:val="5"/>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м, при среднегодовой температуре</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39"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33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4</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12 и более</w:t>
            </w:r>
          </w:p>
        </w:tc>
      </w:tr>
      <w:tr>
        <w:trPr/>
        <w:tc>
          <w:tcPr>
            <w:tcW w:w="1320" w:type="dxa"/>
            <w:tcBorders>
              <w:left w:val="single" w:sz="8" w:space="0" w:color="000000"/>
            </w:tcBorders>
            <w:shd w:fill="FFFFFF" w:val="clear"/>
          </w:tcPr>
          <w:p>
            <w:pPr>
              <w:pStyle w:val="Normal"/>
              <w:jc w:val="center"/>
              <w:rPr/>
            </w:pPr>
            <w:r>
              <w:rPr/>
              <w:t>500</w:t>
            </w:r>
          </w:p>
        </w:tc>
        <w:tc>
          <w:tcPr>
            <w:tcW w:w="1339" w:type="dxa"/>
            <w:tcBorders>
              <w:left w:val="single" w:sz="8" w:space="0" w:color="000000"/>
            </w:tcBorders>
            <w:shd w:fill="FFFFFF" w:val="clear"/>
            <w:tcMar>
              <w:left w:w="0" w:type="dxa"/>
              <w:right w:w="0" w:type="dxa"/>
            </w:tcMar>
          </w:tcPr>
          <w:p>
            <w:pPr>
              <w:pStyle w:val="Normal"/>
              <w:jc w:val="center"/>
              <w:rPr/>
            </w:pPr>
            <w:r>
              <w:rPr/>
              <w:t>6,0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2,90</w:t>
            </w:r>
          </w:p>
        </w:tc>
        <w:tc>
          <w:tcPr>
            <w:tcW w:w="1334" w:type="dxa"/>
            <w:tcBorders>
              <w:left w:val="single" w:sz="8" w:space="0" w:color="000000"/>
            </w:tcBorders>
            <w:shd w:fill="FFFFFF" w:val="clear"/>
            <w:tcMar>
              <w:left w:w="0" w:type="dxa"/>
              <w:right w:w="0" w:type="dxa"/>
            </w:tcMar>
          </w:tcPr>
          <w:p>
            <w:pPr>
              <w:pStyle w:val="Normal"/>
              <w:jc w:val="center"/>
              <w:rPr/>
            </w:pPr>
            <w:r>
              <w:rPr/>
              <w:t>3,95</w:t>
            </w:r>
          </w:p>
        </w:tc>
        <w:tc>
          <w:tcPr>
            <w:tcW w:w="1335" w:type="dxa"/>
            <w:tcBorders>
              <w:left w:val="single" w:sz="8" w:space="0" w:color="000000"/>
            </w:tcBorders>
            <w:shd w:fill="FFFFFF" w:val="clear"/>
            <w:tcMar>
              <w:left w:w="0" w:type="dxa"/>
              <w:right w:w="0" w:type="dxa"/>
            </w:tcMar>
          </w:tcPr>
          <w:p>
            <w:pPr>
              <w:pStyle w:val="Normal"/>
              <w:jc w:val="center"/>
              <w:rPr/>
            </w:pPr>
            <w:r>
              <w:rPr/>
              <w:t>5,50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8,00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6,5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2,25</w:t>
            </w:r>
          </w:p>
        </w:tc>
        <w:tc>
          <w:tcPr>
            <w:tcW w:w="1334" w:type="dxa"/>
            <w:tcBorders>
              <w:left w:val="single" w:sz="8" w:space="0" w:color="000000"/>
            </w:tcBorders>
            <w:shd w:fill="FFFFFF" w:val="clear"/>
            <w:tcMar>
              <w:left w:w="0" w:type="dxa"/>
              <w:right w:w="0" w:type="dxa"/>
            </w:tcMar>
          </w:tcPr>
          <w:p>
            <w:pPr>
              <w:pStyle w:val="Normal"/>
              <w:jc w:val="center"/>
              <w:rPr/>
            </w:pPr>
            <w:r>
              <w:rPr/>
              <w:t>3,55</w:t>
            </w:r>
          </w:p>
        </w:tc>
        <w:tc>
          <w:tcPr>
            <w:tcW w:w="1335" w:type="dxa"/>
            <w:tcBorders>
              <w:left w:val="single" w:sz="8" w:space="0" w:color="000000"/>
            </w:tcBorders>
            <w:shd w:fill="FFFFFF" w:val="clear"/>
            <w:tcMar>
              <w:left w:w="0" w:type="dxa"/>
              <w:right w:w="0" w:type="dxa"/>
            </w:tcMar>
          </w:tcPr>
          <w:p>
            <w:pPr>
              <w:pStyle w:val="Normal"/>
              <w:jc w:val="center"/>
              <w:rPr/>
            </w:pPr>
            <w:r>
              <w:rPr/>
              <w:t>5,30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7,90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3,10</w:t>
            </w:r>
          </w:p>
        </w:tc>
        <w:tc>
          <w:tcPr>
            <w:tcW w:w="1335" w:type="dxa"/>
            <w:tcBorders>
              <w:left w:val="single" w:sz="8" w:space="0" w:color="000000"/>
            </w:tcBorders>
            <w:shd w:fill="FFFFFF" w:val="clear"/>
            <w:tcMar>
              <w:left w:w="0" w:type="dxa"/>
              <w:right w:w="0" w:type="dxa"/>
            </w:tcMar>
          </w:tcPr>
          <w:p>
            <w:pPr>
              <w:pStyle w:val="Normal"/>
              <w:jc w:val="center"/>
              <w:rPr/>
            </w:pPr>
            <w:r>
              <w:rPr/>
              <w:t>5,05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7,80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2,40</w:t>
            </w:r>
          </w:p>
        </w:tc>
        <w:tc>
          <w:tcPr>
            <w:tcW w:w="1335" w:type="dxa"/>
            <w:tcBorders>
              <w:left w:val="single" w:sz="8" w:space="0" w:color="000000"/>
            </w:tcBorders>
            <w:shd w:fill="FFFFFF" w:val="clear"/>
            <w:tcMar>
              <w:left w:w="0" w:type="dxa"/>
              <w:right w:w="0" w:type="dxa"/>
            </w:tcMar>
          </w:tcPr>
          <w:p>
            <w:pPr>
              <w:pStyle w:val="Normal"/>
              <w:jc w:val="center"/>
              <w:rPr/>
            </w:pPr>
            <w:r>
              <w:rPr/>
              <w:t>4,80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7,65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4,45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7,55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4,05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7,40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3,55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7,20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2,75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7,00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6,80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1320" w:type="dxa"/>
            <w:tcBorders>
              <w:left w:val="single" w:sz="8" w:space="0" w:color="000000"/>
            </w:tcBorders>
            <w:shd w:fill="FFFFFF" w:val="clear"/>
          </w:tcPr>
          <w:p>
            <w:pPr>
              <w:pStyle w:val="Normal"/>
              <w:jc w:val="center"/>
              <w:rPr/>
            </w:pPr>
            <w:r>
              <w:rPr/>
              <w:t>750</w:t>
            </w:r>
          </w:p>
        </w:tc>
        <w:tc>
          <w:tcPr>
            <w:tcW w:w="1339" w:type="dxa"/>
            <w:tcBorders>
              <w:left w:val="single" w:sz="8" w:space="0" w:color="000000"/>
            </w:tcBorders>
            <w:shd w:fill="FFFFFF" w:val="clear"/>
            <w:tcMar>
              <w:left w:w="0" w:type="dxa"/>
              <w:right w:w="0" w:type="dxa"/>
            </w:tcMar>
          </w:tcPr>
          <w:p>
            <w:pPr>
              <w:pStyle w:val="Normal"/>
              <w:jc w:val="center"/>
              <w:rPr/>
            </w:pPr>
            <w:r>
              <w:rPr/>
              <w:t>7,0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2,50</w:t>
            </w:r>
          </w:p>
        </w:tc>
        <w:tc>
          <w:tcPr>
            <w:tcW w:w="1334" w:type="dxa"/>
            <w:tcBorders>
              <w:left w:val="single" w:sz="8" w:space="0" w:color="000000"/>
            </w:tcBorders>
            <w:shd w:fill="FFFFFF" w:val="clear"/>
            <w:tcMar>
              <w:left w:w="0" w:type="dxa"/>
              <w:right w:w="0" w:type="dxa"/>
            </w:tcMar>
          </w:tcPr>
          <w:p>
            <w:pPr>
              <w:pStyle w:val="Normal"/>
              <w:jc w:val="center"/>
              <w:rPr/>
            </w:pPr>
            <w:r>
              <w:rPr/>
              <w:t>3,90</w:t>
            </w:r>
          </w:p>
        </w:tc>
        <w:tc>
          <w:tcPr>
            <w:tcW w:w="1335" w:type="dxa"/>
            <w:tcBorders>
              <w:left w:val="single" w:sz="8" w:space="0" w:color="000000"/>
            </w:tcBorders>
            <w:shd w:fill="FFFFFF" w:val="clear"/>
            <w:tcMar>
              <w:left w:w="0" w:type="dxa"/>
              <w:right w:w="0" w:type="dxa"/>
            </w:tcMar>
          </w:tcPr>
          <w:p>
            <w:pPr>
              <w:pStyle w:val="Normal"/>
              <w:jc w:val="center"/>
              <w:rPr/>
            </w:pPr>
            <w:r>
              <w:rPr/>
              <w:t>5,70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8,40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7,5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1,20</w:t>
            </w:r>
          </w:p>
        </w:tc>
        <w:tc>
          <w:tcPr>
            <w:tcW w:w="1334" w:type="dxa"/>
            <w:tcBorders>
              <w:left w:val="single" w:sz="8" w:space="0" w:color="000000"/>
            </w:tcBorders>
            <w:shd w:fill="FFFFFF" w:val="clear"/>
            <w:tcMar>
              <w:left w:w="0" w:type="dxa"/>
              <w:right w:w="0" w:type="dxa"/>
            </w:tcMar>
          </w:tcPr>
          <w:p>
            <w:pPr>
              <w:pStyle w:val="Normal"/>
              <w:jc w:val="center"/>
              <w:rPr/>
            </w:pPr>
            <w:r>
              <w:rPr/>
              <w:t>3,45</w:t>
            </w:r>
          </w:p>
        </w:tc>
        <w:tc>
          <w:tcPr>
            <w:tcW w:w="1335" w:type="dxa"/>
            <w:tcBorders>
              <w:left w:val="single" w:sz="8" w:space="0" w:color="000000"/>
            </w:tcBorders>
            <w:shd w:fill="FFFFFF" w:val="clear"/>
            <w:tcMar>
              <w:left w:w="0" w:type="dxa"/>
              <w:right w:w="0" w:type="dxa"/>
            </w:tcMar>
          </w:tcPr>
          <w:p>
            <w:pPr>
              <w:pStyle w:val="Normal"/>
              <w:jc w:val="center"/>
              <w:rPr/>
            </w:pPr>
            <w:r>
              <w:rPr/>
              <w:t>5,45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8,25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2,75</w:t>
            </w:r>
          </w:p>
        </w:tc>
        <w:tc>
          <w:tcPr>
            <w:tcW w:w="1335" w:type="dxa"/>
            <w:tcBorders>
              <w:left w:val="single" w:sz="8" w:space="0" w:color="000000"/>
            </w:tcBorders>
            <w:shd w:fill="FFFFFF" w:val="clear"/>
            <w:tcMar>
              <w:left w:w="0" w:type="dxa"/>
              <w:right w:w="0" w:type="dxa"/>
            </w:tcMar>
          </w:tcPr>
          <w:p>
            <w:pPr>
              <w:pStyle w:val="Normal"/>
              <w:jc w:val="center"/>
              <w:rPr/>
            </w:pPr>
            <w:r>
              <w:rPr/>
              <w:t>5,15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8,15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8,5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1,30</w:t>
            </w:r>
          </w:p>
        </w:tc>
        <w:tc>
          <w:tcPr>
            <w:tcW w:w="1335" w:type="dxa"/>
            <w:tcBorders>
              <w:left w:val="single" w:sz="8" w:space="0" w:color="000000"/>
            </w:tcBorders>
            <w:shd w:fill="FFFFFF" w:val="clear"/>
            <w:tcMar>
              <w:left w:w="0" w:type="dxa"/>
              <w:right w:w="0" w:type="dxa"/>
            </w:tcMar>
          </w:tcPr>
          <w:p>
            <w:pPr>
              <w:pStyle w:val="Normal"/>
              <w:jc w:val="center"/>
              <w:rPr/>
            </w:pPr>
            <w:r>
              <w:rPr/>
              <w:t>4,80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8,00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4,40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7,80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9,5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3,85</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7,60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10,0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3,10</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7,40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11,0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6,90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11,5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6,55</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12,0</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6,20</w:t>
            </w:r>
          </w:p>
        </w:tc>
      </w:tr>
      <w:tr>
        <w:trPr/>
        <w:tc>
          <w:tcPr>
            <w:tcW w:w="1320" w:type="dxa"/>
            <w:tcBorders>
              <w:left w:val="single" w:sz="8" w:space="0" w:color="000000"/>
            </w:tcBorders>
            <w:shd w:fill="FFFFFF" w:val="clear"/>
          </w:tcPr>
          <w:p>
            <w:pPr>
              <w:pStyle w:val="Normal"/>
              <w:snapToGrid w:val="false"/>
              <w:rPr/>
            </w:pPr>
            <w:r>
              <w:rPr/>
            </w:r>
          </w:p>
        </w:tc>
        <w:tc>
          <w:tcPr>
            <w:tcW w:w="1339" w:type="dxa"/>
            <w:tcBorders>
              <w:left w:val="single" w:sz="8" w:space="0" w:color="000000"/>
            </w:tcBorders>
            <w:shd w:fill="FFFFFF" w:val="clear"/>
            <w:tcMar>
              <w:left w:w="0" w:type="dxa"/>
              <w:right w:w="0" w:type="dxa"/>
            </w:tcMar>
          </w:tcPr>
          <w:p>
            <w:pPr>
              <w:pStyle w:val="Normal"/>
              <w:jc w:val="center"/>
              <w:rPr/>
            </w:pPr>
            <w:r>
              <w:rPr/>
              <w:t>12,5</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5,80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3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3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5,25</w:t>
            </w:r>
          </w:p>
        </w:tc>
      </w:tr>
    </w:tbl>
    <w:p>
      <w:pPr>
        <w:pStyle w:val="Normal"/>
        <w:spacing w:before="120" w:after="120"/>
        <w:jc w:val="right"/>
        <w:rPr/>
      </w:pPr>
      <w:r>
        <w:rPr>
          <w:spacing w:val="40"/>
        </w:rPr>
        <w:t>Таблица</w:t>
      </w:r>
      <w:r>
        <w:rPr/>
        <w:t xml:space="preserve"> П7</w:t>
      </w:r>
    </w:p>
    <w:p>
      <w:pPr>
        <w:pStyle w:val="Normal"/>
        <w:spacing w:before="0" w:after="120"/>
        <w:jc w:val="center"/>
        <w:rPr>
          <w:b/>
          <w:b/>
          <w:bCs/>
        </w:rPr>
      </w:pPr>
      <w:r>
        <w:rPr>
          <w:b/>
          <w:bCs/>
        </w:rPr>
        <w:t>Наименьшее смещение проводов и тросов по горизонтали на промежуточных опорах ВЛ 35 - 750 кВ в районах с умеренной пляской проводов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0"/>
        <w:gridCol w:w="1347"/>
        <w:gridCol w:w="951"/>
        <w:gridCol w:w="953"/>
        <w:gridCol w:w="954"/>
        <w:gridCol w:w="954"/>
        <w:gridCol w:w="954"/>
        <w:gridCol w:w="954"/>
        <w:gridCol w:w="968"/>
      </w:tblGrid>
      <w:tr>
        <w:trPr>
          <w:tblHeader w:val="true"/>
        </w:trPr>
        <w:tc>
          <w:tcPr>
            <w:tcW w:w="1320"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47"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88"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провода, м, при 0 °С</w:t>
            </w:r>
          </w:p>
        </w:tc>
      </w:tr>
      <w:tr>
        <w:trPr>
          <w:tblHeader w:val="true"/>
        </w:trPr>
        <w:tc>
          <w:tcPr>
            <w:tcW w:w="1320"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47"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5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6</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10</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14</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16</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20</w:t>
            </w:r>
          </w:p>
        </w:tc>
      </w:tr>
      <w:tr>
        <w:trPr/>
        <w:tc>
          <w:tcPr>
            <w:tcW w:w="1320" w:type="dxa"/>
            <w:tcBorders>
              <w:left w:val="single" w:sz="8" w:space="0" w:color="000000"/>
            </w:tcBorders>
            <w:shd w:fill="FFFFFF" w:val="clear"/>
          </w:tcPr>
          <w:p>
            <w:pPr>
              <w:pStyle w:val="Normal"/>
              <w:jc w:val="center"/>
              <w:rPr/>
            </w:pPr>
            <w:r>
              <w:rPr/>
              <w:t>35</w:t>
            </w:r>
          </w:p>
        </w:tc>
        <w:tc>
          <w:tcPr>
            <w:tcW w:w="1347" w:type="dxa"/>
            <w:tcBorders>
              <w:left w:val="single" w:sz="8" w:space="0" w:color="000000"/>
            </w:tcBorders>
            <w:shd w:fill="FFFFFF" w:val="clear"/>
            <w:tcMar>
              <w:left w:w="0" w:type="dxa"/>
              <w:right w:w="0" w:type="dxa"/>
            </w:tcMar>
          </w:tcPr>
          <w:p>
            <w:pPr>
              <w:pStyle w:val="Normal"/>
              <w:jc w:val="center"/>
              <w:rPr/>
            </w:pPr>
            <w:r>
              <w:rPr/>
              <w:t>2,5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1,50</w:t>
            </w:r>
          </w:p>
        </w:tc>
        <w:tc>
          <w:tcPr>
            <w:tcW w:w="954" w:type="dxa"/>
            <w:tcBorders>
              <w:left w:val="single" w:sz="8" w:space="0" w:color="000000"/>
            </w:tcBorders>
            <w:shd w:fill="FFFFFF" w:val="clear"/>
            <w:tcMar>
              <w:left w:w="0" w:type="dxa"/>
              <w:right w:w="0" w:type="dxa"/>
            </w:tcMar>
          </w:tcPr>
          <w:p>
            <w:pPr>
              <w:pStyle w:val="Normal"/>
              <w:jc w:val="center"/>
              <w:rPr/>
            </w:pPr>
            <w:r>
              <w:rPr/>
              <w:t>2,55</w:t>
            </w:r>
          </w:p>
        </w:tc>
        <w:tc>
          <w:tcPr>
            <w:tcW w:w="954" w:type="dxa"/>
            <w:tcBorders>
              <w:left w:val="single" w:sz="8" w:space="0" w:color="000000"/>
            </w:tcBorders>
            <w:shd w:fill="FFFFFF" w:val="clear"/>
            <w:tcMar>
              <w:left w:w="0" w:type="dxa"/>
              <w:right w:w="0" w:type="dxa"/>
            </w:tcMar>
          </w:tcPr>
          <w:p>
            <w:pPr>
              <w:pStyle w:val="Normal"/>
              <w:jc w:val="center"/>
              <w:rPr/>
            </w:pPr>
            <w:r>
              <w:rPr/>
              <w:t>3,35</w:t>
            </w:r>
          </w:p>
        </w:tc>
        <w:tc>
          <w:tcPr>
            <w:tcW w:w="954" w:type="dxa"/>
            <w:tcBorders>
              <w:left w:val="single" w:sz="8" w:space="0" w:color="000000"/>
            </w:tcBorders>
            <w:shd w:fill="FFFFFF" w:val="clear"/>
            <w:tcMar>
              <w:left w:w="0" w:type="dxa"/>
              <w:right w:w="0" w:type="dxa"/>
            </w:tcMar>
          </w:tcPr>
          <w:p>
            <w:pPr>
              <w:pStyle w:val="Normal"/>
              <w:jc w:val="center"/>
              <w:rPr/>
            </w:pPr>
            <w:r>
              <w:rPr/>
              <w:t>3,90</w:t>
            </w:r>
          </w:p>
        </w:tc>
        <w:tc>
          <w:tcPr>
            <w:tcW w:w="954" w:type="dxa"/>
            <w:tcBorders>
              <w:left w:val="single" w:sz="8" w:space="0" w:color="000000"/>
            </w:tcBorders>
            <w:shd w:fill="FFFFFF" w:val="clear"/>
            <w:tcMar>
              <w:left w:w="0" w:type="dxa"/>
              <w:right w:w="0" w:type="dxa"/>
            </w:tcMar>
          </w:tcPr>
          <w:p>
            <w:pPr>
              <w:pStyle w:val="Normal"/>
              <w:jc w:val="center"/>
              <w:rPr/>
            </w:pPr>
            <w:r>
              <w:rPr/>
              <w:t>4,35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5,85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3,0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0,55</w:t>
            </w:r>
          </w:p>
        </w:tc>
        <w:tc>
          <w:tcPr>
            <w:tcW w:w="954" w:type="dxa"/>
            <w:tcBorders>
              <w:left w:val="single" w:sz="8" w:space="0" w:color="000000"/>
            </w:tcBorders>
            <w:shd w:fill="FFFFFF" w:val="clear"/>
            <w:tcMar>
              <w:left w:w="0" w:type="dxa"/>
              <w:right w:w="0" w:type="dxa"/>
            </w:tcMar>
          </w:tcPr>
          <w:p>
            <w:pPr>
              <w:pStyle w:val="Normal"/>
              <w:jc w:val="center"/>
              <w:rPr/>
            </w:pPr>
            <w:r>
              <w:rPr/>
              <w:t>1,80</w:t>
            </w:r>
          </w:p>
        </w:tc>
        <w:tc>
          <w:tcPr>
            <w:tcW w:w="954" w:type="dxa"/>
            <w:tcBorders>
              <w:left w:val="single" w:sz="8" w:space="0" w:color="000000"/>
            </w:tcBorders>
            <w:shd w:fill="FFFFFF" w:val="clear"/>
            <w:tcMar>
              <w:left w:w="0" w:type="dxa"/>
              <w:right w:w="0" w:type="dxa"/>
            </w:tcMar>
          </w:tcPr>
          <w:p>
            <w:pPr>
              <w:pStyle w:val="Normal"/>
              <w:jc w:val="center"/>
              <w:rPr/>
            </w:pPr>
            <w:r>
              <w:rPr/>
              <w:t>2,75</w:t>
            </w:r>
          </w:p>
        </w:tc>
        <w:tc>
          <w:tcPr>
            <w:tcW w:w="954" w:type="dxa"/>
            <w:tcBorders>
              <w:left w:val="single" w:sz="8" w:space="0" w:color="000000"/>
            </w:tcBorders>
            <w:shd w:fill="FFFFFF" w:val="clear"/>
            <w:tcMar>
              <w:left w:w="0" w:type="dxa"/>
              <w:right w:w="0" w:type="dxa"/>
            </w:tcMar>
          </w:tcPr>
          <w:p>
            <w:pPr>
              <w:pStyle w:val="Normal"/>
              <w:jc w:val="center"/>
              <w:rPr/>
            </w:pPr>
            <w:r>
              <w:rPr/>
              <w:t>3,40</w:t>
            </w:r>
          </w:p>
        </w:tc>
        <w:tc>
          <w:tcPr>
            <w:tcW w:w="954" w:type="dxa"/>
            <w:tcBorders>
              <w:left w:val="single" w:sz="8" w:space="0" w:color="000000"/>
            </w:tcBorders>
            <w:shd w:fill="FFFFFF" w:val="clear"/>
            <w:tcMar>
              <w:left w:w="0" w:type="dxa"/>
              <w:right w:w="0" w:type="dxa"/>
            </w:tcMar>
          </w:tcPr>
          <w:p>
            <w:pPr>
              <w:pStyle w:val="Normal"/>
              <w:jc w:val="center"/>
              <w:rPr/>
            </w:pPr>
            <w:r>
              <w:rPr/>
              <w:t>4,00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3,5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1,00</w:t>
            </w:r>
          </w:p>
        </w:tc>
        <w:tc>
          <w:tcPr>
            <w:tcW w:w="954" w:type="dxa"/>
            <w:tcBorders>
              <w:left w:val="single" w:sz="8" w:space="0" w:color="000000"/>
            </w:tcBorders>
            <w:shd w:fill="FFFFFF" w:val="clear"/>
            <w:tcMar>
              <w:left w:w="0" w:type="dxa"/>
              <w:right w:w="0" w:type="dxa"/>
            </w:tcMar>
          </w:tcPr>
          <w:p>
            <w:pPr>
              <w:pStyle w:val="Normal"/>
              <w:jc w:val="center"/>
              <w:rPr/>
            </w:pPr>
            <w:r>
              <w:rPr/>
              <w:t>2,20</w:t>
            </w:r>
          </w:p>
        </w:tc>
        <w:tc>
          <w:tcPr>
            <w:tcW w:w="954" w:type="dxa"/>
            <w:tcBorders>
              <w:left w:val="single" w:sz="8" w:space="0" w:color="000000"/>
            </w:tcBorders>
            <w:shd w:fill="FFFFFF" w:val="clear"/>
            <w:tcMar>
              <w:left w:w="0" w:type="dxa"/>
              <w:right w:w="0" w:type="dxa"/>
            </w:tcMar>
          </w:tcPr>
          <w:p>
            <w:pPr>
              <w:pStyle w:val="Normal"/>
              <w:jc w:val="center"/>
              <w:rPr/>
            </w:pPr>
            <w:r>
              <w:rPr/>
              <w:t>3,00</w:t>
            </w:r>
          </w:p>
        </w:tc>
        <w:tc>
          <w:tcPr>
            <w:tcW w:w="954" w:type="dxa"/>
            <w:tcBorders>
              <w:left w:val="single" w:sz="8" w:space="0" w:color="000000"/>
            </w:tcBorders>
            <w:shd w:fill="FFFFFF" w:val="clear"/>
            <w:tcMar>
              <w:left w:w="0" w:type="dxa"/>
              <w:right w:w="0" w:type="dxa"/>
            </w:tcMar>
          </w:tcPr>
          <w:p>
            <w:pPr>
              <w:pStyle w:val="Normal"/>
              <w:jc w:val="center"/>
              <w:rPr/>
            </w:pPr>
            <w:r>
              <w:rPr/>
              <w:t>3,55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5,10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0,60</w:t>
            </w:r>
          </w:p>
        </w:tc>
        <w:tc>
          <w:tcPr>
            <w:tcW w:w="954" w:type="dxa"/>
            <w:tcBorders>
              <w:left w:val="single" w:sz="8" w:space="0" w:color="000000"/>
            </w:tcBorders>
            <w:shd w:fill="FFFFFF" w:val="clear"/>
            <w:tcMar>
              <w:left w:w="0" w:type="dxa"/>
              <w:right w:w="0" w:type="dxa"/>
            </w:tcMar>
          </w:tcPr>
          <w:p>
            <w:pPr>
              <w:pStyle w:val="Normal"/>
              <w:jc w:val="center"/>
              <w:rPr/>
            </w:pPr>
            <w:r>
              <w:rPr/>
              <w:t>1,55</w:t>
            </w:r>
          </w:p>
        </w:tc>
        <w:tc>
          <w:tcPr>
            <w:tcW w:w="954" w:type="dxa"/>
            <w:tcBorders>
              <w:left w:val="single" w:sz="8" w:space="0" w:color="000000"/>
            </w:tcBorders>
            <w:shd w:fill="FFFFFF" w:val="clear"/>
            <w:tcMar>
              <w:left w:w="0" w:type="dxa"/>
              <w:right w:w="0" w:type="dxa"/>
            </w:tcMar>
          </w:tcPr>
          <w:p>
            <w:pPr>
              <w:pStyle w:val="Normal"/>
              <w:jc w:val="center"/>
              <w:rPr/>
            </w:pPr>
            <w:r>
              <w:rPr/>
              <w:t>2,45</w:t>
            </w:r>
          </w:p>
        </w:tc>
        <w:tc>
          <w:tcPr>
            <w:tcW w:w="954" w:type="dxa"/>
            <w:tcBorders>
              <w:left w:val="single" w:sz="8" w:space="0" w:color="000000"/>
            </w:tcBorders>
            <w:shd w:fill="FFFFFF" w:val="clear"/>
            <w:tcMar>
              <w:left w:w="0" w:type="dxa"/>
              <w:right w:w="0" w:type="dxa"/>
            </w:tcMar>
          </w:tcPr>
          <w:p>
            <w:pPr>
              <w:pStyle w:val="Normal"/>
              <w:jc w:val="center"/>
              <w:rPr/>
            </w:pPr>
            <w:r>
              <w:rPr/>
              <w:t>3,15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4,75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0,70</w:t>
            </w:r>
          </w:p>
        </w:tc>
        <w:tc>
          <w:tcPr>
            <w:tcW w:w="954" w:type="dxa"/>
            <w:tcBorders>
              <w:left w:val="single" w:sz="8" w:space="0" w:color="000000"/>
            </w:tcBorders>
            <w:shd w:fill="FFFFFF" w:val="clear"/>
            <w:tcMar>
              <w:left w:w="0" w:type="dxa"/>
              <w:right w:w="0" w:type="dxa"/>
            </w:tcMar>
          </w:tcPr>
          <w:p>
            <w:pPr>
              <w:pStyle w:val="Normal"/>
              <w:jc w:val="center"/>
              <w:rPr/>
            </w:pPr>
            <w:r>
              <w:rPr/>
              <w:t>1,85</w:t>
            </w:r>
          </w:p>
        </w:tc>
        <w:tc>
          <w:tcPr>
            <w:tcW w:w="954" w:type="dxa"/>
            <w:tcBorders>
              <w:left w:val="single" w:sz="8" w:space="0" w:color="000000"/>
            </w:tcBorders>
            <w:shd w:fill="FFFFFF" w:val="clear"/>
            <w:tcMar>
              <w:left w:w="0" w:type="dxa"/>
              <w:right w:w="0" w:type="dxa"/>
            </w:tcMar>
          </w:tcPr>
          <w:p>
            <w:pPr>
              <w:pStyle w:val="Normal"/>
              <w:jc w:val="center"/>
              <w:rPr/>
            </w:pPr>
            <w:r>
              <w:rPr/>
              <w:t>2,70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1,15</w:t>
            </w:r>
          </w:p>
        </w:tc>
        <w:tc>
          <w:tcPr>
            <w:tcW w:w="954" w:type="dxa"/>
            <w:tcBorders>
              <w:left w:val="single" w:sz="8" w:space="0" w:color="000000"/>
            </w:tcBorders>
            <w:shd w:fill="FFFFFF" w:val="clear"/>
            <w:tcMar>
              <w:left w:w="0" w:type="dxa"/>
              <w:right w:w="0" w:type="dxa"/>
            </w:tcMar>
          </w:tcPr>
          <w:p>
            <w:pPr>
              <w:pStyle w:val="Normal"/>
              <w:jc w:val="center"/>
              <w:rPr/>
            </w:pPr>
            <w:r>
              <w:rPr/>
              <w:t>2,15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0,20</w:t>
            </w:r>
          </w:p>
        </w:tc>
        <w:tc>
          <w:tcPr>
            <w:tcW w:w="954" w:type="dxa"/>
            <w:tcBorders>
              <w:left w:val="single" w:sz="8" w:space="0" w:color="000000"/>
            </w:tcBorders>
            <w:shd w:fill="FFFFFF" w:val="clear"/>
            <w:tcMar>
              <w:left w:w="0" w:type="dxa"/>
              <w:right w:w="0" w:type="dxa"/>
            </w:tcMar>
          </w:tcPr>
          <w:p>
            <w:pPr>
              <w:pStyle w:val="Normal"/>
              <w:jc w:val="center"/>
              <w:rPr/>
            </w:pPr>
            <w:r>
              <w:rPr/>
              <w:t>1,55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3,60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0,80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3,10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2,45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1,70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0,90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110</w:t>
            </w:r>
          </w:p>
        </w:tc>
        <w:tc>
          <w:tcPr>
            <w:tcW w:w="1347" w:type="dxa"/>
            <w:tcBorders>
              <w:left w:val="single" w:sz="8" w:space="0" w:color="000000"/>
            </w:tcBorders>
            <w:shd w:fill="FFFFFF" w:val="clear"/>
            <w:tcMar>
              <w:left w:w="0" w:type="dxa"/>
              <w:right w:w="0" w:type="dxa"/>
            </w:tcMar>
          </w:tcPr>
          <w:p>
            <w:pPr>
              <w:pStyle w:val="Normal"/>
              <w:jc w:val="center"/>
              <w:rPr/>
            </w:pPr>
            <w:r>
              <w:rPr/>
              <w:t>3,0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0,85</w:t>
            </w:r>
          </w:p>
        </w:tc>
        <w:tc>
          <w:tcPr>
            <w:tcW w:w="954" w:type="dxa"/>
            <w:tcBorders>
              <w:left w:val="single" w:sz="8" w:space="0" w:color="000000"/>
            </w:tcBorders>
            <w:shd w:fill="FFFFFF" w:val="clear"/>
            <w:tcMar>
              <w:left w:w="0" w:type="dxa"/>
              <w:right w:w="0" w:type="dxa"/>
            </w:tcMar>
          </w:tcPr>
          <w:p>
            <w:pPr>
              <w:pStyle w:val="Normal"/>
              <w:jc w:val="center"/>
              <w:rPr/>
            </w:pPr>
            <w:r>
              <w:rPr/>
              <w:t>2,05</w:t>
            </w:r>
          </w:p>
        </w:tc>
        <w:tc>
          <w:tcPr>
            <w:tcW w:w="954" w:type="dxa"/>
            <w:tcBorders>
              <w:left w:val="single" w:sz="8" w:space="0" w:color="000000"/>
            </w:tcBorders>
            <w:shd w:fill="FFFFFF" w:val="clear"/>
            <w:tcMar>
              <w:left w:w="0" w:type="dxa"/>
              <w:right w:w="0" w:type="dxa"/>
            </w:tcMar>
          </w:tcPr>
          <w:p>
            <w:pPr>
              <w:pStyle w:val="Normal"/>
              <w:jc w:val="center"/>
              <w:rPr/>
            </w:pPr>
            <w:r>
              <w:rPr/>
              <w:t>2,95</w:t>
            </w:r>
          </w:p>
        </w:tc>
        <w:tc>
          <w:tcPr>
            <w:tcW w:w="954" w:type="dxa"/>
            <w:tcBorders>
              <w:left w:val="single" w:sz="8" w:space="0" w:color="000000"/>
            </w:tcBorders>
            <w:shd w:fill="FFFFFF" w:val="clear"/>
            <w:tcMar>
              <w:left w:w="0" w:type="dxa"/>
              <w:right w:w="0" w:type="dxa"/>
            </w:tcMar>
          </w:tcPr>
          <w:p>
            <w:pPr>
              <w:pStyle w:val="Normal"/>
              <w:jc w:val="center"/>
              <w:rPr/>
            </w:pPr>
            <w:r>
              <w:rPr/>
              <w:t>3,65</w:t>
            </w:r>
          </w:p>
        </w:tc>
        <w:tc>
          <w:tcPr>
            <w:tcW w:w="954" w:type="dxa"/>
            <w:tcBorders>
              <w:left w:val="single" w:sz="8" w:space="0" w:color="000000"/>
            </w:tcBorders>
            <w:shd w:fill="FFFFFF" w:val="clear"/>
            <w:tcMar>
              <w:left w:w="0" w:type="dxa"/>
              <w:right w:w="0" w:type="dxa"/>
            </w:tcMar>
          </w:tcPr>
          <w:p>
            <w:pPr>
              <w:pStyle w:val="Normal"/>
              <w:jc w:val="center"/>
              <w:rPr/>
            </w:pPr>
            <w:r>
              <w:rPr/>
              <w:t>4,25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3,5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1,40</w:t>
            </w:r>
          </w:p>
        </w:tc>
        <w:tc>
          <w:tcPr>
            <w:tcW w:w="954" w:type="dxa"/>
            <w:tcBorders>
              <w:left w:val="single" w:sz="8" w:space="0" w:color="000000"/>
            </w:tcBorders>
            <w:shd w:fill="FFFFFF" w:val="clear"/>
            <w:tcMar>
              <w:left w:w="0" w:type="dxa"/>
              <w:right w:w="0" w:type="dxa"/>
            </w:tcMar>
          </w:tcPr>
          <w:p>
            <w:pPr>
              <w:pStyle w:val="Normal"/>
              <w:jc w:val="center"/>
              <w:rPr/>
            </w:pPr>
            <w:r>
              <w:rPr/>
              <w:t>2,50</w:t>
            </w:r>
          </w:p>
        </w:tc>
        <w:tc>
          <w:tcPr>
            <w:tcW w:w="954" w:type="dxa"/>
            <w:tcBorders>
              <w:left w:val="single" w:sz="8" w:space="0" w:color="000000"/>
            </w:tcBorders>
            <w:shd w:fill="FFFFFF" w:val="clear"/>
            <w:tcMar>
              <w:left w:w="0" w:type="dxa"/>
              <w:right w:w="0" w:type="dxa"/>
            </w:tcMar>
          </w:tcPr>
          <w:p>
            <w:pPr>
              <w:pStyle w:val="Normal"/>
              <w:jc w:val="center"/>
              <w:rPr/>
            </w:pPr>
            <w:r>
              <w:rPr/>
              <w:t>3,20</w:t>
            </w:r>
          </w:p>
        </w:tc>
        <w:tc>
          <w:tcPr>
            <w:tcW w:w="954" w:type="dxa"/>
            <w:tcBorders>
              <w:left w:val="single" w:sz="8" w:space="0" w:color="000000"/>
            </w:tcBorders>
            <w:shd w:fill="FFFFFF" w:val="clear"/>
            <w:tcMar>
              <w:left w:w="0" w:type="dxa"/>
              <w:right w:w="0" w:type="dxa"/>
            </w:tcMar>
          </w:tcPr>
          <w:p>
            <w:pPr>
              <w:pStyle w:val="Normal"/>
              <w:jc w:val="center"/>
              <w:rPr/>
            </w:pPr>
            <w:r>
              <w:rPr/>
              <w:t>3,75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5,35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0,40</w:t>
            </w:r>
          </w:p>
        </w:tc>
        <w:tc>
          <w:tcPr>
            <w:tcW w:w="954" w:type="dxa"/>
            <w:tcBorders>
              <w:left w:val="single" w:sz="8" w:space="0" w:color="000000"/>
            </w:tcBorders>
            <w:shd w:fill="FFFFFF" w:val="clear"/>
            <w:tcMar>
              <w:left w:w="0" w:type="dxa"/>
              <w:right w:w="0" w:type="dxa"/>
            </w:tcMar>
          </w:tcPr>
          <w:p>
            <w:pPr>
              <w:pStyle w:val="Normal"/>
              <w:jc w:val="center"/>
              <w:rPr/>
            </w:pPr>
            <w:r>
              <w:rPr/>
              <w:t>1,75</w:t>
            </w:r>
          </w:p>
        </w:tc>
        <w:tc>
          <w:tcPr>
            <w:tcW w:w="954" w:type="dxa"/>
            <w:tcBorders>
              <w:left w:val="single" w:sz="8" w:space="0" w:color="000000"/>
            </w:tcBorders>
            <w:shd w:fill="FFFFFF" w:val="clear"/>
            <w:tcMar>
              <w:left w:w="0" w:type="dxa"/>
              <w:right w:w="0" w:type="dxa"/>
            </w:tcMar>
          </w:tcPr>
          <w:p>
            <w:pPr>
              <w:pStyle w:val="Normal"/>
              <w:jc w:val="center"/>
              <w:rPr/>
            </w:pPr>
            <w:r>
              <w:rPr/>
              <w:t>2,65</w:t>
            </w:r>
          </w:p>
        </w:tc>
        <w:tc>
          <w:tcPr>
            <w:tcW w:w="954" w:type="dxa"/>
            <w:tcBorders>
              <w:left w:val="single" w:sz="8" w:space="0" w:color="000000"/>
            </w:tcBorders>
            <w:shd w:fill="FFFFFF" w:val="clear"/>
            <w:tcMar>
              <w:left w:w="0" w:type="dxa"/>
              <w:right w:w="0" w:type="dxa"/>
            </w:tcMar>
          </w:tcPr>
          <w:p>
            <w:pPr>
              <w:pStyle w:val="Normal"/>
              <w:jc w:val="center"/>
              <w:rPr/>
            </w:pPr>
            <w:r>
              <w:rPr/>
              <w:t>3,35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0,95</w:t>
            </w:r>
          </w:p>
        </w:tc>
        <w:tc>
          <w:tcPr>
            <w:tcW w:w="954" w:type="dxa"/>
            <w:tcBorders>
              <w:left w:val="single" w:sz="8" w:space="0" w:color="000000"/>
            </w:tcBorders>
            <w:shd w:fill="FFFFFF" w:val="clear"/>
            <w:tcMar>
              <w:left w:w="0" w:type="dxa"/>
              <w:right w:w="0" w:type="dxa"/>
            </w:tcMar>
          </w:tcPr>
          <w:p>
            <w:pPr>
              <w:pStyle w:val="Normal"/>
              <w:jc w:val="center"/>
              <w:rPr/>
            </w:pPr>
            <w:r>
              <w:rPr/>
              <w:t>2,05</w:t>
            </w:r>
          </w:p>
        </w:tc>
        <w:tc>
          <w:tcPr>
            <w:tcW w:w="954" w:type="dxa"/>
            <w:tcBorders>
              <w:left w:val="single" w:sz="8" w:space="0" w:color="000000"/>
            </w:tcBorders>
            <w:shd w:fill="FFFFFF" w:val="clear"/>
            <w:tcMar>
              <w:left w:w="0" w:type="dxa"/>
              <w:right w:w="0" w:type="dxa"/>
            </w:tcMar>
          </w:tcPr>
          <w:p>
            <w:pPr>
              <w:pStyle w:val="Normal"/>
              <w:jc w:val="center"/>
              <w:rPr/>
            </w:pPr>
            <w:r>
              <w:rPr/>
              <w:t>2,90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4,60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1,35</w:t>
            </w:r>
          </w:p>
        </w:tc>
        <w:tc>
          <w:tcPr>
            <w:tcW w:w="954" w:type="dxa"/>
            <w:tcBorders>
              <w:left w:val="single" w:sz="8" w:space="0" w:color="000000"/>
            </w:tcBorders>
            <w:shd w:fill="FFFFFF" w:val="clear"/>
            <w:tcMar>
              <w:left w:w="0" w:type="dxa"/>
              <w:right w:w="0" w:type="dxa"/>
            </w:tcMar>
          </w:tcPr>
          <w:p>
            <w:pPr>
              <w:pStyle w:val="Normal"/>
              <w:jc w:val="center"/>
              <w:rPr/>
            </w:pPr>
            <w:r>
              <w:rPr/>
              <w:t>2,35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0,50</w:t>
            </w:r>
          </w:p>
        </w:tc>
        <w:tc>
          <w:tcPr>
            <w:tcW w:w="954" w:type="dxa"/>
            <w:tcBorders>
              <w:left w:val="single" w:sz="8" w:space="0" w:color="000000"/>
            </w:tcBorders>
            <w:shd w:fill="FFFFFF" w:val="clear"/>
            <w:tcMar>
              <w:left w:w="0" w:type="dxa"/>
              <w:right w:w="0" w:type="dxa"/>
            </w:tcMar>
          </w:tcPr>
          <w:p>
            <w:pPr>
              <w:pStyle w:val="Normal"/>
              <w:jc w:val="center"/>
              <w:rPr/>
            </w:pPr>
            <w:r>
              <w:rPr/>
              <w:t>1,75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1,05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3,25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0,10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2,60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1,95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0,20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150</w:t>
            </w:r>
          </w:p>
        </w:tc>
        <w:tc>
          <w:tcPr>
            <w:tcW w:w="1347" w:type="dxa"/>
            <w:tcBorders>
              <w:left w:val="single" w:sz="8" w:space="0" w:color="000000"/>
            </w:tcBorders>
            <w:shd w:fill="FFFFFF" w:val="clear"/>
            <w:tcMar>
              <w:left w:w="0" w:type="dxa"/>
              <w:right w:w="0" w:type="dxa"/>
            </w:tcMar>
          </w:tcPr>
          <w:p>
            <w:pPr>
              <w:pStyle w:val="Normal"/>
              <w:jc w:val="center"/>
              <w:rPr/>
            </w:pPr>
            <w:r>
              <w:rPr/>
              <w:t>3,5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1,45</w:t>
            </w:r>
          </w:p>
        </w:tc>
        <w:tc>
          <w:tcPr>
            <w:tcW w:w="954" w:type="dxa"/>
            <w:tcBorders>
              <w:left w:val="single" w:sz="8" w:space="0" w:color="000000"/>
            </w:tcBorders>
            <w:shd w:fill="FFFFFF" w:val="clear"/>
            <w:tcMar>
              <w:left w:w="0" w:type="dxa"/>
              <w:right w:w="0" w:type="dxa"/>
            </w:tcMar>
          </w:tcPr>
          <w:p>
            <w:pPr>
              <w:pStyle w:val="Normal"/>
              <w:jc w:val="center"/>
              <w:rPr/>
            </w:pPr>
            <w:r>
              <w:rPr/>
              <w:t>2,60</w:t>
            </w:r>
          </w:p>
        </w:tc>
        <w:tc>
          <w:tcPr>
            <w:tcW w:w="954" w:type="dxa"/>
            <w:tcBorders>
              <w:left w:val="single" w:sz="8" w:space="0" w:color="000000"/>
            </w:tcBorders>
            <w:shd w:fill="FFFFFF" w:val="clear"/>
            <w:tcMar>
              <w:left w:w="0" w:type="dxa"/>
              <w:right w:w="0" w:type="dxa"/>
            </w:tcMar>
          </w:tcPr>
          <w:p>
            <w:pPr>
              <w:pStyle w:val="Normal"/>
              <w:jc w:val="center"/>
              <w:rPr/>
            </w:pPr>
            <w:r>
              <w:rPr/>
              <w:t>3,30</w:t>
            </w:r>
          </w:p>
        </w:tc>
        <w:tc>
          <w:tcPr>
            <w:tcW w:w="954" w:type="dxa"/>
            <w:tcBorders>
              <w:left w:val="single" w:sz="8" w:space="0" w:color="000000"/>
            </w:tcBorders>
            <w:shd w:fill="FFFFFF" w:val="clear"/>
            <w:tcMar>
              <w:left w:w="0" w:type="dxa"/>
              <w:right w:w="0" w:type="dxa"/>
            </w:tcMar>
          </w:tcPr>
          <w:p>
            <w:pPr>
              <w:pStyle w:val="Normal"/>
              <w:jc w:val="center"/>
              <w:rPr/>
            </w:pPr>
            <w:r>
              <w:rPr/>
              <w:t>3,90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0,65</w:t>
            </w:r>
          </w:p>
        </w:tc>
        <w:tc>
          <w:tcPr>
            <w:tcW w:w="954" w:type="dxa"/>
            <w:tcBorders>
              <w:left w:val="single" w:sz="8" w:space="0" w:color="000000"/>
            </w:tcBorders>
            <w:shd w:fill="FFFFFF" w:val="clear"/>
            <w:tcMar>
              <w:left w:w="0" w:type="dxa"/>
              <w:right w:w="0" w:type="dxa"/>
            </w:tcMar>
          </w:tcPr>
          <w:p>
            <w:pPr>
              <w:pStyle w:val="Normal"/>
              <w:jc w:val="center"/>
              <w:rPr/>
            </w:pPr>
            <w:r>
              <w:rPr/>
              <w:t>1,85</w:t>
            </w:r>
          </w:p>
        </w:tc>
        <w:tc>
          <w:tcPr>
            <w:tcW w:w="954" w:type="dxa"/>
            <w:tcBorders>
              <w:left w:val="single" w:sz="8" w:space="0" w:color="000000"/>
            </w:tcBorders>
            <w:shd w:fill="FFFFFF" w:val="clear"/>
            <w:tcMar>
              <w:left w:w="0" w:type="dxa"/>
              <w:right w:w="0" w:type="dxa"/>
            </w:tcMar>
          </w:tcPr>
          <w:p>
            <w:pPr>
              <w:pStyle w:val="Normal"/>
              <w:jc w:val="center"/>
              <w:rPr/>
            </w:pPr>
            <w:r>
              <w:rPr/>
              <w:t>2,80</w:t>
            </w:r>
          </w:p>
        </w:tc>
        <w:tc>
          <w:tcPr>
            <w:tcW w:w="954" w:type="dxa"/>
            <w:tcBorders>
              <w:left w:val="single" w:sz="8" w:space="0" w:color="000000"/>
            </w:tcBorders>
            <w:shd w:fill="FFFFFF" w:val="clear"/>
            <w:tcMar>
              <w:left w:w="0" w:type="dxa"/>
              <w:right w:w="0" w:type="dxa"/>
            </w:tcMar>
          </w:tcPr>
          <w:p>
            <w:pPr>
              <w:pStyle w:val="Normal"/>
              <w:jc w:val="center"/>
              <w:rPr/>
            </w:pPr>
            <w:r>
              <w:rPr/>
              <w:t>3,50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1,15</w:t>
            </w:r>
          </w:p>
        </w:tc>
        <w:tc>
          <w:tcPr>
            <w:tcW w:w="954" w:type="dxa"/>
            <w:tcBorders>
              <w:left w:val="single" w:sz="8" w:space="0" w:color="000000"/>
            </w:tcBorders>
            <w:shd w:fill="FFFFFF" w:val="clear"/>
            <w:tcMar>
              <w:left w:w="0" w:type="dxa"/>
              <w:right w:w="0" w:type="dxa"/>
            </w:tcMar>
          </w:tcPr>
          <w:p>
            <w:pPr>
              <w:pStyle w:val="Normal"/>
              <w:jc w:val="center"/>
              <w:rPr/>
            </w:pPr>
            <w:r>
              <w:rPr/>
              <w:t>2,25</w:t>
            </w:r>
          </w:p>
        </w:tc>
        <w:tc>
          <w:tcPr>
            <w:tcW w:w="954" w:type="dxa"/>
            <w:tcBorders>
              <w:left w:val="single" w:sz="8" w:space="0" w:color="000000"/>
            </w:tcBorders>
            <w:shd w:fill="FFFFFF" w:val="clear"/>
            <w:tcMar>
              <w:left w:w="0" w:type="dxa"/>
              <w:right w:w="0" w:type="dxa"/>
            </w:tcMar>
          </w:tcPr>
          <w:p>
            <w:pPr>
              <w:pStyle w:val="Normal"/>
              <w:jc w:val="center"/>
              <w:rPr/>
            </w:pPr>
            <w:r>
              <w:rPr/>
              <w:t>3,05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0,10</w:t>
            </w:r>
          </w:p>
        </w:tc>
        <w:tc>
          <w:tcPr>
            <w:tcW w:w="954" w:type="dxa"/>
            <w:tcBorders>
              <w:left w:val="single" w:sz="8" w:space="0" w:color="000000"/>
            </w:tcBorders>
            <w:shd w:fill="FFFFFF" w:val="clear"/>
            <w:tcMar>
              <w:left w:w="0" w:type="dxa"/>
              <w:right w:w="0" w:type="dxa"/>
            </w:tcMar>
          </w:tcPr>
          <w:p>
            <w:pPr>
              <w:pStyle w:val="Normal"/>
              <w:jc w:val="center"/>
              <w:rPr/>
            </w:pPr>
            <w:r>
              <w:rPr/>
              <w:t>1,50</w:t>
            </w:r>
          </w:p>
        </w:tc>
        <w:tc>
          <w:tcPr>
            <w:tcW w:w="954" w:type="dxa"/>
            <w:tcBorders>
              <w:left w:val="single" w:sz="8" w:space="0" w:color="000000"/>
            </w:tcBorders>
            <w:shd w:fill="FFFFFF" w:val="clear"/>
            <w:tcMar>
              <w:left w:w="0" w:type="dxa"/>
              <w:right w:w="0" w:type="dxa"/>
            </w:tcMar>
          </w:tcPr>
          <w:p>
            <w:pPr>
              <w:pStyle w:val="Normal"/>
              <w:jc w:val="center"/>
              <w:rPr/>
            </w:pPr>
            <w:r>
              <w:rPr/>
              <w:t>2,55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0,65</w:t>
            </w:r>
          </w:p>
        </w:tc>
        <w:tc>
          <w:tcPr>
            <w:tcW w:w="954" w:type="dxa"/>
            <w:tcBorders>
              <w:left w:val="single" w:sz="8" w:space="0" w:color="000000"/>
            </w:tcBorders>
            <w:shd w:fill="FFFFFF" w:val="clear"/>
            <w:tcMar>
              <w:left w:w="0" w:type="dxa"/>
              <w:right w:w="0" w:type="dxa"/>
            </w:tcMar>
          </w:tcPr>
          <w:p>
            <w:pPr>
              <w:pStyle w:val="Normal"/>
              <w:jc w:val="center"/>
              <w:rPr/>
            </w:pPr>
            <w:r>
              <w:rPr/>
              <w:t>1,95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1,20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0,25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_</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1,35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0,45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snapToGrid w:val="false"/>
              <w:rPr/>
            </w:pPr>
            <w:r>
              <w:rPr/>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220</w:t>
            </w:r>
          </w:p>
        </w:tc>
        <w:tc>
          <w:tcPr>
            <w:tcW w:w="1347" w:type="dxa"/>
            <w:tcBorders>
              <w:left w:val="single" w:sz="8" w:space="0" w:color="000000"/>
            </w:tcBorders>
            <w:shd w:fill="FFFFFF" w:val="clear"/>
            <w:tcMar>
              <w:left w:w="0" w:type="dxa"/>
              <w:right w:w="0" w:type="dxa"/>
            </w:tcMar>
          </w:tcPr>
          <w:p>
            <w:pPr>
              <w:pStyle w:val="Normal"/>
              <w:jc w:val="center"/>
              <w:rPr/>
            </w:pPr>
            <w:r>
              <w:rPr/>
              <w:t>4,0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0,85</w:t>
            </w:r>
          </w:p>
        </w:tc>
        <w:tc>
          <w:tcPr>
            <w:tcW w:w="954" w:type="dxa"/>
            <w:tcBorders>
              <w:left w:val="single" w:sz="8" w:space="0" w:color="000000"/>
            </w:tcBorders>
            <w:shd w:fill="FFFFFF" w:val="clear"/>
            <w:tcMar>
              <w:left w:w="0" w:type="dxa"/>
              <w:right w:w="0" w:type="dxa"/>
            </w:tcMar>
          </w:tcPr>
          <w:p>
            <w:pPr>
              <w:pStyle w:val="Normal"/>
              <w:jc w:val="center"/>
              <w:rPr/>
            </w:pPr>
            <w:r>
              <w:rPr/>
              <w:t>2,10</w:t>
            </w:r>
          </w:p>
        </w:tc>
        <w:tc>
          <w:tcPr>
            <w:tcW w:w="954" w:type="dxa"/>
            <w:tcBorders>
              <w:left w:val="single" w:sz="8" w:space="0" w:color="000000"/>
            </w:tcBorders>
            <w:shd w:fill="FFFFFF" w:val="clear"/>
            <w:tcMar>
              <w:left w:w="0" w:type="dxa"/>
              <w:right w:w="0" w:type="dxa"/>
            </w:tcMar>
          </w:tcPr>
          <w:p>
            <w:pPr>
              <w:pStyle w:val="Normal"/>
              <w:jc w:val="center"/>
              <w:rPr/>
            </w:pPr>
            <w:r>
              <w:rPr/>
              <w:t>3,05</w:t>
            </w:r>
          </w:p>
        </w:tc>
        <w:tc>
          <w:tcPr>
            <w:tcW w:w="954" w:type="dxa"/>
            <w:tcBorders>
              <w:left w:val="single" w:sz="8" w:space="0" w:color="000000"/>
            </w:tcBorders>
            <w:shd w:fill="FFFFFF" w:val="clear"/>
            <w:tcMar>
              <w:left w:w="0" w:type="dxa"/>
              <w:right w:w="0" w:type="dxa"/>
            </w:tcMar>
          </w:tcPr>
          <w:p>
            <w:pPr>
              <w:pStyle w:val="Normal"/>
              <w:jc w:val="center"/>
              <w:rPr/>
            </w:pPr>
            <w:r>
              <w:rPr/>
              <w:t>3,80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4,5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1,40</w:t>
            </w:r>
          </w:p>
        </w:tc>
        <w:tc>
          <w:tcPr>
            <w:tcW w:w="954" w:type="dxa"/>
            <w:tcBorders>
              <w:left w:val="single" w:sz="8" w:space="0" w:color="000000"/>
            </w:tcBorders>
            <w:shd w:fill="FFFFFF" w:val="clear"/>
            <w:tcMar>
              <w:left w:w="0" w:type="dxa"/>
              <w:right w:w="0" w:type="dxa"/>
            </w:tcMar>
          </w:tcPr>
          <w:p>
            <w:pPr>
              <w:pStyle w:val="Normal"/>
              <w:jc w:val="center"/>
              <w:rPr/>
            </w:pPr>
            <w:r>
              <w:rPr/>
              <w:t>2,45</w:t>
            </w:r>
          </w:p>
        </w:tc>
        <w:tc>
          <w:tcPr>
            <w:tcW w:w="954" w:type="dxa"/>
            <w:tcBorders>
              <w:left w:val="single" w:sz="8" w:space="0" w:color="000000"/>
            </w:tcBorders>
            <w:shd w:fill="FFFFFF" w:val="clear"/>
            <w:tcMar>
              <w:left w:w="0" w:type="dxa"/>
              <w:right w:w="0" w:type="dxa"/>
            </w:tcMar>
          </w:tcPr>
          <w:p>
            <w:pPr>
              <w:pStyle w:val="Normal"/>
              <w:jc w:val="center"/>
              <w:rPr/>
            </w:pPr>
            <w:r>
              <w:rPr/>
              <w:t>3,30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0,50</w:t>
            </w:r>
          </w:p>
        </w:tc>
        <w:tc>
          <w:tcPr>
            <w:tcW w:w="954" w:type="dxa"/>
            <w:tcBorders>
              <w:left w:val="single" w:sz="8" w:space="0" w:color="000000"/>
            </w:tcBorders>
            <w:shd w:fill="FFFFFF" w:val="clear"/>
            <w:tcMar>
              <w:left w:w="0" w:type="dxa"/>
              <w:right w:w="0" w:type="dxa"/>
            </w:tcMar>
          </w:tcPr>
          <w:p>
            <w:pPr>
              <w:pStyle w:val="Normal"/>
              <w:jc w:val="center"/>
              <w:rPr/>
            </w:pPr>
            <w:r>
              <w:rPr/>
              <w:t>1,80</w:t>
            </w:r>
          </w:p>
        </w:tc>
        <w:tc>
          <w:tcPr>
            <w:tcW w:w="954" w:type="dxa"/>
            <w:tcBorders>
              <w:left w:val="single" w:sz="8" w:space="0" w:color="000000"/>
            </w:tcBorders>
            <w:shd w:fill="FFFFFF" w:val="clear"/>
            <w:tcMar>
              <w:left w:w="0" w:type="dxa"/>
              <w:right w:w="0" w:type="dxa"/>
            </w:tcMar>
          </w:tcPr>
          <w:p>
            <w:pPr>
              <w:pStyle w:val="Normal"/>
              <w:jc w:val="center"/>
              <w:rPr/>
            </w:pPr>
            <w:r>
              <w:rPr/>
              <w:t>2,75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4,65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1,00</w:t>
            </w:r>
          </w:p>
        </w:tc>
        <w:tc>
          <w:tcPr>
            <w:tcW w:w="954" w:type="dxa"/>
            <w:tcBorders>
              <w:left w:val="single" w:sz="8" w:space="0" w:color="000000"/>
            </w:tcBorders>
            <w:shd w:fill="FFFFFF" w:val="clear"/>
            <w:tcMar>
              <w:left w:w="0" w:type="dxa"/>
              <w:right w:w="0" w:type="dxa"/>
            </w:tcMar>
          </w:tcPr>
          <w:p>
            <w:pPr>
              <w:pStyle w:val="Normal"/>
              <w:jc w:val="center"/>
              <w:rPr/>
            </w:pPr>
            <w:r>
              <w:rPr/>
              <w:t>2,10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0,40</w:t>
            </w:r>
          </w:p>
        </w:tc>
        <w:tc>
          <w:tcPr>
            <w:tcW w:w="954" w:type="dxa"/>
            <w:tcBorders>
              <w:left w:val="single" w:sz="8" w:space="0" w:color="000000"/>
            </w:tcBorders>
            <w:shd w:fill="FFFFFF" w:val="clear"/>
            <w:tcMar>
              <w:left w:w="0" w:type="dxa"/>
              <w:right w:w="0" w:type="dxa"/>
            </w:tcMar>
          </w:tcPr>
          <w:p>
            <w:pPr>
              <w:pStyle w:val="Normal"/>
              <w:jc w:val="center"/>
              <w:rPr/>
            </w:pPr>
            <w:r>
              <w:rPr/>
              <w:t>1,45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2,35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0,75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330</w:t>
            </w:r>
          </w:p>
        </w:tc>
        <w:tc>
          <w:tcPr>
            <w:tcW w:w="1347" w:type="dxa"/>
            <w:tcBorders>
              <w:left w:val="single" w:sz="8" w:space="0" w:color="000000"/>
            </w:tcBorders>
            <w:shd w:fill="FFFFFF" w:val="clear"/>
            <w:tcMar>
              <w:left w:w="0" w:type="dxa"/>
              <w:right w:w="0" w:type="dxa"/>
            </w:tcMar>
          </w:tcPr>
          <w:p>
            <w:pPr>
              <w:pStyle w:val="Normal"/>
              <w:jc w:val="center"/>
              <w:rPr/>
            </w:pPr>
            <w:r>
              <w:rPr/>
              <w:t>5,0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0,80</w:t>
            </w:r>
          </w:p>
        </w:tc>
        <w:tc>
          <w:tcPr>
            <w:tcW w:w="954" w:type="dxa"/>
            <w:tcBorders>
              <w:left w:val="single" w:sz="8" w:space="0" w:color="000000"/>
            </w:tcBorders>
            <w:shd w:fill="FFFFFF" w:val="clear"/>
            <w:tcMar>
              <w:left w:w="0" w:type="dxa"/>
              <w:right w:w="0" w:type="dxa"/>
            </w:tcMar>
          </w:tcPr>
          <w:p>
            <w:pPr>
              <w:pStyle w:val="Normal"/>
              <w:jc w:val="center"/>
              <w:rPr/>
            </w:pPr>
            <w:r>
              <w:rPr/>
              <w:t>2,15</w:t>
            </w:r>
          </w:p>
        </w:tc>
        <w:tc>
          <w:tcPr>
            <w:tcW w:w="954" w:type="dxa"/>
            <w:tcBorders>
              <w:left w:val="single" w:sz="8" w:space="0" w:color="000000"/>
            </w:tcBorders>
            <w:shd w:fill="FFFFFF" w:val="clear"/>
            <w:tcMar>
              <w:left w:w="0" w:type="dxa"/>
              <w:right w:w="0" w:type="dxa"/>
            </w:tcMar>
          </w:tcPr>
          <w:p>
            <w:pPr>
              <w:pStyle w:val="Normal"/>
              <w:jc w:val="center"/>
              <w:rPr/>
            </w:pPr>
            <w:r>
              <w:rPr/>
              <w:t>2,95</w:t>
            </w:r>
          </w:p>
        </w:tc>
        <w:tc>
          <w:tcPr>
            <w:tcW w:w="954" w:type="dxa"/>
            <w:tcBorders>
              <w:left w:val="single" w:sz="8" w:space="0" w:color="000000"/>
            </w:tcBorders>
            <w:shd w:fill="FFFFFF" w:val="clear"/>
            <w:tcMar>
              <w:left w:w="0" w:type="dxa"/>
              <w:right w:w="0" w:type="dxa"/>
            </w:tcMar>
          </w:tcPr>
          <w:p>
            <w:pPr>
              <w:pStyle w:val="Normal"/>
              <w:jc w:val="center"/>
              <w:rPr/>
            </w:pPr>
            <w:r>
              <w:rPr/>
              <w:t>3,75</w:t>
            </w:r>
          </w:p>
        </w:tc>
        <w:tc>
          <w:tcPr>
            <w:tcW w:w="954" w:type="dxa"/>
            <w:tcBorders>
              <w:left w:val="single" w:sz="8" w:space="0" w:color="000000"/>
            </w:tcBorders>
            <w:shd w:fill="FFFFFF" w:val="clear"/>
            <w:tcMar>
              <w:left w:w="0" w:type="dxa"/>
              <w:right w:w="0" w:type="dxa"/>
            </w:tcMar>
          </w:tcPr>
          <w:p>
            <w:pPr>
              <w:pStyle w:val="Normal"/>
              <w:jc w:val="center"/>
              <w:rPr/>
            </w:pPr>
            <w:r>
              <w:rPr/>
              <w:t>4,40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4,85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5,5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1,60</w:t>
            </w:r>
          </w:p>
        </w:tc>
        <w:tc>
          <w:tcPr>
            <w:tcW w:w="954" w:type="dxa"/>
            <w:tcBorders>
              <w:left w:val="single" w:sz="8" w:space="0" w:color="000000"/>
            </w:tcBorders>
            <w:shd w:fill="FFFFFF" w:val="clear"/>
            <w:tcMar>
              <w:left w:w="0" w:type="dxa"/>
              <w:right w:w="0" w:type="dxa"/>
            </w:tcMar>
          </w:tcPr>
          <w:p>
            <w:pPr>
              <w:pStyle w:val="Normal"/>
              <w:jc w:val="center"/>
              <w:rPr/>
            </w:pPr>
            <w:r>
              <w:rPr/>
              <w:t>2,60</w:t>
            </w:r>
          </w:p>
        </w:tc>
        <w:tc>
          <w:tcPr>
            <w:tcW w:w="954" w:type="dxa"/>
            <w:tcBorders>
              <w:left w:val="single" w:sz="8" w:space="0" w:color="000000"/>
            </w:tcBorders>
            <w:shd w:fill="FFFFFF" w:val="clear"/>
            <w:tcMar>
              <w:left w:w="0" w:type="dxa"/>
              <w:right w:w="0" w:type="dxa"/>
            </w:tcMar>
          </w:tcPr>
          <w:p>
            <w:pPr>
              <w:pStyle w:val="Normal"/>
              <w:jc w:val="center"/>
              <w:rPr/>
            </w:pPr>
            <w:r>
              <w:rPr/>
              <w:t>3,45</w:t>
            </w:r>
          </w:p>
        </w:tc>
        <w:tc>
          <w:tcPr>
            <w:tcW w:w="954" w:type="dxa"/>
            <w:tcBorders>
              <w:left w:val="single" w:sz="8" w:space="0" w:color="000000"/>
            </w:tcBorders>
            <w:shd w:fill="FFFFFF" w:val="clear"/>
            <w:tcMar>
              <w:left w:w="0" w:type="dxa"/>
              <w:right w:w="0" w:type="dxa"/>
            </w:tcMar>
          </w:tcPr>
          <w:p>
            <w:pPr>
              <w:pStyle w:val="Normal"/>
              <w:jc w:val="center"/>
              <w:rPr/>
            </w:pPr>
            <w:r>
              <w:rPr/>
              <w:t>4,10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4,55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1,00</w:t>
            </w:r>
          </w:p>
        </w:tc>
        <w:tc>
          <w:tcPr>
            <w:tcW w:w="954" w:type="dxa"/>
            <w:tcBorders>
              <w:left w:val="single" w:sz="8" w:space="0" w:color="000000"/>
            </w:tcBorders>
            <w:shd w:fill="FFFFFF" w:val="clear"/>
            <w:tcMar>
              <w:left w:w="0" w:type="dxa"/>
              <w:right w:w="0" w:type="dxa"/>
            </w:tcMar>
          </w:tcPr>
          <w:p>
            <w:pPr>
              <w:pStyle w:val="Normal"/>
              <w:jc w:val="center"/>
              <w:rPr/>
            </w:pPr>
            <w:r>
              <w:rPr/>
              <w:t>2,15</w:t>
            </w:r>
          </w:p>
        </w:tc>
        <w:tc>
          <w:tcPr>
            <w:tcW w:w="954" w:type="dxa"/>
            <w:tcBorders>
              <w:left w:val="single" w:sz="8" w:space="0" w:color="000000"/>
            </w:tcBorders>
            <w:shd w:fill="FFFFFF" w:val="clear"/>
            <w:tcMar>
              <w:left w:w="0" w:type="dxa"/>
              <w:right w:w="0" w:type="dxa"/>
            </w:tcMar>
          </w:tcPr>
          <w:p>
            <w:pPr>
              <w:pStyle w:val="Normal"/>
              <w:jc w:val="center"/>
              <w:rPr/>
            </w:pPr>
            <w:r>
              <w:rPr/>
              <w:t>3,10</w:t>
            </w:r>
          </w:p>
        </w:tc>
        <w:tc>
          <w:tcPr>
            <w:tcW w:w="954" w:type="dxa"/>
            <w:tcBorders>
              <w:left w:val="single" w:sz="8" w:space="0" w:color="000000"/>
            </w:tcBorders>
            <w:shd w:fill="FFFFFF" w:val="clear"/>
            <w:tcMar>
              <w:left w:w="0" w:type="dxa"/>
              <w:right w:w="0" w:type="dxa"/>
            </w:tcMar>
          </w:tcPr>
          <w:p>
            <w:pPr>
              <w:pStyle w:val="Normal"/>
              <w:jc w:val="center"/>
              <w:rPr/>
            </w:pPr>
            <w:r>
              <w:rPr/>
              <w:t>3,80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0,05</w:t>
            </w:r>
          </w:p>
        </w:tc>
        <w:tc>
          <w:tcPr>
            <w:tcW w:w="954" w:type="dxa"/>
            <w:tcBorders>
              <w:left w:val="single" w:sz="8" w:space="0" w:color="000000"/>
            </w:tcBorders>
            <w:shd w:fill="FFFFFF" w:val="clear"/>
            <w:tcMar>
              <w:left w:w="0" w:type="dxa"/>
              <w:right w:w="0" w:type="dxa"/>
            </w:tcMar>
          </w:tcPr>
          <w:p>
            <w:pPr>
              <w:pStyle w:val="Normal"/>
              <w:jc w:val="center"/>
              <w:rPr/>
            </w:pPr>
            <w:r>
              <w:rPr/>
              <w:t>1,65</w:t>
            </w:r>
          </w:p>
        </w:tc>
        <w:tc>
          <w:tcPr>
            <w:tcW w:w="954" w:type="dxa"/>
            <w:tcBorders>
              <w:left w:val="single" w:sz="8" w:space="0" w:color="000000"/>
            </w:tcBorders>
            <w:shd w:fill="FFFFFF" w:val="clear"/>
            <w:tcMar>
              <w:left w:w="0" w:type="dxa"/>
              <w:right w:w="0" w:type="dxa"/>
            </w:tcMar>
          </w:tcPr>
          <w:p>
            <w:pPr>
              <w:pStyle w:val="Normal"/>
              <w:jc w:val="center"/>
              <w:rPr/>
            </w:pPr>
            <w:r>
              <w:rPr/>
              <w:t>2,70</w:t>
            </w:r>
          </w:p>
        </w:tc>
        <w:tc>
          <w:tcPr>
            <w:tcW w:w="954" w:type="dxa"/>
            <w:tcBorders>
              <w:left w:val="single" w:sz="8" w:space="0" w:color="000000"/>
            </w:tcBorders>
            <w:shd w:fill="FFFFFF" w:val="clear"/>
            <w:tcMar>
              <w:left w:w="0" w:type="dxa"/>
              <w:right w:w="0" w:type="dxa"/>
            </w:tcMar>
          </w:tcPr>
          <w:p>
            <w:pPr>
              <w:pStyle w:val="Normal"/>
              <w:jc w:val="center"/>
              <w:rPr/>
            </w:pPr>
            <w:r>
              <w:rPr/>
              <w:t>3,50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1,05</w:t>
            </w:r>
          </w:p>
        </w:tc>
        <w:tc>
          <w:tcPr>
            <w:tcW w:w="954" w:type="dxa"/>
            <w:tcBorders>
              <w:left w:val="single" w:sz="8" w:space="0" w:color="000000"/>
            </w:tcBorders>
            <w:shd w:fill="FFFFFF" w:val="clear"/>
            <w:tcMar>
              <w:left w:w="0" w:type="dxa"/>
              <w:right w:w="0" w:type="dxa"/>
            </w:tcMar>
          </w:tcPr>
          <w:p>
            <w:pPr>
              <w:pStyle w:val="Normal"/>
              <w:jc w:val="center"/>
              <w:rPr/>
            </w:pPr>
            <w:r>
              <w:rPr/>
              <w:t>2,25</w:t>
            </w:r>
          </w:p>
        </w:tc>
        <w:tc>
          <w:tcPr>
            <w:tcW w:w="954" w:type="dxa"/>
            <w:tcBorders>
              <w:left w:val="single" w:sz="8" w:space="0" w:color="000000"/>
            </w:tcBorders>
            <w:shd w:fill="FFFFFF" w:val="clear"/>
            <w:tcMar>
              <w:left w:w="0" w:type="dxa"/>
              <w:right w:w="0" w:type="dxa"/>
            </w:tcMar>
          </w:tcPr>
          <w:p>
            <w:pPr>
              <w:pStyle w:val="Normal"/>
              <w:jc w:val="center"/>
              <w:rPr/>
            </w:pPr>
            <w:r>
              <w:rPr/>
              <w:t>3,15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0,30</w:t>
            </w:r>
          </w:p>
        </w:tc>
        <w:tc>
          <w:tcPr>
            <w:tcW w:w="954" w:type="dxa"/>
            <w:tcBorders>
              <w:left w:val="single" w:sz="8" w:space="0" w:color="000000"/>
            </w:tcBorders>
            <w:shd w:fill="FFFFFF" w:val="clear"/>
            <w:tcMar>
              <w:left w:w="0" w:type="dxa"/>
              <w:right w:w="0" w:type="dxa"/>
            </w:tcMar>
          </w:tcPr>
          <w:p>
            <w:pPr>
              <w:pStyle w:val="Normal"/>
              <w:jc w:val="center"/>
              <w:rPr/>
            </w:pPr>
            <w:r>
              <w:rPr/>
              <w:t>1,80</w:t>
            </w:r>
          </w:p>
        </w:tc>
        <w:tc>
          <w:tcPr>
            <w:tcW w:w="954" w:type="dxa"/>
            <w:tcBorders>
              <w:left w:val="single" w:sz="8" w:space="0" w:color="000000"/>
            </w:tcBorders>
            <w:shd w:fill="FFFFFF" w:val="clear"/>
            <w:tcMar>
              <w:left w:w="0" w:type="dxa"/>
              <w:right w:w="0" w:type="dxa"/>
            </w:tcMar>
          </w:tcPr>
          <w:p>
            <w:pPr>
              <w:pStyle w:val="Normal"/>
              <w:jc w:val="center"/>
              <w:rPr/>
            </w:pPr>
            <w:r>
              <w:rPr/>
              <w:t>2,80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3,10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1,30</w:t>
            </w:r>
          </w:p>
        </w:tc>
        <w:tc>
          <w:tcPr>
            <w:tcW w:w="954" w:type="dxa"/>
            <w:tcBorders>
              <w:left w:val="single" w:sz="8" w:space="0" w:color="000000"/>
            </w:tcBorders>
            <w:shd w:fill="FFFFFF" w:val="clear"/>
            <w:tcMar>
              <w:left w:w="0" w:type="dxa"/>
              <w:right w:w="0" w:type="dxa"/>
            </w:tcMar>
          </w:tcPr>
          <w:p>
            <w:pPr>
              <w:pStyle w:val="Normal"/>
              <w:jc w:val="center"/>
              <w:rPr/>
            </w:pPr>
            <w:r>
              <w:rPr/>
              <w:t>2,45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2,65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0,65</w:t>
            </w:r>
          </w:p>
        </w:tc>
        <w:tc>
          <w:tcPr>
            <w:tcW w:w="954" w:type="dxa"/>
            <w:tcBorders>
              <w:left w:val="single" w:sz="8" w:space="0" w:color="000000"/>
            </w:tcBorders>
            <w:shd w:fill="FFFFFF" w:val="clear"/>
            <w:tcMar>
              <w:left w:w="0" w:type="dxa"/>
              <w:right w:w="0" w:type="dxa"/>
            </w:tcMar>
          </w:tcPr>
          <w:p>
            <w:pPr>
              <w:pStyle w:val="Normal"/>
              <w:jc w:val="center"/>
              <w:rPr/>
            </w:pPr>
            <w:r>
              <w:rPr/>
              <w:t>1,95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1,40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0,80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0,90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10,0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0,20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10,5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500</w:t>
            </w:r>
          </w:p>
        </w:tc>
        <w:tc>
          <w:tcPr>
            <w:tcW w:w="1347" w:type="dxa"/>
            <w:tcBorders>
              <w:left w:val="single" w:sz="8" w:space="0" w:color="000000"/>
            </w:tcBorders>
            <w:shd w:fill="FFFFFF" w:val="clear"/>
            <w:tcMar>
              <w:left w:w="0" w:type="dxa"/>
              <w:right w:w="0" w:type="dxa"/>
            </w:tcMar>
          </w:tcPr>
          <w:p>
            <w:pPr>
              <w:pStyle w:val="Normal"/>
              <w:jc w:val="center"/>
              <w:rPr/>
            </w:pPr>
            <w:r>
              <w:rPr/>
              <w:t>6,0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1,55</w:t>
            </w:r>
          </w:p>
        </w:tc>
        <w:tc>
          <w:tcPr>
            <w:tcW w:w="954" w:type="dxa"/>
            <w:tcBorders>
              <w:left w:val="single" w:sz="8" w:space="0" w:color="000000"/>
            </w:tcBorders>
            <w:shd w:fill="FFFFFF" w:val="clear"/>
            <w:tcMar>
              <w:left w:w="0" w:type="dxa"/>
              <w:right w:w="0" w:type="dxa"/>
            </w:tcMar>
          </w:tcPr>
          <w:p>
            <w:pPr>
              <w:pStyle w:val="Normal"/>
              <w:jc w:val="center"/>
              <w:rPr/>
            </w:pPr>
            <w:r>
              <w:rPr/>
              <w:t>2,90</w:t>
            </w:r>
          </w:p>
        </w:tc>
        <w:tc>
          <w:tcPr>
            <w:tcW w:w="954" w:type="dxa"/>
            <w:tcBorders>
              <w:left w:val="single" w:sz="8" w:space="0" w:color="000000"/>
            </w:tcBorders>
            <w:shd w:fill="FFFFFF" w:val="clear"/>
            <w:tcMar>
              <w:left w:w="0" w:type="dxa"/>
              <w:right w:w="0" w:type="dxa"/>
            </w:tcMar>
          </w:tcPr>
          <w:p>
            <w:pPr>
              <w:pStyle w:val="Normal"/>
              <w:jc w:val="center"/>
              <w:rPr/>
            </w:pPr>
            <w:r>
              <w:rPr/>
              <w:t>4,05</w:t>
            </w:r>
          </w:p>
        </w:tc>
        <w:tc>
          <w:tcPr>
            <w:tcW w:w="954" w:type="dxa"/>
            <w:tcBorders>
              <w:left w:val="single" w:sz="8" w:space="0" w:color="000000"/>
            </w:tcBorders>
            <w:shd w:fill="FFFFFF" w:val="clear"/>
            <w:tcMar>
              <w:left w:w="0" w:type="dxa"/>
              <w:right w:w="0" w:type="dxa"/>
            </w:tcMar>
          </w:tcPr>
          <w:p>
            <w:pPr>
              <w:pStyle w:val="Normal"/>
              <w:jc w:val="center"/>
              <w:rPr/>
            </w:pPr>
            <w:r>
              <w:rPr/>
              <w:t>4,35</w:t>
            </w:r>
          </w:p>
        </w:tc>
        <w:tc>
          <w:tcPr>
            <w:tcW w:w="954" w:type="dxa"/>
            <w:tcBorders>
              <w:left w:val="single" w:sz="8" w:space="0" w:color="000000"/>
            </w:tcBorders>
            <w:shd w:fill="FFFFFF" w:val="clear"/>
            <w:tcMar>
              <w:left w:w="0" w:type="dxa"/>
              <w:right w:w="0" w:type="dxa"/>
            </w:tcMar>
          </w:tcPr>
          <w:p>
            <w:pPr>
              <w:pStyle w:val="Normal"/>
              <w:jc w:val="center"/>
              <w:rPr/>
            </w:pPr>
            <w:r>
              <w:rPr/>
              <w:t>4,60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6,5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1,05</w:t>
            </w:r>
          </w:p>
        </w:tc>
        <w:tc>
          <w:tcPr>
            <w:tcW w:w="954" w:type="dxa"/>
            <w:tcBorders>
              <w:left w:val="single" w:sz="8" w:space="0" w:color="000000"/>
            </w:tcBorders>
            <w:shd w:fill="FFFFFF" w:val="clear"/>
            <w:tcMar>
              <w:left w:w="0" w:type="dxa"/>
              <w:right w:w="0" w:type="dxa"/>
            </w:tcMar>
          </w:tcPr>
          <w:p>
            <w:pPr>
              <w:pStyle w:val="Normal"/>
              <w:jc w:val="center"/>
              <w:rPr/>
            </w:pPr>
            <w:r>
              <w:rPr/>
              <w:t>2,55</w:t>
            </w:r>
          </w:p>
        </w:tc>
        <w:tc>
          <w:tcPr>
            <w:tcW w:w="954" w:type="dxa"/>
            <w:tcBorders>
              <w:left w:val="single" w:sz="8" w:space="0" w:color="000000"/>
            </w:tcBorders>
            <w:shd w:fill="FFFFFF" w:val="clear"/>
            <w:tcMar>
              <w:left w:w="0" w:type="dxa"/>
              <w:right w:w="0" w:type="dxa"/>
            </w:tcMar>
          </w:tcPr>
          <w:p>
            <w:pPr>
              <w:pStyle w:val="Normal"/>
              <w:jc w:val="center"/>
              <w:rPr/>
            </w:pPr>
            <w:r>
              <w:rPr/>
              <w:t>3,75</w:t>
            </w:r>
          </w:p>
        </w:tc>
        <w:tc>
          <w:tcPr>
            <w:tcW w:w="954" w:type="dxa"/>
            <w:tcBorders>
              <w:left w:val="single" w:sz="8" w:space="0" w:color="000000"/>
            </w:tcBorders>
            <w:shd w:fill="FFFFFF" w:val="clear"/>
            <w:tcMar>
              <w:left w:w="0" w:type="dxa"/>
              <w:right w:w="0" w:type="dxa"/>
            </w:tcMar>
          </w:tcPr>
          <w:p>
            <w:pPr>
              <w:pStyle w:val="Normal"/>
              <w:jc w:val="center"/>
              <w:rPr/>
            </w:pPr>
            <w:r>
              <w:rPr/>
              <w:t>4,05</w:t>
            </w:r>
          </w:p>
        </w:tc>
        <w:tc>
          <w:tcPr>
            <w:tcW w:w="954" w:type="dxa"/>
            <w:tcBorders>
              <w:left w:val="single" w:sz="8" w:space="0" w:color="000000"/>
            </w:tcBorders>
            <w:shd w:fill="FFFFFF" w:val="clear"/>
            <w:tcMar>
              <w:left w:w="0" w:type="dxa"/>
              <w:right w:w="0" w:type="dxa"/>
            </w:tcMar>
          </w:tcPr>
          <w:p>
            <w:pPr>
              <w:pStyle w:val="Normal"/>
              <w:jc w:val="center"/>
              <w:rPr/>
            </w:pPr>
            <w:r>
              <w:rPr/>
              <w:t>4,25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4,70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0,40</w:t>
            </w:r>
          </w:p>
        </w:tc>
        <w:tc>
          <w:tcPr>
            <w:tcW w:w="954" w:type="dxa"/>
            <w:tcBorders>
              <w:left w:val="single" w:sz="8" w:space="0" w:color="000000"/>
            </w:tcBorders>
            <w:shd w:fill="FFFFFF" w:val="clear"/>
            <w:tcMar>
              <w:left w:w="0" w:type="dxa"/>
              <w:right w:w="0" w:type="dxa"/>
            </w:tcMar>
          </w:tcPr>
          <w:p>
            <w:pPr>
              <w:pStyle w:val="Normal"/>
              <w:jc w:val="center"/>
              <w:rPr/>
            </w:pPr>
            <w:r>
              <w:rPr/>
              <w:t>2,15</w:t>
            </w:r>
          </w:p>
        </w:tc>
        <w:tc>
          <w:tcPr>
            <w:tcW w:w="954" w:type="dxa"/>
            <w:tcBorders>
              <w:left w:val="single" w:sz="8" w:space="0" w:color="000000"/>
            </w:tcBorders>
            <w:shd w:fill="FFFFFF" w:val="clear"/>
            <w:tcMar>
              <w:left w:w="0" w:type="dxa"/>
              <w:right w:w="0" w:type="dxa"/>
            </w:tcMar>
          </w:tcPr>
          <w:p>
            <w:pPr>
              <w:pStyle w:val="Normal"/>
              <w:jc w:val="center"/>
              <w:rPr/>
            </w:pPr>
            <w:r>
              <w:rPr/>
              <w:t>3,45</w:t>
            </w:r>
          </w:p>
        </w:tc>
        <w:tc>
          <w:tcPr>
            <w:tcW w:w="954" w:type="dxa"/>
            <w:tcBorders>
              <w:left w:val="single" w:sz="8" w:space="0" w:color="000000"/>
            </w:tcBorders>
            <w:shd w:fill="FFFFFF" w:val="clear"/>
            <w:tcMar>
              <w:left w:w="0" w:type="dxa"/>
              <w:right w:w="0" w:type="dxa"/>
            </w:tcMar>
          </w:tcPr>
          <w:p>
            <w:pPr>
              <w:pStyle w:val="Normal"/>
              <w:jc w:val="center"/>
              <w:rPr/>
            </w:pPr>
            <w:r>
              <w:rPr/>
              <w:t>3,70</w:t>
            </w:r>
          </w:p>
        </w:tc>
        <w:tc>
          <w:tcPr>
            <w:tcW w:w="954" w:type="dxa"/>
            <w:tcBorders>
              <w:left w:val="single" w:sz="8" w:space="0" w:color="000000"/>
            </w:tcBorders>
            <w:shd w:fill="FFFFFF" w:val="clear"/>
            <w:tcMar>
              <w:left w:w="0" w:type="dxa"/>
              <w:right w:w="0" w:type="dxa"/>
            </w:tcMar>
          </w:tcPr>
          <w:p>
            <w:pPr>
              <w:pStyle w:val="Normal"/>
              <w:jc w:val="center"/>
              <w:rPr/>
            </w:pPr>
            <w:r>
              <w:rPr/>
              <w:t>3,90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1,70</w:t>
            </w:r>
          </w:p>
        </w:tc>
        <w:tc>
          <w:tcPr>
            <w:tcW w:w="954" w:type="dxa"/>
            <w:tcBorders>
              <w:left w:val="single" w:sz="8" w:space="0" w:color="000000"/>
            </w:tcBorders>
            <w:shd w:fill="FFFFFF" w:val="clear"/>
            <w:tcMar>
              <w:left w:w="0" w:type="dxa"/>
              <w:right w:w="0" w:type="dxa"/>
            </w:tcMar>
          </w:tcPr>
          <w:p>
            <w:pPr>
              <w:pStyle w:val="Normal"/>
              <w:jc w:val="center"/>
              <w:rPr/>
            </w:pPr>
            <w:r>
              <w:rPr/>
              <w:t>3,15</w:t>
            </w:r>
          </w:p>
        </w:tc>
        <w:tc>
          <w:tcPr>
            <w:tcW w:w="954" w:type="dxa"/>
            <w:tcBorders>
              <w:left w:val="single" w:sz="8" w:space="0" w:color="000000"/>
            </w:tcBorders>
            <w:shd w:fill="FFFFFF" w:val="clear"/>
            <w:tcMar>
              <w:left w:w="0" w:type="dxa"/>
              <w:right w:w="0" w:type="dxa"/>
            </w:tcMar>
          </w:tcPr>
          <w:p>
            <w:pPr>
              <w:pStyle w:val="Normal"/>
              <w:jc w:val="center"/>
              <w:rPr/>
            </w:pPr>
            <w:r>
              <w:rPr/>
              <w:t>3,35</w:t>
            </w:r>
          </w:p>
        </w:tc>
        <w:tc>
          <w:tcPr>
            <w:tcW w:w="954" w:type="dxa"/>
            <w:tcBorders>
              <w:left w:val="single" w:sz="8" w:space="0" w:color="000000"/>
            </w:tcBorders>
            <w:shd w:fill="FFFFFF" w:val="clear"/>
            <w:tcMar>
              <w:left w:w="0" w:type="dxa"/>
              <w:right w:w="0" w:type="dxa"/>
            </w:tcMar>
          </w:tcPr>
          <w:p>
            <w:pPr>
              <w:pStyle w:val="Normal"/>
              <w:jc w:val="center"/>
              <w:rPr/>
            </w:pPr>
            <w:r>
              <w:rPr/>
              <w:t>3,50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1,20</w:t>
            </w:r>
          </w:p>
        </w:tc>
        <w:tc>
          <w:tcPr>
            <w:tcW w:w="954" w:type="dxa"/>
            <w:tcBorders>
              <w:left w:val="single" w:sz="8" w:space="0" w:color="000000"/>
            </w:tcBorders>
            <w:shd w:fill="FFFFFF" w:val="clear"/>
            <w:tcMar>
              <w:left w:w="0" w:type="dxa"/>
              <w:right w:w="0" w:type="dxa"/>
            </w:tcMar>
          </w:tcPr>
          <w:p>
            <w:pPr>
              <w:pStyle w:val="Normal"/>
              <w:jc w:val="center"/>
              <w:rPr/>
            </w:pPr>
            <w:r>
              <w:rPr/>
              <w:t>2,75</w:t>
            </w:r>
          </w:p>
        </w:tc>
        <w:tc>
          <w:tcPr>
            <w:tcW w:w="954" w:type="dxa"/>
            <w:tcBorders>
              <w:left w:val="single" w:sz="8" w:space="0" w:color="000000"/>
            </w:tcBorders>
            <w:shd w:fill="FFFFFF" w:val="clear"/>
            <w:tcMar>
              <w:left w:w="0" w:type="dxa"/>
              <w:right w:w="0" w:type="dxa"/>
            </w:tcMar>
          </w:tcPr>
          <w:p>
            <w:pPr>
              <w:pStyle w:val="Normal"/>
              <w:jc w:val="center"/>
              <w:rPr/>
            </w:pPr>
            <w:r>
              <w:rPr/>
              <w:t>2,90</w:t>
            </w:r>
          </w:p>
        </w:tc>
        <w:tc>
          <w:tcPr>
            <w:tcW w:w="954" w:type="dxa"/>
            <w:tcBorders>
              <w:left w:val="single" w:sz="8" w:space="0" w:color="000000"/>
            </w:tcBorders>
            <w:shd w:fill="FFFFFF" w:val="clear"/>
            <w:tcMar>
              <w:left w:w="0" w:type="dxa"/>
              <w:right w:w="0" w:type="dxa"/>
            </w:tcMar>
          </w:tcPr>
          <w:p>
            <w:pPr>
              <w:pStyle w:val="Normal"/>
              <w:jc w:val="center"/>
              <w:rPr/>
            </w:pPr>
            <w:r>
              <w:rPr/>
              <w:t>3,10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3,35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0,50</w:t>
            </w:r>
          </w:p>
        </w:tc>
        <w:tc>
          <w:tcPr>
            <w:tcW w:w="954" w:type="dxa"/>
            <w:tcBorders>
              <w:left w:val="single" w:sz="8" w:space="0" w:color="000000"/>
            </w:tcBorders>
            <w:shd w:fill="FFFFFF" w:val="clear"/>
            <w:tcMar>
              <w:left w:w="0" w:type="dxa"/>
              <w:right w:w="0" w:type="dxa"/>
            </w:tcMar>
          </w:tcPr>
          <w:p>
            <w:pPr>
              <w:pStyle w:val="Normal"/>
              <w:jc w:val="center"/>
              <w:rPr/>
            </w:pPr>
            <w:r>
              <w:rPr/>
              <w:t>2,30</w:t>
            </w:r>
          </w:p>
        </w:tc>
        <w:tc>
          <w:tcPr>
            <w:tcW w:w="954" w:type="dxa"/>
            <w:tcBorders>
              <w:left w:val="single" w:sz="8" w:space="0" w:color="000000"/>
            </w:tcBorders>
            <w:shd w:fill="FFFFFF" w:val="clear"/>
            <w:tcMar>
              <w:left w:w="0" w:type="dxa"/>
              <w:right w:w="0" w:type="dxa"/>
            </w:tcMar>
          </w:tcPr>
          <w:p>
            <w:pPr>
              <w:pStyle w:val="Normal"/>
              <w:jc w:val="center"/>
              <w:rPr/>
            </w:pPr>
            <w:r>
              <w:rPr/>
              <w:t>2,45</w:t>
            </w:r>
          </w:p>
        </w:tc>
        <w:tc>
          <w:tcPr>
            <w:tcW w:w="954" w:type="dxa"/>
            <w:tcBorders>
              <w:left w:val="single" w:sz="8" w:space="0" w:color="000000"/>
            </w:tcBorders>
            <w:shd w:fill="FFFFFF" w:val="clear"/>
            <w:tcMar>
              <w:left w:w="0" w:type="dxa"/>
              <w:right w:w="0" w:type="dxa"/>
            </w:tcMar>
          </w:tcPr>
          <w:p>
            <w:pPr>
              <w:pStyle w:val="Normal"/>
              <w:jc w:val="center"/>
              <w:rPr/>
            </w:pPr>
            <w:r>
              <w:rPr/>
              <w:t>2,60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1,85</w:t>
            </w:r>
          </w:p>
        </w:tc>
        <w:tc>
          <w:tcPr>
            <w:tcW w:w="954" w:type="dxa"/>
            <w:tcBorders>
              <w:left w:val="single" w:sz="8" w:space="0" w:color="000000"/>
            </w:tcBorders>
            <w:shd w:fill="FFFFFF" w:val="clear"/>
            <w:tcMar>
              <w:left w:w="0" w:type="dxa"/>
              <w:right w:w="0" w:type="dxa"/>
            </w:tcMar>
          </w:tcPr>
          <w:p>
            <w:pPr>
              <w:pStyle w:val="Normal"/>
              <w:jc w:val="center"/>
              <w:rPr/>
            </w:pPr>
            <w:r>
              <w:rPr/>
              <w:t>1,95</w:t>
            </w:r>
          </w:p>
        </w:tc>
        <w:tc>
          <w:tcPr>
            <w:tcW w:w="954" w:type="dxa"/>
            <w:tcBorders>
              <w:left w:val="single" w:sz="8" w:space="0" w:color="000000"/>
            </w:tcBorders>
            <w:shd w:fill="FFFFFF" w:val="clear"/>
            <w:tcMar>
              <w:left w:w="0" w:type="dxa"/>
              <w:right w:w="0" w:type="dxa"/>
            </w:tcMar>
          </w:tcPr>
          <w:p>
            <w:pPr>
              <w:pStyle w:val="Normal"/>
              <w:jc w:val="center"/>
              <w:rPr/>
            </w:pPr>
            <w:r>
              <w:rPr/>
              <w:t>2,05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2,20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1,30</w:t>
            </w:r>
          </w:p>
        </w:tc>
        <w:tc>
          <w:tcPr>
            <w:tcW w:w="954" w:type="dxa"/>
            <w:tcBorders>
              <w:left w:val="single" w:sz="8" w:space="0" w:color="000000"/>
            </w:tcBorders>
            <w:shd w:fill="FFFFFF" w:val="clear"/>
            <w:tcMar>
              <w:left w:w="0" w:type="dxa"/>
              <w:right w:w="0" w:type="dxa"/>
            </w:tcMar>
          </w:tcPr>
          <w:p>
            <w:pPr>
              <w:pStyle w:val="Normal"/>
              <w:jc w:val="center"/>
              <w:rPr/>
            </w:pPr>
            <w:r>
              <w:rPr/>
              <w:t>1,35</w:t>
            </w:r>
          </w:p>
        </w:tc>
        <w:tc>
          <w:tcPr>
            <w:tcW w:w="954" w:type="dxa"/>
            <w:tcBorders>
              <w:left w:val="single" w:sz="8" w:space="0" w:color="000000"/>
            </w:tcBorders>
            <w:shd w:fill="FFFFFF" w:val="clear"/>
            <w:tcMar>
              <w:left w:w="0" w:type="dxa"/>
              <w:right w:w="0" w:type="dxa"/>
            </w:tcMar>
          </w:tcPr>
          <w:p>
            <w:pPr>
              <w:pStyle w:val="Normal"/>
              <w:jc w:val="center"/>
              <w:rPr/>
            </w:pPr>
            <w:r>
              <w:rPr/>
              <w:t>1,45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1,60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10,0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0,60</w:t>
            </w:r>
          </w:p>
        </w:tc>
        <w:tc>
          <w:tcPr>
            <w:tcW w:w="954" w:type="dxa"/>
            <w:tcBorders>
              <w:left w:val="single" w:sz="8" w:space="0" w:color="000000"/>
            </w:tcBorders>
            <w:shd w:fill="FFFFFF" w:val="clear"/>
            <w:tcMar>
              <w:left w:w="0" w:type="dxa"/>
              <w:right w:w="0" w:type="dxa"/>
            </w:tcMar>
          </w:tcPr>
          <w:p>
            <w:pPr>
              <w:pStyle w:val="Normal"/>
              <w:jc w:val="center"/>
              <w:rPr/>
            </w:pPr>
            <w:r>
              <w:rPr/>
              <w:t>0,60</w:t>
            </w:r>
          </w:p>
        </w:tc>
        <w:tc>
          <w:tcPr>
            <w:tcW w:w="954" w:type="dxa"/>
            <w:tcBorders>
              <w:left w:val="single" w:sz="8" w:space="0" w:color="000000"/>
            </w:tcBorders>
            <w:shd w:fill="FFFFFF" w:val="clear"/>
            <w:tcMar>
              <w:left w:w="0" w:type="dxa"/>
              <w:right w:w="0" w:type="dxa"/>
            </w:tcMar>
          </w:tcPr>
          <w:p>
            <w:pPr>
              <w:pStyle w:val="Normal"/>
              <w:jc w:val="center"/>
              <w:rPr/>
            </w:pPr>
            <w:r>
              <w:rPr/>
              <w:t>0,65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0,75</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10,5</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20" w:type="dxa"/>
            <w:tcBorders>
              <w:left w:val="single" w:sz="8" w:space="0" w:color="000000"/>
            </w:tcBorders>
            <w:shd w:fill="FFFFFF" w:val="clear"/>
          </w:tcPr>
          <w:p>
            <w:pPr>
              <w:pStyle w:val="Normal"/>
              <w:jc w:val="center"/>
              <w:rPr/>
            </w:pPr>
            <w:r>
              <w:rPr/>
              <w:t>750</w:t>
            </w:r>
          </w:p>
        </w:tc>
        <w:tc>
          <w:tcPr>
            <w:tcW w:w="1347" w:type="dxa"/>
            <w:tcBorders>
              <w:left w:val="single" w:sz="8" w:space="0" w:color="000000"/>
            </w:tcBorders>
            <w:shd w:fill="FFFFFF" w:val="clear"/>
            <w:tcMar>
              <w:left w:w="0" w:type="dxa"/>
              <w:right w:w="0" w:type="dxa"/>
            </w:tcMar>
          </w:tcPr>
          <w:p>
            <w:pPr>
              <w:pStyle w:val="Normal"/>
              <w:jc w:val="center"/>
              <w:rPr/>
            </w:pPr>
            <w:r>
              <w:rPr/>
              <w:t>7,0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0,70</w:t>
            </w:r>
          </w:p>
        </w:tc>
        <w:tc>
          <w:tcPr>
            <w:tcW w:w="954" w:type="dxa"/>
            <w:tcBorders>
              <w:left w:val="single" w:sz="8" w:space="0" w:color="000000"/>
            </w:tcBorders>
            <w:shd w:fill="FFFFFF" w:val="clear"/>
            <w:tcMar>
              <w:left w:w="0" w:type="dxa"/>
              <w:right w:w="0" w:type="dxa"/>
            </w:tcMar>
          </w:tcPr>
          <w:p>
            <w:pPr>
              <w:pStyle w:val="Normal"/>
              <w:jc w:val="center"/>
              <w:rPr/>
            </w:pPr>
            <w:r>
              <w:rPr/>
              <w:t>2,20</w:t>
            </w:r>
          </w:p>
        </w:tc>
        <w:tc>
          <w:tcPr>
            <w:tcW w:w="954" w:type="dxa"/>
            <w:tcBorders>
              <w:left w:val="single" w:sz="8" w:space="0" w:color="000000"/>
            </w:tcBorders>
            <w:shd w:fill="FFFFFF" w:val="clear"/>
            <w:tcMar>
              <w:left w:w="0" w:type="dxa"/>
              <w:right w:w="0" w:type="dxa"/>
            </w:tcMar>
          </w:tcPr>
          <w:p>
            <w:pPr>
              <w:pStyle w:val="Normal"/>
              <w:jc w:val="center"/>
              <w:rPr/>
            </w:pPr>
            <w:r>
              <w:rPr/>
              <w:t>3,40</w:t>
            </w:r>
          </w:p>
        </w:tc>
        <w:tc>
          <w:tcPr>
            <w:tcW w:w="954" w:type="dxa"/>
            <w:tcBorders>
              <w:left w:val="single" w:sz="8" w:space="0" w:color="000000"/>
            </w:tcBorders>
            <w:shd w:fill="FFFFFF" w:val="clear"/>
            <w:tcMar>
              <w:left w:w="0" w:type="dxa"/>
              <w:right w:w="0" w:type="dxa"/>
            </w:tcMar>
          </w:tcPr>
          <w:p>
            <w:pPr>
              <w:pStyle w:val="Normal"/>
              <w:jc w:val="center"/>
              <w:rPr/>
            </w:pPr>
            <w:r>
              <w:rPr/>
              <w:t>3,65</w:t>
            </w:r>
          </w:p>
        </w:tc>
        <w:tc>
          <w:tcPr>
            <w:tcW w:w="954" w:type="dxa"/>
            <w:tcBorders>
              <w:left w:val="single" w:sz="8" w:space="0" w:color="000000"/>
            </w:tcBorders>
            <w:shd w:fill="FFFFFF" w:val="clear"/>
            <w:tcMar>
              <w:left w:w="0" w:type="dxa"/>
              <w:right w:w="0" w:type="dxa"/>
            </w:tcMar>
          </w:tcPr>
          <w:p>
            <w:pPr>
              <w:pStyle w:val="Normal"/>
              <w:jc w:val="center"/>
              <w:rPr/>
            </w:pPr>
            <w:r>
              <w:rPr/>
              <w:t>3,85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4,20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7,5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0,35</w:t>
            </w:r>
          </w:p>
        </w:tc>
        <w:tc>
          <w:tcPr>
            <w:tcW w:w="954" w:type="dxa"/>
            <w:tcBorders>
              <w:left w:val="single" w:sz="8" w:space="0" w:color="000000"/>
            </w:tcBorders>
            <w:shd w:fill="FFFFFF" w:val="clear"/>
            <w:tcMar>
              <w:left w:w="0" w:type="dxa"/>
              <w:right w:w="0" w:type="dxa"/>
            </w:tcMar>
          </w:tcPr>
          <w:p>
            <w:pPr>
              <w:pStyle w:val="Normal"/>
              <w:jc w:val="center"/>
              <w:rPr/>
            </w:pPr>
            <w:r>
              <w:rPr/>
              <w:t>1,85</w:t>
            </w:r>
          </w:p>
        </w:tc>
        <w:tc>
          <w:tcPr>
            <w:tcW w:w="954" w:type="dxa"/>
            <w:tcBorders>
              <w:left w:val="single" w:sz="8" w:space="0" w:color="000000"/>
            </w:tcBorders>
            <w:shd w:fill="FFFFFF" w:val="clear"/>
            <w:tcMar>
              <w:left w:w="0" w:type="dxa"/>
              <w:right w:w="0" w:type="dxa"/>
            </w:tcMar>
          </w:tcPr>
          <w:p>
            <w:pPr>
              <w:pStyle w:val="Normal"/>
              <w:jc w:val="center"/>
              <w:rPr/>
            </w:pPr>
            <w:r>
              <w:rPr/>
              <w:t>3,10</w:t>
            </w:r>
          </w:p>
        </w:tc>
        <w:tc>
          <w:tcPr>
            <w:tcW w:w="954" w:type="dxa"/>
            <w:tcBorders>
              <w:left w:val="single" w:sz="8" w:space="0" w:color="000000"/>
            </w:tcBorders>
            <w:shd w:fill="FFFFFF" w:val="clear"/>
            <w:tcMar>
              <w:left w:w="0" w:type="dxa"/>
              <w:right w:w="0" w:type="dxa"/>
            </w:tcMar>
          </w:tcPr>
          <w:p>
            <w:pPr>
              <w:pStyle w:val="Normal"/>
              <w:jc w:val="center"/>
              <w:rPr/>
            </w:pPr>
            <w:r>
              <w:rPr/>
              <w:t>3,30</w:t>
            </w:r>
          </w:p>
        </w:tc>
        <w:tc>
          <w:tcPr>
            <w:tcW w:w="954" w:type="dxa"/>
            <w:tcBorders>
              <w:left w:val="single" w:sz="8" w:space="0" w:color="000000"/>
            </w:tcBorders>
            <w:shd w:fill="FFFFFF" w:val="clear"/>
            <w:tcMar>
              <w:left w:w="0" w:type="dxa"/>
              <w:right w:w="0" w:type="dxa"/>
            </w:tcMar>
          </w:tcPr>
          <w:p>
            <w:pPr>
              <w:pStyle w:val="Normal"/>
              <w:jc w:val="center"/>
              <w:rPr/>
            </w:pPr>
            <w:r>
              <w:rPr/>
              <w:t>3,50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1,35</w:t>
            </w:r>
          </w:p>
        </w:tc>
        <w:tc>
          <w:tcPr>
            <w:tcW w:w="954" w:type="dxa"/>
            <w:tcBorders>
              <w:left w:val="single" w:sz="8" w:space="0" w:color="000000"/>
            </w:tcBorders>
            <w:shd w:fill="FFFFFF" w:val="clear"/>
            <w:tcMar>
              <w:left w:w="0" w:type="dxa"/>
              <w:right w:w="0" w:type="dxa"/>
            </w:tcMar>
          </w:tcPr>
          <w:p>
            <w:pPr>
              <w:pStyle w:val="Normal"/>
              <w:jc w:val="center"/>
              <w:rPr/>
            </w:pPr>
            <w:r>
              <w:rPr/>
              <w:t>2,75</w:t>
            </w:r>
          </w:p>
        </w:tc>
        <w:tc>
          <w:tcPr>
            <w:tcW w:w="954" w:type="dxa"/>
            <w:tcBorders>
              <w:left w:val="single" w:sz="8" w:space="0" w:color="000000"/>
            </w:tcBorders>
            <w:shd w:fill="FFFFFF" w:val="clear"/>
            <w:tcMar>
              <w:left w:w="0" w:type="dxa"/>
              <w:right w:w="0" w:type="dxa"/>
            </w:tcMar>
          </w:tcPr>
          <w:p>
            <w:pPr>
              <w:pStyle w:val="Normal"/>
              <w:jc w:val="center"/>
              <w:rPr/>
            </w:pPr>
            <w:r>
              <w:rPr/>
              <w:t>2,95</w:t>
            </w:r>
          </w:p>
        </w:tc>
        <w:tc>
          <w:tcPr>
            <w:tcW w:w="954" w:type="dxa"/>
            <w:tcBorders>
              <w:left w:val="single" w:sz="8" w:space="0" w:color="000000"/>
            </w:tcBorders>
            <w:shd w:fill="FFFFFF" w:val="clear"/>
            <w:tcMar>
              <w:left w:w="0" w:type="dxa"/>
              <w:right w:w="0" w:type="dxa"/>
            </w:tcMar>
          </w:tcPr>
          <w:p>
            <w:pPr>
              <w:pStyle w:val="Normal"/>
              <w:jc w:val="center"/>
              <w:rPr/>
            </w:pPr>
            <w:r>
              <w:rPr/>
              <w:t>3,10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8,5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0,80</w:t>
            </w:r>
          </w:p>
        </w:tc>
        <w:tc>
          <w:tcPr>
            <w:tcW w:w="954" w:type="dxa"/>
            <w:tcBorders>
              <w:left w:val="single" w:sz="8" w:space="0" w:color="000000"/>
            </w:tcBorders>
            <w:shd w:fill="FFFFFF" w:val="clear"/>
            <w:tcMar>
              <w:left w:w="0" w:type="dxa"/>
              <w:right w:w="0" w:type="dxa"/>
            </w:tcMar>
          </w:tcPr>
          <w:p>
            <w:pPr>
              <w:pStyle w:val="Normal"/>
              <w:jc w:val="center"/>
              <w:rPr/>
            </w:pPr>
            <w:r>
              <w:rPr/>
              <w:t>2,40</w:t>
            </w:r>
          </w:p>
        </w:tc>
        <w:tc>
          <w:tcPr>
            <w:tcW w:w="954" w:type="dxa"/>
            <w:tcBorders>
              <w:left w:val="single" w:sz="8" w:space="0" w:color="000000"/>
            </w:tcBorders>
            <w:shd w:fill="FFFFFF" w:val="clear"/>
            <w:tcMar>
              <w:left w:w="0" w:type="dxa"/>
              <w:right w:w="0" w:type="dxa"/>
            </w:tcMar>
          </w:tcPr>
          <w:p>
            <w:pPr>
              <w:pStyle w:val="Normal"/>
              <w:jc w:val="center"/>
              <w:rPr/>
            </w:pPr>
            <w:r>
              <w:rPr/>
              <w:t>2,55</w:t>
            </w:r>
          </w:p>
        </w:tc>
        <w:tc>
          <w:tcPr>
            <w:tcW w:w="954" w:type="dxa"/>
            <w:tcBorders>
              <w:left w:val="single" w:sz="8" w:space="0" w:color="000000"/>
            </w:tcBorders>
            <w:shd w:fill="FFFFFF" w:val="clear"/>
            <w:tcMar>
              <w:left w:w="0" w:type="dxa"/>
              <w:right w:w="0" w:type="dxa"/>
            </w:tcMar>
          </w:tcPr>
          <w:p>
            <w:pPr>
              <w:pStyle w:val="Normal"/>
              <w:jc w:val="center"/>
              <w:rPr/>
            </w:pPr>
            <w:r>
              <w:rPr/>
              <w:t>2,70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2,90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0,10</w:t>
            </w:r>
          </w:p>
        </w:tc>
        <w:tc>
          <w:tcPr>
            <w:tcW w:w="954" w:type="dxa"/>
            <w:tcBorders>
              <w:left w:val="single" w:sz="8" w:space="0" w:color="000000"/>
            </w:tcBorders>
            <w:shd w:fill="FFFFFF" w:val="clear"/>
            <w:tcMar>
              <w:left w:w="0" w:type="dxa"/>
              <w:right w:w="0" w:type="dxa"/>
            </w:tcMar>
          </w:tcPr>
          <w:p>
            <w:pPr>
              <w:pStyle w:val="Normal"/>
              <w:jc w:val="center"/>
              <w:rPr/>
            </w:pPr>
            <w:r>
              <w:rPr/>
              <w:t>1,95</w:t>
            </w:r>
          </w:p>
        </w:tc>
        <w:tc>
          <w:tcPr>
            <w:tcW w:w="954" w:type="dxa"/>
            <w:tcBorders>
              <w:left w:val="single" w:sz="8" w:space="0" w:color="000000"/>
            </w:tcBorders>
            <w:shd w:fill="FFFFFF" w:val="clear"/>
            <w:tcMar>
              <w:left w:w="0" w:type="dxa"/>
              <w:right w:w="0" w:type="dxa"/>
            </w:tcMar>
          </w:tcPr>
          <w:p>
            <w:pPr>
              <w:pStyle w:val="Normal"/>
              <w:jc w:val="center"/>
              <w:rPr/>
            </w:pPr>
            <w:r>
              <w:rPr/>
              <w:t>2,05</w:t>
            </w:r>
          </w:p>
        </w:tc>
        <w:tc>
          <w:tcPr>
            <w:tcW w:w="954" w:type="dxa"/>
            <w:tcBorders>
              <w:left w:val="single" w:sz="8" w:space="0" w:color="000000"/>
            </w:tcBorders>
            <w:shd w:fill="FFFFFF" w:val="clear"/>
            <w:tcMar>
              <w:left w:w="0" w:type="dxa"/>
              <w:right w:w="0" w:type="dxa"/>
            </w:tcMar>
          </w:tcPr>
          <w:p>
            <w:pPr>
              <w:pStyle w:val="Normal"/>
              <w:jc w:val="center"/>
              <w:rPr/>
            </w:pPr>
            <w:r>
              <w:rPr/>
              <w:t>2,20</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2,40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9,5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1,50</w:t>
            </w:r>
          </w:p>
        </w:tc>
        <w:tc>
          <w:tcPr>
            <w:tcW w:w="954" w:type="dxa"/>
            <w:tcBorders>
              <w:left w:val="single" w:sz="8" w:space="0" w:color="000000"/>
            </w:tcBorders>
            <w:shd w:fill="FFFFFF" w:val="clear"/>
            <w:tcMar>
              <w:left w:w="0" w:type="dxa"/>
              <w:right w:w="0" w:type="dxa"/>
            </w:tcMar>
          </w:tcPr>
          <w:p>
            <w:pPr>
              <w:pStyle w:val="Normal"/>
              <w:jc w:val="center"/>
              <w:rPr/>
            </w:pPr>
            <w:r>
              <w:rPr/>
              <w:t>1,55</w:t>
            </w:r>
          </w:p>
        </w:tc>
        <w:tc>
          <w:tcPr>
            <w:tcW w:w="954" w:type="dxa"/>
            <w:tcBorders>
              <w:left w:val="single" w:sz="8" w:space="0" w:color="000000"/>
            </w:tcBorders>
            <w:shd w:fill="FFFFFF" w:val="clear"/>
            <w:tcMar>
              <w:left w:w="0" w:type="dxa"/>
              <w:right w:w="0" w:type="dxa"/>
            </w:tcMar>
          </w:tcPr>
          <w:p>
            <w:pPr>
              <w:pStyle w:val="Normal"/>
              <w:jc w:val="center"/>
              <w:rPr/>
            </w:pPr>
            <w:r>
              <w:rPr/>
              <w:t>1,65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1,80</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10,0</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0,90</w:t>
            </w:r>
          </w:p>
        </w:tc>
        <w:tc>
          <w:tcPr>
            <w:tcW w:w="954" w:type="dxa"/>
            <w:tcBorders>
              <w:left w:val="single" w:sz="8" w:space="0" w:color="000000"/>
            </w:tcBorders>
            <w:shd w:fill="FFFFFF" w:val="clear"/>
            <w:tcMar>
              <w:left w:w="0" w:type="dxa"/>
              <w:right w:w="0" w:type="dxa"/>
            </w:tcMar>
          </w:tcPr>
          <w:p>
            <w:pPr>
              <w:pStyle w:val="Normal"/>
              <w:jc w:val="center"/>
              <w:rPr/>
            </w:pPr>
            <w:r>
              <w:rPr/>
              <w:t>1,00</w:t>
            </w:r>
          </w:p>
        </w:tc>
        <w:tc>
          <w:tcPr>
            <w:tcW w:w="954" w:type="dxa"/>
            <w:tcBorders>
              <w:left w:val="single" w:sz="8" w:space="0" w:color="000000"/>
            </w:tcBorders>
            <w:shd w:fill="FFFFFF" w:val="clear"/>
            <w:tcMar>
              <w:left w:w="0" w:type="dxa"/>
              <w:right w:w="0" w:type="dxa"/>
            </w:tcMar>
          </w:tcPr>
          <w:p>
            <w:pPr>
              <w:pStyle w:val="Normal"/>
              <w:jc w:val="center"/>
              <w:rPr/>
            </w:pPr>
            <w:r>
              <w:rPr/>
              <w:t>1,05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1320" w:type="dxa"/>
            <w:tcBorders>
              <w:left w:val="single" w:sz="8" w:space="0" w:color="000000"/>
            </w:tcBorders>
            <w:shd w:fill="FFFFFF" w:val="clear"/>
          </w:tcPr>
          <w:p>
            <w:pPr>
              <w:pStyle w:val="Normal"/>
              <w:snapToGrid w:val="false"/>
              <w:rPr/>
            </w:pPr>
            <w:r>
              <w:rPr/>
            </w:r>
          </w:p>
        </w:tc>
        <w:tc>
          <w:tcPr>
            <w:tcW w:w="1347" w:type="dxa"/>
            <w:tcBorders>
              <w:left w:val="single" w:sz="8" w:space="0" w:color="000000"/>
            </w:tcBorders>
            <w:shd w:fill="FFFFFF" w:val="clear"/>
            <w:tcMar>
              <w:left w:w="0" w:type="dxa"/>
              <w:right w:w="0" w:type="dxa"/>
            </w:tcMar>
          </w:tcPr>
          <w:p>
            <w:pPr>
              <w:pStyle w:val="Normal"/>
              <w:jc w:val="center"/>
              <w:rPr/>
            </w:pPr>
            <w:r>
              <w:rPr/>
              <w:t>10,5</w:t>
            </w:r>
          </w:p>
        </w:tc>
        <w:tc>
          <w:tcPr>
            <w:tcW w:w="951" w:type="dxa"/>
            <w:tcBorders>
              <w:left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tcBorders>
            <w:shd w:fill="FFFFFF" w:val="clear"/>
            <w:tcMar>
              <w:left w:w="0" w:type="dxa"/>
              <w:right w:w="0" w:type="dxa"/>
            </w:tcMar>
          </w:tcPr>
          <w:p>
            <w:pPr>
              <w:pStyle w:val="Normal"/>
              <w:jc w:val="center"/>
              <w:rPr/>
            </w:pPr>
            <w:r>
              <w:rPr/>
              <w:t>0,25</w:t>
            </w:r>
          </w:p>
        </w:tc>
        <w:tc>
          <w:tcPr>
            <w:tcW w:w="954" w:type="dxa"/>
            <w:tcBorders>
              <w:left w:val="single" w:sz="8" w:space="0" w:color="000000"/>
            </w:tcBorders>
            <w:shd w:fill="FFFFFF" w:val="clear"/>
            <w:tcMar>
              <w:left w:w="0" w:type="dxa"/>
              <w:right w:w="0" w:type="dxa"/>
            </w:tcMar>
          </w:tcPr>
          <w:p>
            <w:pPr>
              <w:pStyle w:val="Normal"/>
              <w:jc w:val="center"/>
              <w:rPr/>
            </w:pPr>
            <w:r>
              <w:rPr/>
              <w:t>0,25</w:t>
            </w:r>
          </w:p>
        </w:tc>
        <w:tc>
          <w:tcPr>
            <w:tcW w:w="954" w:type="dxa"/>
            <w:tcBorders>
              <w:left w:val="single" w:sz="8" w:space="0" w:color="000000"/>
            </w:tcBorders>
            <w:shd w:fill="FFFFFF" w:val="clear"/>
            <w:tcMar>
              <w:left w:w="0" w:type="dxa"/>
              <w:right w:w="0" w:type="dxa"/>
            </w:tcMar>
          </w:tcPr>
          <w:p>
            <w:pPr>
              <w:pStyle w:val="Normal"/>
              <w:jc w:val="center"/>
              <w:rPr/>
            </w:pPr>
            <w:r>
              <w:rPr/>
              <w:t>0,25</w:t>
            </w:r>
          </w:p>
        </w:tc>
        <w:tc>
          <w:tcPr>
            <w:tcW w:w="96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0,30</w:t>
            </w:r>
          </w:p>
        </w:tc>
      </w:tr>
      <w:tr>
        <w:trPr/>
        <w:tc>
          <w:tcPr>
            <w:tcW w:w="1320"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9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120"/>
        <w:jc w:val="right"/>
        <w:rPr/>
      </w:pPr>
      <w:r>
        <w:rPr>
          <w:spacing w:val="40"/>
        </w:rPr>
        <w:t>Таблица</w:t>
      </w:r>
      <w:r>
        <w:rPr/>
        <w:t xml:space="preserve"> П8</w:t>
      </w:r>
    </w:p>
    <w:p>
      <w:pPr>
        <w:pStyle w:val="Normal"/>
        <w:spacing w:before="0" w:after="120"/>
        <w:jc w:val="center"/>
        <w:rPr>
          <w:b/>
          <w:b/>
          <w:bCs/>
        </w:rPr>
      </w:pPr>
      <w:r>
        <w:rPr>
          <w:b/>
          <w:bCs/>
        </w:rPr>
        <w:t>Наименьшее смешение проводов и тросов по горизонтали на промежуточных опорах ВЛ 35 - 750 кВ в районах с частой и интенсивной пляской проводов</w:t>
      </w:r>
    </w:p>
    <w:tbl>
      <w:tblPr>
        <w:tblW w:w="495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07"/>
        <w:gridCol w:w="1331"/>
        <w:gridCol w:w="942"/>
        <w:gridCol w:w="943"/>
        <w:gridCol w:w="944"/>
        <w:gridCol w:w="944"/>
        <w:gridCol w:w="944"/>
        <w:gridCol w:w="944"/>
        <w:gridCol w:w="962"/>
      </w:tblGrid>
      <w:tr>
        <w:trPr>
          <w:tblHeader w:val="true"/>
        </w:trPr>
        <w:tc>
          <w:tcPr>
            <w:tcW w:w="130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Напряжение ВЛ, кВ</w:t>
            </w:r>
          </w:p>
        </w:tc>
        <w:tc>
          <w:tcPr>
            <w:tcW w:w="133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по вертикали, м</w:t>
            </w:r>
          </w:p>
        </w:tc>
        <w:tc>
          <w:tcPr>
            <w:tcW w:w="6623"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по горизонтали, м, при стрелах провеса провода, м, при 0 °С</w:t>
            </w:r>
          </w:p>
        </w:tc>
      </w:tr>
      <w:tr>
        <w:trPr>
          <w:tblHeader w:val="true"/>
        </w:trPr>
        <w:tc>
          <w:tcPr>
            <w:tcW w:w="130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3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42"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6</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8</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10</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12</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14</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16</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20</w:t>
            </w:r>
          </w:p>
        </w:tc>
      </w:tr>
      <w:tr>
        <w:trPr/>
        <w:tc>
          <w:tcPr>
            <w:tcW w:w="1307" w:type="dxa"/>
            <w:tcBorders>
              <w:left w:val="single" w:sz="8" w:space="0" w:color="000000"/>
            </w:tcBorders>
            <w:shd w:fill="FFFFFF" w:val="clear"/>
          </w:tcPr>
          <w:p>
            <w:pPr>
              <w:pStyle w:val="Normal"/>
              <w:jc w:val="center"/>
              <w:rPr/>
            </w:pPr>
            <w:r>
              <w:rPr/>
              <w:t>35</w:t>
            </w:r>
          </w:p>
        </w:tc>
        <w:tc>
          <w:tcPr>
            <w:tcW w:w="1331" w:type="dxa"/>
            <w:tcBorders>
              <w:left w:val="single" w:sz="8" w:space="0" w:color="000000"/>
            </w:tcBorders>
            <w:shd w:fill="FFFFFF" w:val="clear"/>
            <w:tcMar>
              <w:left w:w="0" w:type="dxa"/>
              <w:right w:w="0" w:type="dxa"/>
            </w:tcMar>
          </w:tcPr>
          <w:p>
            <w:pPr>
              <w:pStyle w:val="Normal"/>
              <w:jc w:val="center"/>
              <w:rPr/>
            </w:pPr>
            <w:r>
              <w:rPr/>
              <w:t>2,5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1,75</w:t>
            </w:r>
          </w:p>
        </w:tc>
        <w:tc>
          <w:tcPr>
            <w:tcW w:w="944" w:type="dxa"/>
            <w:tcBorders>
              <w:left w:val="single" w:sz="8" w:space="0" w:color="000000"/>
            </w:tcBorders>
            <w:shd w:fill="FFFFFF" w:val="clear"/>
            <w:tcMar>
              <w:left w:w="0" w:type="dxa"/>
              <w:right w:w="0" w:type="dxa"/>
            </w:tcMar>
          </w:tcPr>
          <w:p>
            <w:pPr>
              <w:pStyle w:val="Normal"/>
              <w:jc w:val="center"/>
              <w:rPr/>
            </w:pPr>
            <w:r>
              <w:rPr/>
              <w:t>3,20</w:t>
            </w:r>
          </w:p>
        </w:tc>
        <w:tc>
          <w:tcPr>
            <w:tcW w:w="944" w:type="dxa"/>
            <w:tcBorders>
              <w:left w:val="single" w:sz="8" w:space="0" w:color="000000"/>
            </w:tcBorders>
            <w:shd w:fill="FFFFFF" w:val="clear"/>
            <w:tcMar>
              <w:left w:w="0" w:type="dxa"/>
              <w:right w:w="0" w:type="dxa"/>
            </w:tcMar>
          </w:tcPr>
          <w:p>
            <w:pPr>
              <w:pStyle w:val="Normal"/>
              <w:jc w:val="center"/>
              <w:rPr/>
            </w:pPr>
            <w:r>
              <w:rPr/>
              <w:t>4,50</w:t>
            </w:r>
          </w:p>
        </w:tc>
        <w:tc>
          <w:tcPr>
            <w:tcW w:w="944" w:type="dxa"/>
            <w:tcBorders>
              <w:left w:val="single" w:sz="8" w:space="0" w:color="000000"/>
            </w:tcBorders>
            <w:shd w:fill="FFFFFF" w:val="clear"/>
            <w:tcMar>
              <w:left w:w="0" w:type="dxa"/>
              <w:right w:w="0" w:type="dxa"/>
            </w:tcMar>
          </w:tcPr>
          <w:p>
            <w:pPr>
              <w:pStyle w:val="Normal"/>
              <w:jc w:val="center"/>
              <w:rPr/>
            </w:pPr>
            <w:r>
              <w:rPr/>
              <w:t>5,75</w:t>
            </w:r>
          </w:p>
        </w:tc>
        <w:tc>
          <w:tcPr>
            <w:tcW w:w="944" w:type="dxa"/>
            <w:tcBorders>
              <w:left w:val="single" w:sz="8" w:space="0" w:color="000000"/>
            </w:tcBorders>
            <w:shd w:fill="FFFFFF" w:val="clear"/>
            <w:tcMar>
              <w:left w:w="0" w:type="dxa"/>
              <w:right w:w="0" w:type="dxa"/>
            </w:tcMar>
          </w:tcPr>
          <w:p>
            <w:pPr>
              <w:pStyle w:val="Normal"/>
              <w:jc w:val="center"/>
              <w:rPr/>
            </w:pPr>
            <w:r>
              <w:rPr/>
              <w:t>6,95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9,35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3,0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0,70</w:t>
            </w:r>
          </w:p>
        </w:tc>
        <w:tc>
          <w:tcPr>
            <w:tcW w:w="944" w:type="dxa"/>
            <w:tcBorders>
              <w:left w:val="single" w:sz="8" w:space="0" w:color="000000"/>
            </w:tcBorders>
            <w:shd w:fill="FFFFFF" w:val="clear"/>
            <w:tcMar>
              <w:left w:w="0" w:type="dxa"/>
              <w:right w:w="0" w:type="dxa"/>
            </w:tcMar>
          </w:tcPr>
          <w:p>
            <w:pPr>
              <w:pStyle w:val="Normal"/>
              <w:jc w:val="center"/>
              <w:rPr/>
            </w:pPr>
            <w:r>
              <w:rPr/>
              <w:t>2,40</w:t>
            </w:r>
          </w:p>
        </w:tc>
        <w:tc>
          <w:tcPr>
            <w:tcW w:w="944" w:type="dxa"/>
            <w:tcBorders>
              <w:left w:val="single" w:sz="8" w:space="0" w:color="000000"/>
            </w:tcBorders>
            <w:shd w:fill="FFFFFF" w:val="clear"/>
            <w:tcMar>
              <w:left w:w="0" w:type="dxa"/>
              <w:right w:w="0" w:type="dxa"/>
            </w:tcMar>
          </w:tcPr>
          <w:p>
            <w:pPr>
              <w:pStyle w:val="Normal"/>
              <w:jc w:val="center"/>
              <w:rPr/>
            </w:pPr>
            <w:r>
              <w:rPr/>
              <w:t>3,80</w:t>
            </w:r>
          </w:p>
        </w:tc>
        <w:tc>
          <w:tcPr>
            <w:tcW w:w="944" w:type="dxa"/>
            <w:tcBorders>
              <w:left w:val="single" w:sz="8" w:space="0" w:color="000000"/>
            </w:tcBorders>
            <w:shd w:fill="FFFFFF" w:val="clear"/>
            <w:tcMar>
              <w:left w:w="0" w:type="dxa"/>
              <w:right w:w="0" w:type="dxa"/>
            </w:tcMar>
          </w:tcPr>
          <w:p>
            <w:pPr>
              <w:pStyle w:val="Normal"/>
              <w:jc w:val="center"/>
              <w:rPr/>
            </w:pPr>
            <w:r>
              <w:rPr/>
              <w:t>5,10</w:t>
            </w:r>
          </w:p>
        </w:tc>
        <w:tc>
          <w:tcPr>
            <w:tcW w:w="944" w:type="dxa"/>
            <w:tcBorders>
              <w:left w:val="single" w:sz="8" w:space="0" w:color="000000"/>
            </w:tcBorders>
            <w:shd w:fill="FFFFFF" w:val="clear"/>
            <w:tcMar>
              <w:left w:w="0" w:type="dxa"/>
              <w:right w:w="0" w:type="dxa"/>
            </w:tcMar>
          </w:tcPr>
          <w:p>
            <w:pPr>
              <w:pStyle w:val="Normal"/>
              <w:jc w:val="center"/>
              <w:rPr/>
            </w:pPr>
            <w:r>
              <w:rPr/>
              <w:t>6,40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8,85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3,5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1,40</w:t>
            </w:r>
          </w:p>
        </w:tc>
        <w:tc>
          <w:tcPr>
            <w:tcW w:w="944" w:type="dxa"/>
            <w:tcBorders>
              <w:left w:val="single" w:sz="8" w:space="0" w:color="000000"/>
            </w:tcBorders>
            <w:shd w:fill="FFFFFF" w:val="clear"/>
            <w:tcMar>
              <w:left w:w="0" w:type="dxa"/>
              <w:right w:w="0" w:type="dxa"/>
            </w:tcMar>
          </w:tcPr>
          <w:p>
            <w:pPr>
              <w:pStyle w:val="Normal"/>
              <w:jc w:val="center"/>
              <w:rPr/>
            </w:pPr>
            <w:r>
              <w:rPr/>
              <w:t>3,00</w:t>
            </w:r>
          </w:p>
        </w:tc>
        <w:tc>
          <w:tcPr>
            <w:tcW w:w="944" w:type="dxa"/>
            <w:tcBorders>
              <w:left w:val="single" w:sz="8" w:space="0" w:color="000000"/>
            </w:tcBorders>
            <w:shd w:fill="FFFFFF" w:val="clear"/>
            <w:tcMar>
              <w:left w:w="0" w:type="dxa"/>
              <w:right w:w="0" w:type="dxa"/>
            </w:tcMar>
          </w:tcPr>
          <w:p>
            <w:pPr>
              <w:pStyle w:val="Normal"/>
              <w:jc w:val="center"/>
              <w:rPr/>
            </w:pPr>
            <w:r>
              <w:rPr/>
              <w:t>4,45</w:t>
            </w:r>
          </w:p>
        </w:tc>
        <w:tc>
          <w:tcPr>
            <w:tcW w:w="944" w:type="dxa"/>
            <w:tcBorders>
              <w:left w:val="single" w:sz="8" w:space="0" w:color="000000"/>
            </w:tcBorders>
            <w:shd w:fill="FFFFFF" w:val="clear"/>
            <w:tcMar>
              <w:left w:w="0" w:type="dxa"/>
              <w:right w:w="0" w:type="dxa"/>
            </w:tcMar>
          </w:tcPr>
          <w:p>
            <w:pPr>
              <w:pStyle w:val="Normal"/>
              <w:jc w:val="center"/>
              <w:rPr/>
            </w:pPr>
            <w:r>
              <w:rPr/>
              <w:t>5,75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8,25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0,80</w:t>
            </w:r>
          </w:p>
        </w:tc>
        <w:tc>
          <w:tcPr>
            <w:tcW w:w="944" w:type="dxa"/>
            <w:tcBorders>
              <w:left w:val="single" w:sz="8" w:space="0" w:color="000000"/>
            </w:tcBorders>
            <w:shd w:fill="FFFFFF" w:val="clear"/>
            <w:tcMar>
              <w:left w:w="0" w:type="dxa"/>
              <w:right w:w="0" w:type="dxa"/>
            </w:tcMar>
          </w:tcPr>
          <w:p>
            <w:pPr>
              <w:pStyle w:val="Normal"/>
              <w:jc w:val="center"/>
              <w:rPr/>
            </w:pPr>
            <w:r>
              <w:rPr/>
              <w:t>2,10</w:t>
            </w:r>
          </w:p>
        </w:tc>
        <w:tc>
          <w:tcPr>
            <w:tcW w:w="944" w:type="dxa"/>
            <w:tcBorders>
              <w:left w:val="single" w:sz="8" w:space="0" w:color="000000"/>
            </w:tcBorders>
            <w:shd w:fill="FFFFFF" w:val="clear"/>
            <w:tcMar>
              <w:left w:w="0" w:type="dxa"/>
              <w:right w:w="0" w:type="dxa"/>
            </w:tcMar>
          </w:tcPr>
          <w:p>
            <w:pPr>
              <w:pStyle w:val="Normal"/>
              <w:jc w:val="center"/>
              <w:rPr/>
            </w:pPr>
            <w:r>
              <w:rPr/>
              <w:t>3,65</w:t>
            </w:r>
          </w:p>
        </w:tc>
        <w:tc>
          <w:tcPr>
            <w:tcW w:w="944" w:type="dxa"/>
            <w:tcBorders>
              <w:left w:val="single" w:sz="8" w:space="0" w:color="000000"/>
            </w:tcBorders>
            <w:shd w:fill="FFFFFF" w:val="clear"/>
            <w:tcMar>
              <w:left w:w="0" w:type="dxa"/>
              <w:right w:w="0" w:type="dxa"/>
            </w:tcMar>
          </w:tcPr>
          <w:p>
            <w:pPr>
              <w:pStyle w:val="Normal"/>
              <w:jc w:val="center"/>
              <w:rPr/>
            </w:pPr>
            <w:r>
              <w:rPr/>
              <w:t>5,05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7,65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0,95</w:t>
            </w:r>
          </w:p>
        </w:tc>
        <w:tc>
          <w:tcPr>
            <w:tcW w:w="944" w:type="dxa"/>
            <w:tcBorders>
              <w:left w:val="single" w:sz="8" w:space="0" w:color="000000"/>
            </w:tcBorders>
            <w:shd w:fill="FFFFFF" w:val="clear"/>
            <w:tcMar>
              <w:left w:w="0" w:type="dxa"/>
              <w:right w:w="0" w:type="dxa"/>
            </w:tcMar>
          </w:tcPr>
          <w:p>
            <w:pPr>
              <w:pStyle w:val="Normal"/>
              <w:jc w:val="center"/>
              <w:rPr/>
            </w:pPr>
            <w:r>
              <w:rPr/>
              <w:t>2,75</w:t>
            </w:r>
          </w:p>
        </w:tc>
        <w:tc>
          <w:tcPr>
            <w:tcW w:w="944" w:type="dxa"/>
            <w:tcBorders>
              <w:left w:val="single" w:sz="8" w:space="0" w:color="000000"/>
            </w:tcBorders>
            <w:shd w:fill="FFFFFF" w:val="clear"/>
            <w:tcMar>
              <w:left w:w="0" w:type="dxa"/>
              <w:right w:w="0" w:type="dxa"/>
            </w:tcMar>
          </w:tcPr>
          <w:p>
            <w:pPr>
              <w:pStyle w:val="Normal"/>
              <w:jc w:val="center"/>
              <w:rPr/>
            </w:pPr>
            <w:r>
              <w:rPr/>
              <w:t>4,30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7,00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1,70</w:t>
            </w:r>
          </w:p>
        </w:tc>
        <w:tc>
          <w:tcPr>
            <w:tcW w:w="944" w:type="dxa"/>
            <w:tcBorders>
              <w:left w:val="single" w:sz="8" w:space="0" w:color="000000"/>
            </w:tcBorders>
            <w:shd w:fill="FFFFFF" w:val="clear"/>
            <w:tcMar>
              <w:left w:w="0" w:type="dxa"/>
              <w:right w:w="0" w:type="dxa"/>
            </w:tcMar>
          </w:tcPr>
          <w:p>
            <w:pPr>
              <w:pStyle w:val="Normal"/>
              <w:jc w:val="center"/>
              <w:rPr/>
            </w:pPr>
            <w:r>
              <w:rPr/>
              <w:t>3,40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0,35</w:t>
            </w:r>
          </w:p>
        </w:tc>
        <w:tc>
          <w:tcPr>
            <w:tcW w:w="944" w:type="dxa"/>
            <w:tcBorders>
              <w:left w:val="single" w:sz="8" w:space="0" w:color="000000"/>
            </w:tcBorders>
            <w:shd w:fill="FFFFFF" w:val="clear"/>
            <w:tcMar>
              <w:left w:w="0" w:type="dxa"/>
              <w:right w:w="0" w:type="dxa"/>
            </w:tcMar>
          </w:tcPr>
          <w:p>
            <w:pPr>
              <w:pStyle w:val="Normal"/>
              <w:jc w:val="center"/>
              <w:rPr/>
            </w:pPr>
            <w:r>
              <w:rPr/>
              <w:t>2,40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1,20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4,70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3,75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2,70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1,45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110</w:t>
            </w:r>
          </w:p>
        </w:tc>
        <w:tc>
          <w:tcPr>
            <w:tcW w:w="1331" w:type="dxa"/>
            <w:tcBorders>
              <w:left w:val="single" w:sz="8" w:space="0" w:color="000000"/>
            </w:tcBorders>
            <w:shd w:fill="FFFFFF" w:val="clear"/>
            <w:tcMar>
              <w:left w:w="0" w:type="dxa"/>
              <w:right w:w="0" w:type="dxa"/>
            </w:tcMar>
          </w:tcPr>
          <w:p>
            <w:pPr>
              <w:pStyle w:val="Normal"/>
              <w:jc w:val="center"/>
              <w:rPr/>
            </w:pPr>
            <w:r>
              <w:rPr/>
              <w:t>3,0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1,00</w:t>
            </w:r>
          </w:p>
        </w:tc>
        <w:tc>
          <w:tcPr>
            <w:tcW w:w="944" w:type="dxa"/>
            <w:tcBorders>
              <w:left w:val="single" w:sz="8" w:space="0" w:color="000000"/>
            </w:tcBorders>
            <w:shd w:fill="FFFFFF" w:val="clear"/>
            <w:tcMar>
              <w:left w:w="0" w:type="dxa"/>
              <w:right w:w="0" w:type="dxa"/>
            </w:tcMar>
          </w:tcPr>
          <w:p>
            <w:pPr>
              <w:pStyle w:val="Normal"/>
              <w:jc w:val="center"/>
              <w:rPr/>
            </w:pPr>
            <w:r>
              <w:rPr/>
              <w:t>2,60</w:t>
            </w:r>
          </w:p>
        </w:tc>
        <w:tc>
          <w:tcPr>
            <w:tcW w:w="944" w:type="dxa"/>
            <w:tcBorders>
              <w:left w:val="single" w:sz="8" w:space="0" w:color="000000"/>
            </w:tcBorders>
            <w:shd w:fill="FFFFFF" w:val="clear"/>
            <w:tcMar>
              <w:left w:w="0" w:type="dxa"/>
              <w:right w:w="0" w:type="dxa"/>
            </w:tcMar>
          </w:tcPr>
          <w:p>
            <w:pPr>
              <w:pStyle w:val="Normal"/>
              <w:jc w:val="center"/>
              <w:rPr/>
            </w:pPr>
            <w:r>
              <w:rPr/>
              <w:t>3,95</w:t>
            </w:r>
          </w:p>
        </w:tc>
        <w:tc>
          <w:tcPr>
            <w:tcW w:w="944" w:type="dxa"/>
            <w:tcBorders>
              <w:left w:val="single" w:sz="8" w:space="0" w:color="000000"/>
            </w:tcBorders>
            <w:shd w:fill="FFFFFF" w:val="clear"/>
            <w:tcMar>
              <w:left w:w="0" w:type="dxa"/>
              <w:right w:w="0" w:type="dxa"/>
            </w:tcMar>
          </w:tcPr>
          <w:p>
            <w:pPr>
              <w:pStyle w:val="Normal"/>
              <w:jc w:val="center"/>
              <w:rPr/>
            </w:pPr>
            <w:r>
              <w:rPr/>
              <w:t>5,30</w:t>
            </w:r>
          </w:p>
        </w:tc>
        <w:tc>
          <w:tcPr>
            <w:tcW w:w="944" w:type="dxa"/>
            <w:tcBorders>
              <w:left w:val="single" w:sz="8" w:space="0" w:color="000000"/>
            </w:tcBorders>
            <w:shd w:fill="FFFFFF" w:val="clear"/>
            <w:tcMar>
              <w:left w:w="0" w:type="dxa"/>
              <w:right w:w="0" w:type="dxa"/>
            </w:tcMar>
          </w:tcPr>
          <w:p>
            <w:pPr>
              <w:pStyle w:val="Normal"/>
              <w:jc w:val="center"/>
              <w:rPr/>
            </w:pPr>
            <w:r>
              <w:rPr/>
              <w:t>6,55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8,95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3,5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1,70</w:t>
            </w:r>
          </w:p>
        </w:tc>
        <w:tc>
          <w:tcPr>
            <w:tcW w:w="944" w:type="dxa"/>
            <w:tcBorders>
              <w:left w:val="single" w:sz="8" w:space="0" w:color="000000"/>
            </w:tcBorders>
            <w:shd w:fill="FFFFFF" w:val="clear"/>
            <w:tcMar>
              <w:left w:w="0" w:type="dxa"/>
              <w:right w:w="0" w:type="dxa"/>
            </w:tcMar>
          </w:tcPr>
          <w:p>
            <w:pPr>
              <w:pStyle w:val="Normal"/>
              <w:jc w:val="center"/>
              <w:rPr/>
            </w:pPr>
            <w:r>
              <w:rPr/>
              <w:t>3,25</w:t>
            </w:r>
          </w:p>
        </w:tc>
        <w:tc>
          <w:tcPr>
            <w:tcW w:w="944" w:type="dxa"/>
            <w:tcBorders>
              <w:left w:val="single" w:sz="8" w:space="0" w:color="000000"/>
            </w:tcBorders>
            <w:shd w:fill="FFFFFF" w:val="clear"/>
            <w:tcMar>
              <w:left w:w="0" w:type="dxa"/>
              <w:right w:w="0" w:type="dxa"/>
            </w:tcMar>
          </w:tcPr>
          <w:p>
            <w:pPr>
              <w:pStyle w:val="Normal"/>
              <w:jc w:val="center"/>
              <w:rPr/>
            </w:pPr>
            <w:r>
              <w:rPr/>
              <w:t>4,60</w:t>
            </w:r>
          </w:p>
        </w:tc>
        <w:tc>
          <w:tcPr>
            <w:tcW w:w="944" w:type="dxa"/>
            <w:tcBorders>
              <w:left w:val="single" w:sz="8" w:space="0" w:color="000000"/>
            </w:tcBorders>
            <w:shd w:fill="FFFFFF" w:val="clear"/>
            <w:tcMar>
              <w:left w:w="0" w:type="dxa"/>
              <w:right w:w="0" w:type="dxa"/>
            </w:tcMar>
          </w:tcPr>
          <w:p>
            <w:pPr>
              <w:pStyle w:val="Normal"/>
              <w:jc w:val="center"/>
              <w:rPr/>
            </w:pPr>
            <w:r>
              <w:rPr/>
              <w:t>5,90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8,40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0,50</w:t>
            </w:r>
          </w:p>
        </w:tc>
        <w:tc>
          <w:tcPr>
            <w:tcW w:w="944" w:type="dxa"/>
            <w:tcBorders>
              <w:left w:val="single" w:sz="8" w:space="0" w:color="000000"/>
            </w:tcBorders>
            <w:shd w:fill="FFFFFF" w:val="clear"/>
            <w:tcMar>
              <w:left w:w="0" w:type="dxa"/>
              <w:right w:w="0" w:type="dxa"/>
            </w:tcMar>
          </w:tcPr>
          <w:p>
            <w:pPr>
              <w:pStyle w:val="Normal"/>
              <w:jc w:val="center"/>
              <w:rPr/>
            </w:pPr>
            <w:r>
              <w:rPr/>
              <w:t>2,35</w:t>
            </w:r>
          </w:p>
        </w:tc>
        <w:tc>
          <w:tcPr>
            <w:tcW w:w="944" w:type="dxa"/>
            <w:tcBorders>
              <w:left w:val="single" w:sz="8" w:space="0" w:color="000000"/>
            </w:tcBorders>
            <w:shd w:fill="FFFFFF" w:val="clear"/>
            <w:tcMar>
              <w:left w:w="0" w:type="dxa"/>
              <w:right w:w="0" w:type="dxa"/>
            </w:tcMar>
          </w:tcPr>
          <w:p>
            <w:pPr>
              <w:pStyle w:val="Normal"/>
              <w:jc w:val="center"/>
              <w:rPr/>
            </w:pPr>
            <w:r>
              <w:rPr/>
              <w:t>3,85</w:t>
            </w:r>
          </w:p>
        </w:tc>
        <w:tc>
          <w:tcPr>
            <w:tcW w:w="944" w:type="dxa"/>
            <w:tcBorders>
              <w:left w:val="single" w:sz="8" w:space="0" w:color="000000"/>
            </w:tcBorders>
            <w:shd w:fill="FFFFFF" w:val="clear"/>
            <w:tcMar>
              <w:left w:w="0" w:type="dxa"/>
              <w:right w:w="0" w:type="dxa"/>
            </w:tcMar>
          </w:tcPr>
          <w:p>
            <w:pPr>
              <w:pStyle w:val="Normal"/>
              <w:jc w:val="center"/>
              <w:rPr/>
            </w:pPr>
            <w:r>
              <w:rPr/>
              <w:t>5,25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7,80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1,30</w:t>
            </w:r>
          </w:p>
        </w:tc>
        <w:tc>
          <w:tcPr>
            <w:tcW w:w="944" w:type="dxa"/>
            <w:tcBorders>
              <w:left w:val="single" w:sz="8" w:space="0" w:color="000000"/>
            </w:tcBorders>
            <w:shd w:fill="FFFFFF" w:val="clear"/>
            <w:tcMar>
              <w:left w:w="0" w:type="dxa"/>
              <w:right w:w="0" w:type="dxa"/>
            </w:tcMar>
          </w:tcPr>
          <w:p>
            <w:pPr>
              <w:pStyle w:val="Normal"/>
              <w:jc w:val="center"/>
              <w:rPr/>
            </w:pPr>
            <w:r>
              <w:rPr/>
              <w:t>3,00</w:t>
            </w:r>
          </w:p>
        </w:tc>
        <w:tc>
          <w:tcPr>
            <w:tcW w:w="944" w:type="dxa"/>
            <w:tcBorders>
              <w:left w:val="single" w:sz="8" w:space="0" w:color="000000"/>
            </w:tcBorders>
            <w:shd w:fill="FFFFFF" w:val="clear"/>
            <w:tcMar>
              <w:left w:w="0" w:type="dxa"/>
              <w:right w:w="0" w:type="dxa"/>
            </w:tcMar>
          </w:tcPr>
          <w:p>
            <w:pPr>
              <w:pStyle w:val="Normal"/>
              <w:jc w:val="center"/>
              <w:rPr/>
            </w:pPr>
            <w:r>
              <w:rPr/>
              <w:t>4,50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7,15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2,00</w:t>
            </w:r>
          </w:p>
        </w:tc>
        <w:tc>
          <w:tcPr>
            <w:tcW w:w="944" w:type="dxa"/>
            <w:tcBorders>
              <w:left w:val="single" w:sz="8" w:space="0" w:color="000000"/>
            </w:tcBorders>
            <w:shd w:fill="FFFFFF" w:val="clear"/>
            <w:tcMar>
              <w:left w:w="0" w:type="dxa"/>
              <w:right w:w="0" w:type="dxa"/>
            </w:tcMar>
          </w:tcPr>
          <w:p>
            <w:pPr>
              <w:pStyle w:val="Normal"/>
              <w:jc w:val="center"/>
              <w:rPr/>
            </w:pPr>
            <w:r>
              <w:rPr/>
              <w:t>3,65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0,75</w:t>
            </w:r>
          </w:p>
        </w:tc>
        <w:tc>
          <w:tcPr>
            <w:tcW w:w="944" w:type="dxa"/>
            <w:tcBorders>
              <w:left w:val="single" w:sz="8" w:space="0" w:color="000000"/>
            </w:tcBorders>
            <w:shd w:fill="FFFFFF" w:val="clear"/>
            <w:tcMar>
              <w:left w:w="0" w:type="dxa"/>
              <w:right w:w="0" w:type="dxa"/>
            </w:tcMar>
          </w:tcPr>
          <w:p>
            <w:pPr>
              <w:pStyle w:val="Normal"/>
              <w:jc w:val="center"/>
              <w:rPr/>
            </w:pPr>
            <w:r>
              <w:rPr/>
              <w:t>2,70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5,75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1,55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4,90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0,10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4,00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1,80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0,35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150</w:t>
            </w:r>
          </w:p>
        </w:tc>
        <w:tc>
          <w:tcPr>
            <w:tcW w:w="1331" w:type="dxa"/>
            <w:tcBorders>
              <w:left w:val="single" w:sz="8" w:space="0" w:color="000000"/>
            </w:tcBorders>
            <w:shd w:fill="FFFFFF" w:val="clear"/>
            <w:tcMar>
              <w:left w:w="0" w:type="dxa"/>
              <w:right w:w="0" w:type="dxa"/>
            </w:tcMar>
          </w:tcPr>
          <w:p>
            <w:pPr>
              <w:pStyle w:val="Normal"/>
              <w:jc w:val="center"/>
              <w:rPr/>
            </w:pPr>
            <w:r>
              <w:rPr/>
              <w:t>3,5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1,85</w:t>
            </w:r>
          </w:p>
        </w:tc>
        <w:tc>
          <w:tcPr>
            <w:tcW w:w="944" w:type="dxa"/>
            <w:tcBorders>
              <w:left w:val="single" w:sz="8" w:space="0" w:color="000000"/>
            </w:tcBorders>
            <w:shd w:fill="FFFFFF" w:val="clear"/>
            <w:tcMar>
              <w:left w:w="0" w:type="dxa"/>
              <w:right w:w="0" w:type="dxa"/>
            </w:tcMar>
          </w:tcPr>
          <w:p>
            <w:pPr>
              <w:pStyle w:val="Normal"/>
              <w:jc w:val="center"/>
              <w:rPr/>
            </w:pPr>
            <w:r>
              <w:rPr/>
              <w:t>3,35</w:t>
            </w:r>
          </w:p>
        </w:tc>
        <w:tc>
          <w:tcPr>
            <w:tcW w:w="944" w:type="dxa"/>
            <w:tcBorders>
              <w:left w:val="single" w:sz="8" w:space="0" w:color="000000"/>
            </w:tcBorders>
            <w:shd w:fill="FFFFFF" w:val="clear"/>
            <w:tcMar>
              <w:left w:w="0" w:type="dxa"/>
              <w:right w:w="0" w:type="dxa"/>
            </w:tcMar>
          </w:tcPr>
          <w:p>
            <w:pPr>
              <w:pStyle w:val="Normal"/>
              <w:jc w:val="center"/>
              <w:rPr/>
            </w:pPr>
            <w:r>
              <w:rPr/>
              <w:t>4,70</w:t>
            </w:r>
          </w:p>
        </w:tc>
        <w:tc>
          <w:tcPr>
            <w:tcW w:w="944" w:type="dxa"/>
            <w:tcBorders>
              <w:left w:val="single" w:sz="8" w:space="0" w:color="000000"/>
            </w:tcBorders>
            <w:shd w:fill="FFFFFF" w:val="clear"/>
            <w:tcMar>
              <w:left w:w="0" w:type="dxa"/>
              <w:right w:w="0" w:type="dxa"/>
            </w:tcMar>
          </w:tcPr>
          <w:p>
            <w:pPr>
              <w:pStyle w:val="Normal"/>
              <w:jc w:val="center"/>
              <w:rPr/>
            </w:pPr>
            <w:r>
              <w:rPr/>
              <w:t>6,00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4,0</w:t>
            </w:r>
          </w:p>
        </w:tc>
        <w:tc>
          <w:tcPr>
            <w:tcW w:w="942" w:type="dxa"/>
            <w:tcBorders>
              <w:left w:val="single" w:sz="8" w:space="0" w:color="000000"/>
            </w:tcBorders>
            <w:shd w:fill="FFFFFF" w:val="clear"/>
            <w:tcMar>
              <w:left w:w="0" w:type="dxa"/>
              <w:right w:w="0" w:type="dxa"/>
            </w:tcMar>
          </w:tcPr>
          <w:p>
            <w:pPr>
              <w:pStyle w:val="Normal"/>
              <w:snapToGrid w:val="false"/>
              <w:rPr/>
            </w:pPr>
            <w:r>
              <w:rPr/>
            </w:r>
          </w:p>
        </w:tc>
        <w:tc>
          <w:tcPr>
            <w:tcW w:w="943" w:type="dxa"/>
            <w:tcBorders>
              <w:left w:val="single" w:sz="8" w:space="0" w:color="000000"/>
            </w:tcBorders>
            <w:shd w:fill="FFFFFF" w:val="clear"/>
            <w:tcMar>
              <w:left w:w="0" w:type="dxa"/>
              <w:right w:w="0" w:type="dxa"/>
            </w:tcMar>
          </w:tcPr>
          <w:p>
            <w:pPr>
              <w:pStyle w:val="Normal"/>
              <w:snapToGrid w:val="false"/>
              <w:rPr/>
            </w:pPr>
            <w:r>
              <w:rPr/>
            </w:r>
          </w:p>
        </w:tc>
        <w:tc>
          <w:tcPr>
            <w:tcW w:w="944" w:type="dxa"/>
            <w:tcBorders>
              <w:left w:val="single" w:sz="8" w:space="0" w:color="000000"/>
            </w:tcBorders>
            <w:shd w:fill="FFFFFF" w:val="clear"/>
            <w:tcMar>
              <w:left w:w="0" w:type="dxa"/>
              <w:right w:w="0" w:type="dxa"/>
            </w:tcMar>
          </w:tcPr>
          <w:p>
            <w:pPr>
              <w:pStyle w:val="Normal"/>
              <w:jc w:val="center"/>
              <w:rPr/>
            </w:pPr>
            <w:r>
              <w:rPr/>
              <w:t>0,75</w:t>
            </w:r>
          </w:p>
        </w:tc>
        <w:tc>
          <w:tcPr>
            <w:tcW w:w="944" w:type="dxa"/>
            <w:tcBorders>
              <w:left w:val="single" w:sz="8" w:space="0" w:color="000000"/>
            </w:tcBorders>
            <w:shd w:fill="FFFFFF" w:val="clear"/>
            <w:tcMar>
              <w:left w:w="0" w:type="dxa"/>
              <w:right w:w="0" w:type="dxa"/>
            </w:tcMar>
          </w:tcPr>
          <w:p>
            <w:pPr>
              <w:pStyle w:val="Normal"/>
              <w:jc w:val="center"/>
              <w:rPr/>
            </w:pPr>
            <w:r>
              <w:rPr/>
              <w:t>2,50</w:t>
            </w:r>
          </w:p>
        </w:tc>
        <w:tc>
          <w:tcPr>
            <w:tcW w:w="944" w:type="dxa"/>
            <w:tcBorders>
              <w:left w:val="single" w:sz="8" w:space="0" w:color="000000"/>
            </w:tcBorders>
            <w:shd w:fill="FFFFFF" w:val="clear"/>
            <w:tcMar>
              <w:left w:w="0" w:type="dxa"/>
              <w:right w:w="0" w:type="dxa"/>
            </w:tcMar>
          </w:tcPr>
          <w:p>
            <w:pPr>
              <w:pStyle w:val="Normal"/>
              <w:jc w:val="center"/>
              <w:rPr/>
            </w:pPr>
            <w:r>
              <w:rPr/>
              <w:t>4,00</w:t>
            </w:r>
          </w:p>
        </w:tc>
        <w:tc>
          <w:tcPr>
            <w:tcW w:w="944" w:type="dxa"/>
            <w:tcBorders>
              <w:left w:val="single" w:sz="8" w:space="0" w:color="000000"/>
            </w:tcBorders>
            <w:shd w:fill="FFFFFF" w:val="clear"/>
            <w:tcMar>
              <w:left w:w="0" w:type="dxa"/>
              <w:right w:w="0" w:type="dxa"/>
            </w:tcMar>
          </w:tcPr>
          <w:p>
            <w:pPr>
              <w:pStyle w:val="Normal"/>
              <w:jc w:val="center"/>
              <w:rPr/>
            </w:pPr>
            <w:r>
              <w:rPr/>
              <w:t>5,35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7,90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1,50</w:t>
            </w:r>
          </w:p>
        </w:tc>
        <w:tc>
          <w:tcPr>
            <w:tcW w:w="944" w:type="dxa"/>
            <w:tcBorders>
              <w:left w:val="single" w:sz="8" w:space="0" w:color="000000"/>
            </w:tcBorders>
            <w:shd w:fill="FFFFFF" w:val="clear"/>
            <w:tcMar>
              <w:left w:w="0" w:type="dxa"/>
              <w:right w:w="0" w:type="dxa"/>
            </w:tcMar>
          </w:tcPr>
          <w:p>
            <w:pPr>
              <w:pStyle w:val="Normal"/>
              <w:jc w:val="center"/>
              <w:rPr/>
            </w:pPr>
            <w:r>
              <w:rPr/>
              <w:t>3,15</w:t>
            </w:r>
          </w:p>
        </w:tc>
        <w:tc>
          <w:tcPr>
            <w:tcW w:w="944" w:type="dxa"/>
            <w:tcBorders>
              <w:left w:val="single" w:sz="8" w:space="0" w:color="000000"/>
            </w:tcBorders>
            <w:shd w:fill="FFFFFF" w:val="clear"/>
            <w:tcMar>
              <w:left w:w="0" w:type="dxa"/>
              <w:right w:w="0" w:type="dxa"/>
            </w:tcMar>
          </w:tcPr>
          <w:p>
            <w:pPr>
              <w:pStyle w:val="Normal"/>
              <w:jc w:val="center"/>
              <w:rPr/>
            </w:pPr>
            <w:r>
              <w:rPr/>
              <w:t>4,60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7,30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0,15</w:t>
            </w:r>
          </w:p>
        </w:tc>
        <w:tc>
          <w:tcPr>
            <w:tcW w:w="944" w:type="dxa"/>
            <w:tcBorders>
              <w:left w:val="single" w:sz="8" w:space="0" w:color="000000"/>
            </w:tcBorders>
            <w:shd w:fill="FFFFFF" w:val="clear"/>
            <w:tcMar>
              <w:left w:w="0" w:type="dxa"/>
              <w:right w:w="0" w:type="dxa"/>
            </w:tcMar>
          </w:tcPr>
          <w:p>
            <w:pPr>
              <w:pStyle w:val="Normal"/>
              <w:jc w:val="center"/>
              <w:rPr/>
            </w:pPr>
            <w:r>
              <w:rPr/>
              <w:t>2,20</w:t>
            </w:r>
          </w:p>
        </w:tc>
        <w:tc>
          <w:tcPr>
            <w:tcW w:w="944" w:type="dxa"/>
            <w:tcBorders>
              <w:left w:val="single" w:sz="8" w:space="0" w:color="000000"/>
            </w:tcBorders>
            <w:shd w:fill="FFFFFF" w:val="clear"/>
            <w:tcMar>
              <w:left w:w="0" w:type="dxa"/>
              <w:right w:w="0" w:type="dxa"/>
            </w:tcMar>
          </w:tcPr>
          <w:p>
            <w:pPr>
              <w:pStyle w:val="Normal"/>
              <w:jc w:val="center"/>
              <w:rPr/>
            </w:pPr>
            <w:r>
              <w:rPr/>
              <w:t>3,80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6,60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1,00</w:t>
            </w:r>
          </w:p>
        </w:tc>
        <w:tc>
          <w:tcPr>
            <w:tcW w:w="944" w:type="dxa"/>
            <w:tcBorders>
              <w:left w:val="single" w:sz="8" w:space="0" w:color="000000"/>
            </w:tcBorders>
            <w:shd w:fill="FFFFFF" w:val="clear"/>
            <w:tcMar>
              <w:left w:w="0" w:type="dxa"/>
              <w:right w:w="0" w:type="dxa"/>
            </w:tcMar>
          </w:tcPr>
          <w:p>
            <w:pPr>
              <w:pStyle w:val="Normal"/>
              <w:jc w:val="center"/>
              <w:rPr/>
            </w:pPr>
            <w:r>
              <w:rPr/>
              <w:t>2,85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5,85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1,75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0,40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4,15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3,15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0,65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220</w:t>
            </w:r>
          </w:p>
        </w:tc>
        <w:tc>
          <w:tcPr>
            <w:tcW w:w="1331" w:type="dxa"/>
            <w:tcBorders>
              <w:left w:val="single" w:sz="8" w:space="0" w:color="000000"/>
            </w:tcBorders>
            <w:shd w:fill="FFFFFF" w:val="clear"/>
            <w:tcMar>
              <w:left w:w="0" w:type="dxa"/>
              <w:right w:w="0" w:type="dxa"/>
            </w:tcMar>
          </w:tcPr>
          <w:p>
            <w:pPr>
              <w:pStyle w:val="Normal"/>
              <w:jc w:val="center"/>
              <w:rPr/>
            </w:pPr>
            <w:r>
              <w:rPr/>
              <w:t>4,0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1,15</w:t>
            </w:r>
          </w:p>
        </w:tc>
        <w:tc>
          <w:tcPr>
            <w:tcW w:w="944" w:type="dxa"/>
            <w:tcBorders>
              <w:left w:val="single" w:sz="8" w:space="0" w:color="000000"/>
            </w:tcBorders>
            <w:shd w:fill="FFFFFF" w:val="clear"/>
            <w:tcMar>
              <w:left w:w="0" w:type="dxa"/>
              <w:right w:w="0" w:type="dxa"/>
            </w:tcMar>
          </w:tcPr>
          <w:p>
            <w:pPr>
              <w:pStyle w:val="Normal"/>
              <w:jc w:val="center"/>
              <w:rPr/>
            </w:pPr>
            <w:r>
              <w:rPr/>
              <w:t>2,80</w:t>
            </w:r>
          </w:p>
        </w:tc>
        <w:tc>
          <w:tcPr>
            <w:tcW w:w="944" w:type="dxa"/>
            <w:tcBorders>
              <w:left w:val="single" w:sz="8" w:space="0" w:color="000000"/>
            </w:tcBorders>
            <w:shd w:fill="FFFFFF" w:val="clear"/>
            <w:tcMar>
              <w:left w:w="0" w:type="dxa"/>
              <w:right w:w="0" w:type="dxa"/>
            </w:tcMar>
          </w:tcPr>
          <w:p>
            <w:pPr>
              <w:pStyle w:val="Normal"/>
              <w:jc w:val="center"/>
              <w:rPr/>
            </w:pPr>
            <w:r>
              <w:rPr/>
              <w:t>4,25</w:t>
            </w:r>
          </w:p>
        </w:tc>
        <w:tc>
          <w:tcPr>
            <w:tcW w:w="944" w:type="dxa"/>
            <w:tcBorders>
              <w:left w:val="single" w:sz="8" w:space="0" w:color="000000"/>
            </w:tcBorders>
            <w:shd w:fill="FFFFFF" w:val="clear"/>
            <w:tcMar>
              <w:left w:w="0" w:type="dxa"/>
              <w:right w:w="0" w:type="dxa"/>
            </w:tcMar>
          </w:tcPr>
          <w:p>
            <w:pPr>
              <w:pStyle w:val="Normal"/>
              <w:jc w:val="center"/>
              <w:rPr/>
            </w:pPr>
            <w:r>
              <w:rPr/>
              <w:t>5,55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8,10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4,5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1,85</w:t>
            </w:r>
          </w:p>
        </w:tc>
        <w:tc>
          <w:tcPr>
            <w:tcW w:w="944" w:type="dxa"/>
            <w:tcBorders>
              <w:left w:val="single" w:sz="8" w:space="0" w:color="000000"/>
            </w:tcBorders>
            <w:shd w:fill="FFFFFF" w:val="clear"/>
            <w:tcMar>
              <w:left w:w="0" w:type="dxa"/>
              <w:right w:w="0" w:type="dxa"/>
            </w:tcMar>
          </w:tcPr>
          <w:p>
            <w:pPr>
              <w:pStyle w:val="Normal"/>
              <w:jc w:val="center"/>
              <w:rPr/>
            </w:pPr>
            <w:r>
              <w:rPr/>
              <w:t>3,45</w:t>
            </w:r>
          </w:p>
        </w:tc>
        <w:tc>
          <w:tcPr>
            <w:tcW w:w="944" w:type="dxa"/>
            <w:tcBorders>
              <w:left w:val="single" w:sz="8" w:space="0" w:color="000000"/>
            </w:tcBorders>
            <w:shd w:fill="FFFFFF" w:val="clear"/>
            <w:tcMar>
              <w:left w:w="0" w:type="dxa"/>
              <w:right w:w="0" w:type="dxa"/>
            </w:tcMar>
          </w:tcPr>
          <w:p>
            <w:pPr>
              <w:pStyle w:val="Normal"/>
              <w:jc w:val="center"/>
              <w:rPr/>
            </w:pPr>
            <w:r>
              <w:rPr/>
              <w:t>4,85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0,65</w:t>
            </w:r>
          </w:p>
        </w:tc>
        <w:tc>
          <w:tcPr>
            <w:tcW w:w="944" w:type="dxa"/>
            <w:tcBorders>
              <w:left w:val="single" w:sz="8" w:space="0" w:color="000000"/>
            </w:tcBorders>
            <w:shd w:fill="FFFFFF" w:val="clear"/>
            <w:tcMar>
              <w:left w:w="0" w:type="dxa"/>
              <w:right w:w="0" w:type="dxa"/>
            </w:tcMar>
          </w:tcPr>
          <w:p>
            <w:pPr>
              <w:pStyle w:val="Normal"/>
              <w:jc w:val="center"/>
              <w:rPr/>
            </w:pPr>
            <w:r>
              <w:rPr/>
              <w:t>2,55</w:t>
            </w:r>
          </w:p>
        </w:tc>
        <w:tc>
          <w:tcPr>
            <w:tcW w:w="944" w:type="dxa"/>
            <w:tcBorders>
              <w:left w:val="single" w:sz="8" w:space="0" w:color="000000"/>
            </w:tcBorders>
            <w:shd w:fill="FFFFFF" w:val="clear"/>
            <w:tcMar>
              <w:left w:w="0" w:type="dxa"/>
              <w:right w:w="0" w:type="dxa"/>
            </w:tcMar>
          </w:tcPr>
          <w:p>
            <w:pPr>
              <w:pStyle w:val="Normal"/>
              <w:jc w:val="center"/>
              <w:rPr/>
            </w:pPr>
            <w:r>
              <w:rPr/>
              <w:t>4,05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6,80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1,45</w:t>
            </w:r>
          </w:p>
        </w:tc>
        <w:tc>
          <w:tcPr>
            <w:tcW w:w="944" w:type="dxa"/>
            <w:tcBorders>
              <w:left w:val="single" w:sz="8" w:space="0" w:color="000000"/>
            </w:tcBorders>
            <w:shd w:fill="FFFFFF" w:val="clear"/>
            <w:tcMar>
              <w:left w:w="0" w:type="dxa"/>
              <w:right w:w="0" w:type="dxa"/>
            </w:tcMar>
          </w:tcPr>
          <w:p>
            <w:pPr>
              <w:pStyle w:val="Normal"/>
              <w:jc w:val="center"/>
              <w:rPr/>
            </w:pPr>
            <w:r>
              <w:rPr/>
              <w:t>3,20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6,10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0,50</w:t>
            </w:r>
          </w:p>
        </w:tc>
        <w:tc>
          <w:tcPr>
            <w:tcW w:w="944" w:type="dxa"/>
            <w:tcBorders>
              <w:left w:val="single" w:sz="8" w:space="0" w:color="000000"/>
            </w:tcBorders>
            <w:shd w:fill="FFFFFF" w:val="clear"/>
            <w:tcMar>
              <w:left w:w="0" w:type="dxa"/>
              <w:right w:w="0" w:type="dxa"/>
            </w:tcMar>
          </w:tcPr>
          <w:p>
            <w:pPr>
              <w:pStyle w:val="Normal"/>
              <w:jc w:val="center"/>
              <w:rPr/>
            </w:pPr>
            <w:r>
              <w:rPr/>
              <w:t>2,15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5,35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4,45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2,45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1,15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330</w:t>
            </w:r>
          </w:p>
        </w:tc>
        <w:tc>
          <w:tcPr>
            <w:tcW w:w="1331" w:type="dxa"/>
            <w:tcBorders>
              <w:left w:val="single" w:sz="8" w:space="0" w:color="000000"/>
            </w:tcBorders>
            <w:shd w:fill="FFFFFF" w:val="clear"/>
            <w:tcMar>
              <w:left w:w="0" w:type="dxa"/>
              <w:right w:w="0" w:type="dxa"/>
            </w:tcMar>
          </w:tcPr>
          <w:p>
            <w:pPr>
              <w:pStyle w:val="Normal"/>
              <w:jc w:val="center"/>
              <w:rPr/>
            </w:pPr>
            <w:r>
              <w:rPr/>
              <w:t>5,0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1,15</w:t>
            </w:r>
          </w:p>
        </w:tc>
        <w:tc>
          <w:tcPr>
            <w:tcW w:w="944" w:type="dxa"/>
            <w:tcBorders>
              <w:left w:val="single" w:sz="8" w:space="0" w:color="000000"/>
            </w:tcBorders>
            <w:shd w:fill="FFFFFF" w:val="clear"/>
            <w:tcMar>
              <w:left w:w="0" w:type="dxa"/>
              <w:right w:w="0" w:type="dxa"/>
            </w:tcMar>
          </w:tcPr>
          <w:p>
            <w:pPr>
              <w:pStyle w:val="Normal"/>
              <w:jc w:val="center"/>
              <w:rPr/>
            </w:pPr>
            <w:r>
              <w:rPr/>
              <w:t>3,55</w:t>
            </w:r>
          </w:p>
        </w:tc>
        <w:tc>
          <w:tcPr>
            <w:tcW w:w="944" w:type="dxa"/>
            <w:tcBorders>
              <w:left w:val="single" w:sz="8" w:space="0" w:color="000000"/>
            </w:tcBorders>
            <w:shd w:fill="FFFFFF" w:val="clear"/>
            <w:tcMar>
              <w:left w:w="0" w:type="dxa"/>
              <w:right w:w="0" w:type="dxa"/>
            </w:tcMar>
          </w:tcPr>
          <w:p>
            <w:pPr>
              <w:pStyle w:val="Normal"/>
              <w:jc w:val="center"/>
              <w:rPr/>
            </w:pPr>
            <w:r>
              <w:rPr/>
              <w:t>5,45</w:t>
            </w:r>
          </w:p>
        </w:tc>
        <w:tc>
          <w:tcPr>
            <w:tcW w:w="944" w:type="dxa"/>
            <w:tcBorders>
              <w:left w:val="single" w:sz="8" w:space="0" w:color="000000"/>
            </w:tcBorders>
            <w:shd w:fill="FFFFFF" w:val="clear"/>
            <w:tcMar>
              <w:left w:w="0" w:type="dxa"/>
              <w:right w:w="0" w:type="dxa"/>
            </w:tcMar>
          </w:tcPr>
          <w:p>
            <w:pPr>
              <w:pStyle w:val="Normal"/>
              <w:jc w:val="center"/>
              <w:rPr/>
            </w:pPr>
            <w:r>
              <w:rPr/>
              <w:t>7,25</w:t>
            </w:r>
          </w:p>
        </w:tc>
        <w:tc>
          <w:tcPr>
            <w:tcW w:w="944" w:type="dxa"/>
            <w:tcBorders>
              <w:left w:val="single" w:sz="8" w:space="0" w:color="000000"/>
            </w:tcBorders>
            <w:shd w:fill="FFFFFF" w:val="clear"/>
            <w:tcMar>
              <w:left w:w="0" w:type="dxa"/>
              <w:right w:w="0" w:type="dxa"/>
            </w:tcMar>
          </w:tcPr>
          <w:p>
            <w:pPr>
              <w:pStyle w:val="Normal"/>
              <w:jc w:val="center"/>
              <w:rPr/>
            </w:pPr>
            <w:r>
              <w:rPr/>
              <w:t>8,95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9,85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5,5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2,65</w:t>
            </w:r>
          </w:p>
        </w:tc>
        <w:tc>
          <w:tcPr>
            <w:tcW w:w="944" w:type="dxa"/>
            <w:tcBorders>
              <w:left w:val="single" w:sz="8" w:space="0" w:color="000000"/>
            </w:tcBorders>
            <w:shd w:fill="FFFFFF" w:val="clear"/>
            <w:tcMar>
              <w:left w:w="0" w:type="dxa"/>
              <w:right w:w="0" w:type="dxa"/>
            </w:tcMar>
          </w:tcPr>
          <w:p>
            <w:pPr>
              <w:pStyle w:val="Normal"/>
              <w:jc w:val="center"/>
              <w:rPr/>
            </w:pPr>
            <w:r>
              <w:rPr/>
              <w:t>4,80</w:t>
            </w:r>
          </w:p>
        </w:tc>
        <w:tc>
          <w:tcPr>
            <w:tcW w:w="944" w:type="dxa"/>
            <w:tcBorders>
              <w:left w:val="single" w:sz="8" w:space="0" w:color="000000"/>
            </w:tcBorders>
            <w:shd w:fill="FFFFFF" w:val="clear"/>
            <w:tcMar>
              <w:left w:w="0" w:type="dxa"/>
              <w:right w:w="0" w:type="dxa"/>
            </w:tcMar>
          </w:tcPr>
          <w:p>
            <w:pPr>
              <w:pStyle w:val="Normal"/>
              <w:jc w:val="center"/>
              <w:rPr/>
            </w:pPr>
            <w:r>
              <w:rPr/>
              <w:t>6,65</w:t>
            </w:r>
          </w:p>
        </w:tc>
        <w:tc>
          <w:tcPr>
            <w:tcW w:w="944" w:type="dxa"/>
            <w:tcBorders>
              <w:left w:val="single" w:sz="8" w:space="0" w:color="000000"/>
            </w:tcBorders>
            <w:shd w:fill="FFFFFF" w:val="clear"/>
            <w:tcMar>
              <w:left w:w="0" w:type="dxa"/>
              <w:right w:w="0" w:type="dxa"/>
            </w:tcMar>
          </w:tcPr>
          <w:p>
            <w:pPr>
              <w:pStyle w:val="Normal"/>
              <w:jc w:val="center"/>
              <w:rPr/>
            </w:pPr>
            <w:r>
              <w:rPr/>
              <w:t>8,40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9,25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1,60</w:t>
            </w:r>
          </w:p>
        </w:tc>
        <w:tc>
          <w:tcPr>
            <w:tcW w:w="944" w:type="dxa"/>
            <w:tcBorders>
              <w:left w:val="single" w:sz="8" w:space="0" w:color="000000"/>
            </w:tcBorders>
            <w:shd w:fill="FFFFFF" w:val="clear"/>
            <w:tcMar>
              <w:left w:w="0" w:type="dxa"/>
              <w:right w:w="0" w:type="dxa"/>
            </w:tcMar>
          </w:tcPr>
          <w:p>
            <w:pPr>
              <w:pStyle w:val="Normal"/>
              <w:jc w:val="center"/>
              <w:rPr/>
            </w:pPr>
            <w:r>
              <w:rPr/>
              <w:t>4,00</w:t>
            </w:r>
          </w:p>
        </w:tc>
        <w:tc>
          <w:tcPr>
            <w:tcW w:w="944" w:type="dxa"/>
            <w:tcBorders>
              <w:left w:val="single" w:sz="8" w:space="0" w:color="000000"/>
            </w:tcBorders>
            <w:shd w:fill="FFFFFF" w:val="clear"/>
            <w:tcMar>
              <w:left w:w="0" w:type="dxa"/>
              <w:right w:w="0" w:type="dxa"/>
            </w:tcMar>
          </w:tcPr>
          <w:p>
            <w:pPr>
              <w:pStyle w:val="Normal"/>
              <w:jc w:val="center"/>
              <w:rPr/>
            </w:pPr>
            <w:r>
              <w:rPr/>
              <w:t>6,00</w:t>
            </w:r>
          </w:p>
        </w:tc>
        <w:tc>
          <w:tcPr>
            <w:tcW w:w="944" w:type="dxa"/>
            <w:tcBorders>
              <w:left w:val="single" w:sz="8" w:space="0" w:color="000000"/>
            </w:tcBorders>
            <w:shd w:fill="FFFFFF" w:val="clear"/>
            <w:tcMar>
              <w:left w:w="0" w:type="dxa"/>
              <w:right w:w="0" w:type="dxa"/>
            </w:tcMar>
          </w:tcPr>
          <w:p>
            <w:pPr>
              <w:pStyle w:val="Normal"/>
              <w:jc w:val="center"/>
              <w:rPr/>
            </w:pPr>
            <w:r>
              <w:rPr/>
              <w:t>7,80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8,55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0,10</w:t>
            </w:r>
          </w:p>
        </w:tc>
        <w:tc>
          <w:tcPr>
            <w:tcW w:w="944" w:type="dxa"/>
            <w:tcBorders>
              <w:left w:val="single" w:sz="8" w:space="0" w:color="000000"/>
            </w:tcBorders>
            <w:shd w:fill="FFFFFF" w:val="clear"/>
            <w:tcMar>
              <w:left w:w="0" w:type="dxa"/>
              <w:right w:w="0" w:type="dxa"/>
            </w:tcMar>
          </w:tcPr>
          <w:p>
            <w:pPr>
              <w:pStyle w:val="Normal"/>
              <w:jc w:val="center"/>
              <w:rPr/>
            </w:pPr>
            <w:r>
              <w:rPr/>
              <w:t>3,10</w:t>
            </w:r>
          </w:p>
        </w:tc>
        <w:tc>
          <w:tcPr>
            <w:tcW w:w="944" w:type="dxa"/>
            <w:tcBorders>
              <w:left w:val="single" w:sz="8" w:space="0" w:color="000000"/>
            </w:tcBorders>
            <w:shd w:fill="FFFFFF" w:val="clear"/>
            <w:tcMar>
              <w:left w:w="0" w:type="dxa"/>
              <w:right w:w="0" w:type="dxa"/>
            </w:tcMar>
          </w:tcPr>
          <w:p>
            <w:pPr>
              <w:pStyle w:val="Normal"/>
              <w:jc w:val="center"/>
              <w:rPr/>
            </w:pPr>
            <w:r>
              <w:rPr/>
              <w:t>5,30</w:t>
            </w:r>
          </w:p>
        </w:tc>
        <w:tc>
          <w:tcPr>
            <w:tcW w:w="944" w:type="dxa"/>
            <w:tcBorders>
              <w:left w:val="single" w:sz="8" w:space="0" w:color="000000"/>
            </w:tcBorders>
            <w:shd w:fill="FFFFFF" w:val="clear"/>
            <w:tcMar>
              <w:left w:w="0" w:type="dxa"/>
              <w:right w:w="0" w:type="dxa"/>
            </w:tcMar>
          </w:tcPr>
          <w:p>
            <w:pPr>
              <w:pStyle w:val="Normal"/>
              <w:jc w:val="center"/>
              <w:rPr/>
            </w:pPr>
            <w:r>
              <w:rPr/>
              <w:t>7,20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7,90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2,05</w:t>
            </w:r>
          </w:p>
        </w:tc>
        <w:tc>
          <w:tcPr>
            <w:tcW w:w="944" w:type="dxa"/>
            <w:tcBorders>
              <w:left w:val="single" w:sz="8" w:space="0" w:color="000000"/>
            </w:tcBorders>
            <w:shd w:fill="FFFFFF" w:val="clear"/>
            <w:tcMar>
              <w:left w:w="0" w:type="dxa"/>
              <w:right w:w="0" w:type="dxa"/>
            </w:tcMar>
          </w:tcPr>
          <w:p>
            <w:pPr>
              <w:pStyle w:val="Normal"/>
              <w:jc w:val="center"/>
              <w:rPr/>
            </w:pPr>
            <w:r>
              <w:rPr/>
              <w:t>4,50</w:t>
            </w:r>
          </w:p>
        </w:tc>
        <w:tc>
          <w:tcPr>
            <w:tcW w:w="944" w:type="dxa"/>
            <w:tcBorders>
              <w:left w:val="single" w:sz="8" w:space="0" w:color="000000"/>
            </w:tcBorders>
            <w:shd w:fill="FFFFFF" w:val="clear"/>
            <w:tcMar>
              <w:left w:w="0" w:type="dxa"/>
              <w:right w:w="0" w:type="dxa"/>
            </w:tcMar>
          </w:tcPr>
          <w:p>
            <w:pPr>
              <w:pStyle w:val="Normal"/>
              <w:jc w:val="center"/>
              <w:rPr/>
            </w:pPr>
            <w:r>
              <w:rPr/>
              <w:t>6,50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7,10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0,65</w:t>
            </w:r>
          </w:p>
        </w:tc>
        <w:tc>
          <w:tcPr>
            <w:tcW w:w="944" w:type="dxa"/>
            <w:tcBorders>
              <w:left w:val="single" w:sz="8" w:space="0" w:color="000000"/>
            </w:tcBorders>
            <w:shd w:fill="FFFFFF" w:val="clear"/>
            <w:tcMar>
              <w:left w:w="0" w:type="dxa"/>
              <w:right w:w="0" w:type="dxa"/>
            </w:tcMar>
          </w:tcPr>
          <w:p>
            <w:pPr>
              <w:pStyle w:val="Normal"/>
              <w:jc w:val="center"/>
              <w:rPr/>
            </w:pPr>
            <w:r>
              <w:rPr/>
              <w:t>3,55</w:t>
            </w:r>
          </w:p>
        </w:tc>
        <w:tc>
          <w:tcPr>
            <w:tcW w:w="944" w:type="dxa"/>
            <w:tcBorders>
              <w:left w:val="single" w:sz="8" w:space="0" w:color="000000"/>
            </w:tcBorders>
            <w:shd w:fill="FFFFFF" w:val="clear"/>
            <w:tcMar>
              <w:left w:w="0" w:type="dxa"/>
              <w:right w:w="0" w:type="dxa"/>
            </w:tcMar>
          </w:tcPr>
          <w:p>
            <w:pPr>
              <w:pStyle w:val="Normal"/>
              <w:jc w:val="center"/>
              <w:rPr/>
            </w:pPr>
            <w:r>
              <w:rPr/>
              <w:t>5,75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6,30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2,50</w:t>
            </w:r>
          </w:p>
        </w:tc>
        <w:tc>
          <w:tcPr>
            <w:tcW w:w="944" w:type="dxa"/>
            <w:tcBorders>
              <w:left w:val="single" w:sz="8" w:space="0" w:color="000000"/>
            </w:tcBorders>
            <w:shd w:fill="FFFFFF" w:val="clear"/>
            <w:tcMar>
              <w:left w:w="0" w:type="dxa"/>
              <w:right w:w="0" w:type="dxa"/>
            </w:tcMar>
          </w:tcPr>
          <w:p>
            <w:pPr>
              <w:pStyle w:val="Normal"/>
              <w:jc w:val="center"/>
              <w:rPr/>
            </w:pPr>
            <w:r>
              <w:rPr/>
              <w:t>4,95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5,40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1,20</w:t>
            </w:r>
          </w:p>
        </w:tc>
        <w:tc>
          <w:tcPr>
            <w:tcW w:w="944" w:type="dxa"/>
            <w:tcBorders>
              <w:left w:val="single" w:sz="8" w:space="0" w:color="000000"/>
            </w:tcBorders>
            <w:shd w:fill="FFFFFF" w:val="clear"/>
            <w:tcMar>
              <w:left w:w="0" w:type="dxa"/>
              <w:right w:w="0" w:type="dxa"/>
            </w:tcMar>
          </w:tcPr>
          <w:p>
            <w:pPr>
              <w:pStyle w:val="Normal"/>
              <w:jc w:val="center"/>
              <w:rPr/>
            </w:pPr>
            <w:r>
              <w:rPr/>
              <w:t>4,05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4,35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3,20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1,70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1,85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500</w:t>
            </w:r>
          </w:p>
        </w:tc>
        <w:tc>
          <w:tcPr>
            <w:tcW w:w="1331" w:type="dxa"/>
            <w:tcBorders>
              <w:left w:val="single" w:sz="8" w:space="0" w:color="000000"/>
            </w:tcBorders>
            <w:shd w:fill="FFFFFF" w:val="clear"/>
            <w:tcMar>
              <w:left w:w="0" w:type="dxa"/>
              <w:right w:w="0" w:type="dxa"/>
            </w:tcMar>
          </w:tcPr>
          <w:p>
            <w:pPr>
              <w:pStyle w:val="Normal"/>
              <w:jc w:val="center"/>
              <w:rPr/>
            </w:pPr>
            <w:r>
              <w:rPr/>
              <w:t>6,0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2,75</w:t>
            </w:r>
          </w:p>
        </w:tc>
        <w:tc>
          <w:tcPr>
            <w:tcW w:w="944" w:type="dxa"/>
            <w:tcBorders>
              <w:left w:val="single" w:sz="8" w:space="0" w:color="000000"/>
            </w:tcBorders>
            <w:shd w:fill="FFFFFF" w:val="clear"/>
            <w:tcMar>
              <w:left w:w="0" w:type="dxa"/>
              <w:right w:w="0" w:type="dxa"/>
            </w:tcMar>
          </w:tcPr>
          <w:p>
            <w:pPr>
              <w:pStyle w:val="Normal"/>
              <w:jc w:val="center"/>
              <w:rPr/>
            </w:pPr>
            <w:r>
              <w:rPr/>
              <w:t>5,15</w:t>
            </w:r>
          </w:p>
        </w:tc>
        <w:tc>
          <w:tcPr>
            <w:tcW w:w="944" w:type="dxa"/>
            <w:tcBorders>
              <w:left w:val="single" w:sz="8" w:space="0" w:color="000000"/>
            </w:tcBorders>
            <w:shd w:fill="FFFFFF" w:val="clear"/>
            <w:tcMar>
              <w:left w:w="0" w:type="dxa"/>
              <w:right w:w="0" w:type="dxa"/>
            </w:tcMar>
          </w:tcPr>
          <w:p>
            <w:pPr>
              <w:pStyle w:val="Normal"/>
              <w:jc w:val="center"/>
              <w:rPr/>
            </w:pPr>
            <w:r>
              <w:rPr/>
              <w:t>7,25</w:t>
            </w:r>
          </w:p>
        </w:tc>
        <w:tc>
          <w:tcPr>
            <w:tcW w:w="944" w:type="dxa"/>
            <w:tcBorders>
              <w:left w:val="single" w:sz="8" w:space="0" w:color="000000"/>
            </w:tcBorders>
            <w:shd w:fill="FFFFFF" w:val="clear"/>
            <w:tcMar>
              <w:left w:w="0" w:type="dxa"/>
              <w:right w:w="0" w:type="dxa"/>
            </w:tcMar>
          </w:tcPr>
          <w:p>
            <w:pPr>
              <w:pStyle w:val="Normal"/>
              <w:jc w:val="center"/>
              <w:rPr/>
            </w:pPr>
            <w:r>
              <w:rPr/>
              <w:t>7,75</w:t>
            </w:r>
          </w:p>
        </w:tc>
        <w:tc>
          <w:tcPr>
            <w:tcW w:w="944" w:type="dxa"/>
            <w:tcBorders>
              <w:left w:val="single" w:sz="8" w:space="0" w:color="000000"/>
            </w:tcBorders>
            <w:shd w:fill="FFFFFF" w:val="clear"/>
            <w:tcMar>
              <w:left w:w="0" w:type="dxa"/>
              <w:right w:w="0" w:type="dxa"/>
            </w:tcMar>
          </w:tcPr>
          <w:p>
            <w:pPr>
              <w:pStyle w:val="Normal"/>
              <w:jc w:val="center"/>
              <w:rPr/>
            </w:pPr>
            <w:r>
              <w:rPr/>
              <w:t>8,20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9,00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6,5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1,90</w:t>
            </w:r>
          </w:p>
        </w:tc>
        <w:tc>
          <w:tcPr>
            <w:tcW w:w="944" w:type="dxa"/>
            <w:tcBorders>
              <w:left w:val="single" w:sz="8" w:space="0" w:color="000000"/>
            </w:tcBorders>
            <w:shd w:fill="FFFFFF" w:val="clear"/>
            <w:tcMar>
              <w:left w:w="0" w:type="dxa"/>
              <w:right w:w="0" w:type="dxa"/>
            </w:tcMar>
          </w:tcPr>
          <w:p>
            <w:pPr>
              <w:pStyle w:val="Normal"/>
              <w:jc w:val="center"/>
              <w:rPr/>
            </w:pPr>
            <w:r>
              <w:rPr/>
              <w:t>4,55</w:t>
            </w:r>
          </w:p>
        </w:tc>
        <w:tc>
          <w:tcPr>
            <w:tcW w:w="944" w:type="dxa"/>
            <w:tcBorders>
              <w:left w:val="single" w:sz="8" w:space="0" w:color="000000"/>
            </w:tcBorders>
            <w:shd w:fill="FFFFFF" w:val="clear"/>
            <w:tcMar>
              <w:left w:w="0" w:type="dxa"/>
              <w:right w:w="0" w:type="dxa"/>
            </w:tcMar>
          </w:tcPr>
          <w:p>
            <w:pPr>
              <w:pStyle w:val="Normal"/>
              <w:jc w:val="center"/>
              <w:rPr/>
            </w:pPr>
            <w:r>
              <w:rPr/>
              <w:t>6,75</w:t>
            </w:r>
          </w:p>
        </w:tc>
        <w:tc>
          <w:tcPr>
            <w:tcW w:w="944" w:type="dxa"/>
            <w:tcBorders>
              <w:left w:val="single" w:sz="8" w:space="0" w:color="000000"/>
            </w:tcBorders>
            <w:shd w:fill="FFFFFF" w:val="clear"/>
            <w:tcMar>
              <w:left w:w="0" w:type="dxa"/>
              <w:right w:w="0" w:type="dxa"/>
            </w:tcMar>
          </w:tcPr>
          <w:p>
            <w:pPr>
              <w:pStyle w:val="Normal"/>
              <w:jc w:val="center"/>
              <w:rPr/>
            </w:pPr>
            <w:r>
              <w:rPr/>
              <w:t>7,20</w:t>
            </w:r>
          </w:p>
        </w:tc>
        <w:tc>
          <w:tcPr>
            <w:tcW w:w="944" w:type="dxa"/>
            <w:tcBorders>
              <w:left w:val="single" w:sz="8" w:space="0" w:color="000000"/>
            </w:tcBorders>
            <w:shd w:fill="FFFFFF" w:val="clear"/>
            <w:tcMar>
              <w:left w:w="0" w:type="dxa"/>
              <w:right w:w="0" w:type="dxa"/>
            </w:tcMar>
          </w:tcPr>
          <w:p>
            <w:pPr>
              <w:pStyle w:val="Normal"/>
              <w:jc w:val="center"/>
              <w:rPr/>
            </w:pPr>
            <w:r>
              <w:rPr/>
              <w:t>7,60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8,35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0,70</w:t>
            </w:r>
          </w:p>
        </w:tc>
        <w:tc>
          <w:tcPr>
            <w:tcW w:w="944" w:type="dxa"/>
            <w:tcBorders>
              <w:left w:val="single" w:sz="8" w:space="0" w:color="000000"/>
            </w:tcBorders>
            <w:shd w:fill="FFFFFF" w:val="clear"/>
            <w:tcMar>
              <w:left w:w="0" w:type="dxa"/>
              <w:right w:w="0" w:type="dxa"/>
            </w:tcMar>
          </w:tcPr>
          <w:p>
            <w:pPr>
              <w:pStyle w:val="Normal"/>
              <w:jc w:val="center"/>
              <w:rPr/>
            </w:pPr>
            <w:r>
              <w:rPr/>
              <w:t>3,85</w:t>
            </w:r>
          </w:p>
        </w:tc>
        <w:tc>
          <w:tcPr>
            <w:tcW w:w="944" w:type="dxa"/>
            <w:tcBorders>
              <w:left w:val="single" w:sz="8" w:space="0" w:color="000000"/>
            </w:tcBorders>
            <w:shd w:fill="FFFFFF" w:val="clear"/>
            <w:tcMar>
              <w:left w:w="0" w:type="dxa"/>
              <w:right w:w="0" w:type="dxa"/>
            </w:tcMar>
          </w:tcPr>
          <w:p>
            <w:pPr>
              <w:pStyle w:val="Normal"/>
              <w:jc w:val="center"/>
              <w:rPr/>
            </w:pPr>
            <w:r>
              <w:rPr/>
              <w:t>6,20</w:t>
            </w:r>
          </w:p>
        </w:tc>
        <w:tc>
          <w:tcPr>
            <w:tcW w:w="944" w:type="dxa"/>
            <w:tcBorders>
              <w:left w:val="single" w:sz="8" w:space="0" w:color="000000"/>
            </w:tcBorders>
            <w:shd w:fill="FFFFFF" w:val="clear"/>
            <w:tcMar>
              <w:left w:w="0" w:type="dxa"/>
              <w:right w:w="0" w:type="dxa"/>
            </w:tcMar>
          </w:tcPr>
          <w:p>
            <w:pPr>
              <w:pStyle w:val="Normal"/>
              <w:jc w:val="center"/>
              <w:rPr/>
            </w:pPr>
            <w:r>
              <w:rPr/>
              <w:t>6,60</w:t>
            </w:r>
          </w:p>
        </w:tc>
        <w:tc>
          <w:tcPr>
            <w:tcW w:w="944" w:type="dxa"/>
            <w:tcBorders>
              <w:left w:val="single" w:sz="8" w:space="0" w:color="000000"/>
            </w:tcBorders>
            <w:shd w:fill="FFFFFF" w:val="clear"/>
            <w:tcMar>
              <w:left w:w="0" w:type="dxa"/>
              <w:right w:w="0" w:type="dxa"/>
            </w:tcMar>
          </w:tcPr>
          <w:p>
            <w:pPr>
              <w:pStyle w:val="Normal"/>
              <w:jc w:val="center"/>
              <w:rPr/>
            </w:pPr>
            <w:r>
              <w:rPr/>
              <w:t>6,95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7,60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3,05</w:t>
            </w:r>
          </w:p>
        </w:tc>
        <w:tc>
          <w:tcPr>
            <w:tcW w:w="944" w:type="dxa"/>
            <w:tcBorders>
              <w:left w:val="single" w:sz="8" w:space="0" w:color="000000"/>
            </w:tcBorders>
            <w:shd w:fill="FFFFFF" w:val="clear"/>
            <w:tcMar>
              <w:left w:w="0" w:type="dxa"/>
              <w:right w:w="0" w:type="dxa"/>
            </w:tcMar>
          </w:tcPr>
          <w:p>
            <w:pPr>
              <w:pStyle w:val="Normal"/>
              <w:jc w:val="center"/>
              <w:rPr/>
            </w:pPr>
            <w:r>
              <w:rPr/>
              <w:t>5,60</w:t>
            </w:r>
          </w:p>
        </w:tc>
        <w:tc>
          <w:tcPr>
            <w:tcW w:w="944" w:type="dxa"/>
            <w:tcBorders>
              <w:left w:val="single" w:sz="8" w:space="0" w:color="000000"/>
            </w:tcBorders>
            <w:shd w:fill="FFFFFF" w:val="clear"/>
            <w:tcMar>
              <w:left w:w="0" w:type="dxa"/>
              <w:right w:w="0" w:type="dxa"/>
            </w:tcMar>
          </w:tcPr>
          <w:p>
            <w:pPr>
              <w:pStyle w:val="Normal"/>
              <w:jc w:val="center"/>
              <w:rPr/>
            </w:pPr>
            <w:r>
              <w:rPr/>
              <w:t>5,95</w:t>
            </w:r>
          </w:p>
        </w:tc>
        <w:tc>
          <w:tcPr>
            <w:tcW w:w="944" w:type="dxa"/>
            <w:tcBorders>
              <w:left w:val="single" w:sz="8" w:space="0" w:color="000000"/>
            </w:tcBorders>
            <w:shd w:fill="FFFFFF" w:val="clear"/>
            <w:tcMar>
              <w:left w:w="0" w:type="dxa"/>
              <w:right w:w="0" w:type="dxa"/>
            </w:tcMar>
          </w:tcPr>
          <w:p>
            <w:pPr>
              <w:pStyle w:val="Normal"/>
              <w:jc w:val="center"/>
              <w:rPr/>
            </w:pPr>
            <w:r>
              <w:rPr/>
              <w:t>6,25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6,65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2,10</w:t>
            </w:r>
          </w:p>
        </w:tc>
        <w:tc>
          <w:tcPr>
            <w:tcW w:w="944" w:type="dxa"/>
            <w:tcBorders>
              <w:left w:val="single" w:sz="8" w:space="0" w:color="000000"/>
            </w:tcBorders>
            <w:shd w:fill="FFFFFF" w:val="clear"/>
            <w:tcMar>
              <w:left w:w="0" w:type="dxa"/>
              <w:right w:w="0" w:type="dxa"/>
            </w:tcMar>
          </w:tcPr>
          <w:p>
            <w:pPr>
              <w:pStyle w:val="Normal"/>
              <w:jc w:val="center"/>
              <w:rPr/>
            </w:pPr>
            <w:r>
              <w:rPr/>
              <w:t>4,90</w:t>
            </w:r>
          </w:p>
        </w:tc>
        <w:tc>
          <w:tcPr>
            <w:tcW w:w="944" w:type="dxa"/>
            <w:tcBorders>
              <w:left w:val="single" w:sz="8" w:space="0" w:color="000000"/>
            </w:tcBorders>
            <w:shd w:fill="FFFFFF" w:val="clear"/>
            <w:tcMar>
              <w:left w:w="0" w:type="dxa"/>
              <w:right w:w="0" w:type="dxa"/>
            </w:tcMar>
          </w:tcPr>
          <w:p>
            <w:pPr>
              <w:pStyle w:val="Normal"/>
              <w:jc w:val="center"/>
              <w:rPr/>
            </w:pPr>
            <w:r>
              <w:rPr/>
              <w:t>5,20</w:t>
            </w:r>
          </w:p>
        </w:tc>
        <w:tc>
          <w:tcPr>
            <w:tcW w:w="944" w:type="dxa"/>
            <w:tcBorders>
              <w:left w:val="single" w:sz="8" w:space="0" w:color="000000"/>
            </w:tcBorders>
            <w:shd w:fill="FFFFFF" w:val="clear"/>
            <w:tcMar>
              <w:left w:w="0" w:type="dxa"/>
              <w:right w:w="0" w:type="dxa"/>
            </w:tcMar>
          </w:tcPr>
          <w:p>
            <w:pPr>
              <w:pStyle w:val="Normal"/>
              <w:jc w:val="center"/>
              <w:rPr/>
            </w:pPr>
            <w:r>
              <w:rPr/>
              <w:t>5,50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5,95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0,90</w:t>
            </w:r>
          </w:p>
        </w:tc>
        <w:tc>
          <w:tcPr>
            <w:tcW w:w="944" w:type="dxa"/>
            <w:tcBorders>
              <w:left w:val="single" w:sz="8" w:space="0" w:color="000000"/>
            </w:tcBorders>
            <w:shd w:fill="FFFFFF" w:val="clear"/>
            <w:tcMar>
              <w:left w:w="0" w:type="dxa"/>
              <w:right w:w="0" w:type="dxa"/>
            </w:tcMar>
          </w:tcPr>
          <w:p>
            <w:pPr>
              <w:pStyle w:val="Normal"/>
              <w:jc w:val="center"/>
              <w:rPr/>
            </w:pPr>
            <w:r>
              <w:rPr/>
              <w:t>4,15</w:t>
            </w:r>
          </w:p>
        </w:tc>
        <w:tc>
          <w:tcPr>
            <w:tcW w:w="944" w:type="dxa"/>
            <w:tcBorders>
              <w:left w:val="single" w:sz="8" w:space="0" w:color="000000"/>
            </w:tcBorders>
            <w:shd w:fill="FFFFFF" w:val="clear"/>
            <w:tcMar>
              <w:left w:w="0" w:type="dxa"/>
              <w:right w:w="0" w:type="dxa"/>
            </w:tcMar>
          </w:tcPr>
          <w:p>
            <w:pPr>
              <w:pStyle w:val="Normal"/>
              <w:jc w:val="center"/>
              <w:rPr/>
            </w:pPr>
            <w:r>
              <w:rPr/>
              <w:t>4,40</w:t>
            </w:r>
          </w:p>
        </w:tc>
        <w:tc>
          <w:tcPr>
            <w:tcW w:w="944" w:type="dxa"/>
            <w:tcBorders>
              <w:left w:val="single" w:sz="8" w:space="0" w:color="000000"/>
            </w:tcBorders>
            <w:shd w:fill="FFFFFF" w:val="clear"/>
            <w:tcMar>
              <w:left w:w="0" w:type="dxa"/>
              <w:right w:w="0" w:type="dxa"/>
            </w:tcMar>
          </w:tcPr>
          <w:p>
            <w:pPr>
              <w:pStyle w:val="Normal"/>
              <w:jc w:val="center"/>
              <w:rPr/>
            </w:pPr>
            <w:r>
              <w:rPr/>
              <w:t>4,65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5,05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3,30</w:t>
            </w:r>
          </w:p>
        </w:tc>
        <w:tc>
          <w:tcPr>
            <w:tcW w:w="944" w:type="dxa"/>
            <w:tcBorders>
              <w:left w:val="single" w:sz="8" w:space="0" w:color="000000"/>
            </w:tcBorders>
            <w:shd w:fill="FFFFFF" w:val="clear"/>
            <w:tcMar>
              <w:left w:w="0" w:type="dxa"/>
              <w:right w:w="0" w:type="dxa"/>
            </w:tcMar>
          </w:tcPr>
          <w:p>
            <w:pPr>
              <w:pStyle w:val="Normal"/>
              <w:jc w:val="center"/>
              <w:rPr/>
            </w:pPr>
            <w:r>
              <w:rPr/>
              <w:t>3,50</w:t>
            </w:r>
          </w:p>
        </w:tc>
        <w:tc>
          <w:tcPr>
            <w:tcW w:w="944" w:type="dxa"/>
            <w:tcBorders>
              <w:left w:val="single" w:sz="8" w:space="0" w:color="000000"/>
            </w:tcBorders>
            <w:shd w:fill="FFFFFF" w:val="clear"/>
            <w:tcMar>
              <w:left w:w="0" w:type="dxa"/>
              <w:right w:w="0" w:type="dxa"/>
            </w:tcMar>
          </w:tcPr>
          <w:p>
            <w:pPr>
              <w:pStyle w:val="Normal"/>
              <w:jc w:val="center"/>
              <w:rPr/>
            </w:pPr>
            <w:r>
              <w:rPr/>
              <w:t>3,65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3,95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2,30</w:t>
            </w:r>
          </w:p>
        </w:tc>
        <w:tc>
          <w:tcPr>
            <w:tcW w:w="944" w:type="dxa"/>
            <w:tcBorders>
              <w:left w:val="single" w:sz="8" w:space="0" w:color="000000"/>
            </w:tcBorders>
            <w:shd w:fill="FFFFFF" w:val="clear"/>
            <w:tcMar>
              <w:left w:w="0" w:type="dxa"/>
              <w:right w:w="0" w:type="dxa"/>
            </w:tcMar>
          </w:tcPr>
          <w:p>
            <w:pPr>
              <w:pStyle w:val="Normal"/>
              <w:jc w:val="center"/>
              <w:rPr/>
            </w:pPr>
            <w:r>
              <w:rPr/>
              <w:t>2,40</w:t>
            </w:r>
          </w:p>
        </w:tc>
        <w:tc>
          <w:tcPr>
            <w:tcW w:w="944" w:type="dxa"/>
            <w:tcBorders>
              <w:left w:val="single" w:sz="8" w:space="0" w:color="000000"/>
            </w:tcBorders>
            <w:shd w:fill="FFFFFF" w:val="clear"/>
            <w:tcMar>
              <w:left w:w="0" w:type="dxa"/>
              <w:right w:w="0" w:type="dxa"/>
            </w:tcMar>
          </w:tcPr>
          <w:p>
            <w:pPr>
              <w:pStyle w:val="Normal"/>
              <w:jc w:val="center"/>
              <w:rPr/>
            </w:pPr>
            <w:r>
              <w:rPr/>
              <w:t>2,55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2,85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1,05</w:t>
            </w:r>
          </w:p>
        </w:tc>
        <w:tc>
          <w:tcPr>
            <w:tcW w:w="944" w:type="dxa"/>
            <w:tcBorders>
              <w:left w:val="single" w:sz="8" w:space="0" w:color="000000"/>
            </w:tcBorders>
            <w:shd w:fill="FFFFFF" w:val="clear"/>
            <w:tcMar>
              <w:left w:w="0" w:type="dxa"/>
              <w:right w:w="0" w:type="dxa"/>
            </w:tcMar>
          </w:tcPr>
          <w:p>
            <w:pPr>
              <w:pStyle w:val="Normal"/>
              <w:jc w:val="center"/>
              <w:rPr/>
            </w:pPr>
            <w:r>
              <w:rPr/>
              <w:t>1,10</w:t>
            </w:r>
          </w:p>
        </w:tc>
        <w:tc>
          <w:tcPr>
            <w:tcW w:w="944" w:type="dxa"/>
            <w:tcBorders>
              <w:left w:val="single" w:sz="8" w:space="0" w:color="000000"/>
            </w:tcBorders>
            <w:shd w:fill="FFFFFF" w:val="clear"/>
            <w:tcMar>
              <w:left w:w="0" w:type="dxa"/>
              <w:right w:w="0" w:type="dxa"/>
            </w:tcMar>
          </w:tcPr>
          <w:p>
            <w:pPr>
              <w:pStyle w:val="Normal"/>
              <w:jc w:val="center"/>
              <w:rPr/>
            </w:pPr>
            <w:r>
              <w:rPr/>
              <w:t>1,15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1,30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tcBorders>
            <w:shd w:fill="FFFFFF" w:val="clear"/>
          </w:tcPr>
          <w:p>
            <w:pPr>
              <w:pStyle w:val="Normal"/>
              <w:jc w:val="center"/>
              <w:rPr/>
            </w:pPr>
            <w:r>
              <w:rPr/>
              <w:t>750</w:t>
            </w:r>
          </w:p>
        </w:tc>
        <w:tc>
          <w:tcPr>
            <w:tcW w:w="1331" w:type="dxa"/>
            <w:tcBorders>
              <w:left w:val="single" w:sz="8" w:space="0" w:color="000000"/>
            </w:tcBorders>
            <w:shd w:fill="FFFFFF" w:val="clear"/>
            <w:tcMar>
              <w:left w:w="0" w:type="dxa"/>
              <w:right w:w="0" w:type="dxa"/>
            </w:tcMar>
          </w:tcPr>
          <w:p>
            <w:pPr>
              <w:pStyle w:val="Normal"/>
              <w:jc w:val="center"/>
              <w:rPr/>
            </w:pPr>
            <w:r>
              <w:rPr/>
              <w:t>7,0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1,35</w:t>
            </w:r>
          </w:p>
        </w:tc>
        <w:tc>
          <w:tcPr>
            <w:tcW w:w="944" w:type="dxa"/>
            <w:tcBorders>
              <w:left w:val="single" w:sz="8" w:space="0" w:color="000000"/>
            </w:tcBorders>
            <w:shd w:fill="FFFFFF" w:val="clear"/>
            <w:tcMar>
              <w:left w:w="0" w:type="dxa"/>
              <w:right w:w="0" w:type="dxa"/>
            </w:tcMar>
          </w:tcPr>
          <w:p>
            <w:pPr>
              <w:pStyle w:val="Normal"/>
              <w:jc w:val="center"/>
              <w:rPr/>
            </w:pPr>
            <w:r>
              <w:rPr/>
              <w:t>4,15</w:t>
            </w:r>
          </w:p>
        </w:tc>
        <w:tc>
          <w:tcPr>
            <w:tcW w:w="944" w:type="dxa"/>
            <w:tcBorders>
              <w:left w:val="single" w:sz="8" w:space="0" w:color="000000"/>
            </w:tcBorders>
            <w:shd w:fill="FFFFFF" w:val="clear"/>
            <w:tcMar>
              <w:left w:w="0" w:type="dxa"/>
              <w:right w:w="0" w:type="dxa"/>
            </w:tcMar>
          </w:tcPr>
          <w:p>
            <w:pPr>
              <w:pStyle w:val="Normal"/>
              <w:jc w:val="center"/>
              <w:rPr/>
            </w:pPr>
            <w:r>
              <w:rPr/>
              <w:t>6,45</w:t>
            </w:r>
          </w:p>
        </w:tc>
        <w:tc>
          <w:tcPr>
            <w:tcW w:w="944" w:type="dxa"/>
            <w:tcBorders>
              <w:left w:val="single" w:sz="8" w:space="0" w:color="000000"/>
            </w:tcBorders>
            <w:shd w:fill="FFFFFF" w:val="clear"/>
            <w:tcMar>
              <w:left w:w="0" w:type="dxa"/>
              <w:right w:w="0" w:type="dxa"/>
            </w:tcMar>
          </w:tcPr>
          <w:p>
            <w:pPr>
              <w:pStyle w:val="Normal"/>
              <w:jc w:val="center"/>
              <w:rPr/>
            </w:pPr>
            <w:r>
              <w:rPr/>
              <w:t>6,85</w:t>
            </w:r>
          </w:p>
        </w:tc>
        <w:tc>
          <w:tcPr>
            <w:tcW w:w="944" w:type="dxa"/>
            <w:tcBorders>
              <w:left w:val="single" w:sz="8" w:space="0" w:color="000000"/>
            </w:tcBorders>
            <w:shd w:fill="FFFFFF" w:val="clear"/>
            <w:tcMar>
              <w:left w:w="0" w:type="dxa"/>
              <w:right w:w="0" w:type="dxa"/>
            </w:tcMar>
          </w:tcPr>
          <w:p>
            <w:pPr>
              <w:pStyle w:val="Normal"/>
              <w:jc w:val="center"/>
              <w:rPr/>
            </w:pPr>
            <w:r>
              <w:rPr/>
              <w:t>7,25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7,95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7,5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0,70</w:t>
            </w:r>
          </w:p>
        </w:tc>
        <w:tc>
          <w:tcPr>
            <w:tcW w:w="944" w:type="dxa"/>
            <w:tcBorders>
              <w:left w:val="single" w:sz="8" w:space="0" w:color="000000"/>
            </w:tcBorders>
            <w:shd w:fill="FFFFFF" w:val="clear"/>
            <w:tcMar>
              <w:left w:w="0" w:type="dxa"/>
              <w:right w:w="0" w:type="dxa"/>
            </w:tcMar>
          </w:tcPr>
          <w:p>
            <w:pPr>
              <w:pStyle w:val="Normal"/>
              <w:jc w:val="center"/>
              <w:rPr/>
            </w:pPr>
            <w:r>
              <w:rPr/>
              <w:t>3,45</w:t>
            </w:r>
          </w:p>
        </w:tc>
        <w:tc>
          <w:tcPr>
            <w:tcW w:w="944" w:type="dxa"/>
            <w:tcBorders>
              <w:left w:val="single" w:sz="8" w:space="0" w:color="000000"/>
            </w:tcBorders>
            <w:shd w:fill="FFFFFF" w:val="clear"/>
            <w:tcMar>
              <w:left w:w="0" w:type="dxa"/>
              <w:right w:w="0" w:type="dxa"/>
            </w:tcMar>
          </w:tcPr>
          <w:p>
            <w:pPr>
              <w:pStyle w:val="Normal"/>
              <w:jc w:val="center"/>
              <w:rPr/>
            </w:pPr>
            <w:r>
              <w:rPr/>
              <w:t>5,85</w:t>
            </w:r>
          </w:p>
        </w:tc>
        <w:tc>
          <w:tcPr>
            <w:tcW w:w="944" w:type="dxa"/>
            <w:tcBorders>
              <w:left w:val="single" w:sz="8" w:space="0" w:color="000000"/>
            </w:tcBorders>
            <w:shd w:fill="FFFFFF" w:val="clear"/>
            <w:tcMar>
              <w:left w:w="0" w:type="dxa"/>
              <w:right w:w="0" w:type="dxa"/>
            </w:tcMar>
          </w:tcPr>
          <w:p>
            <w:pPr>
              <w:pStyle w:val="Normal"/>
              <w:jc w:val="center"/>
              <w:rPr/>
            </w:pPr>
            <w:r>
              <w:rPr/>
              <w:t>6,25</w:t>
            </w:r>
          </w:p>
        </w:tc>
        <w:tc>
          <w:tcPr>
            <w:tcW w:w="944" w:type="dxa"/>
            <w:tcBorders>
              <w:left w:val="single" w:sz="8" w:space="0" w:color="000000"/>
            </w:tcBorders>
            <w:shd w:fill="FFFFFF" w:val="clear"/>
            <w:tcMar>
              <w:left w:w="0" w:type="dxa"/>
              <w:right w:w="0" w:type="dxa"/>
            </w:tcMar>
          </w:tcPr>
          <w:p>
            <w:pPr>
              <w:pStyle w:val="Normal"/>
              <w:jc w:val="center"/>
              <w:rPr/>
            </w:pPr>
            <w:r>
              <w:rPr/>
              <w:t>6,60</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7,20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2,55</w:t>
            </w:r>
          </w:p>
        </w:tc>
        <w:tc>
          <w:tcPr>
            <w:tcW w:w="944" w:type="dxa"/>
            <w:tcBorders>
              <w:left w:val="single" w:sz="8" w:space="0" w:color="000000"/>
            </w:tcBorders>
            <w:shd w:fill="FFFFFF" w:val="clear"/>
            <w:tcMar>
              <w:left w:w="0" w:type="dxa"/>
              <w:right w:w="0" w:type="dxa"/>
            </w:tcMar>
          </w:tcPr>
          <w:p>
            <w:pPr>
              <w:pStyle w:val="Normal"/>
              <w:jc w:val="center"/>
              <w:rPr/>
            </w:pPr>
            <w:r>
              <w:rPr/>
              <w:t>5,20</w:t>
            </w:r>
          </w:p>
        </w:tc>
        <w:tc>
          <w:tcPr>
            <w:tcW w:w="944" w:type="dxa"/>
            <w:tcBorders>
              <w:left w:val="single" w:sz="8" w:space="0" w:color="000000"/>
            </w:tcBorders>
            <w:shd w:fill="FFFFFF" w:val="clear"/>
            <w:tcMar>
              <w:left w:w="0" w:type="dxa"/>
              <w:right w:w="0" w:type="dxa"/>
            </w:tcMar>
          </w:tcPr>
          <w:p>
            <w:pPr>
              <w:pStyle w:val="Normal"/>
              <w:jc w:val="center"/>
              <w:rPr/>
            </w:pPr>
            <w:r>
              <w:rPr/>
              <w:t>5,55</w:t>
            </w:r>
          </w:p>
        </w:tc>
        <w:tc>
          <w:tcPr>
            <w:tcW w:w="944" w:type="dxa"/>
            <w:tcBorders>
              <w:left w:val="single" w:sz="8" w:space="0" w:color="000000"/>
            </w:tcBorders>
            <w:shd w:fill="FFFFFF" w:val="clear"/>
            <w:tcMar>
              <w:left w:w="0" w:type="dxa"/>
              <w:right w:w="0" w:type="dxa"/>
            </w:tcMar>
          </w:tcPr>
          <w:p>
            <w:pPr>
              <w:pStyle w:val="Normal"/>
              <w:jc w:val="center"/>
              <w:rPr/>
            </w:pPr>
            <w:r>
              <w:rPr/>
              <w:t>5,85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6,40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8,5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1,55</w:t>
            </w:r>
          </w:p>
        </w:tc>
        <w:tc>
          <w:tcPr>
            <w:tcW w:w="944" w:type="dxa"/>
            <w:tcBorders>
              <w:left w:val="single" w:sz="8" w:space="0" w:color="000000"/>
            </w:tcBorders>
            <w:shd w:fill="FFFFFF" w:val="clear"/>
            <w:tcMar>
              <w:left w:w="0" w:type="dxa"/>
              <w:right w:w="0" w:type="dxa"/>
            </w:tcMar>
          </w:tcPr>
          <w:p>
            <w:pPr>
              <w:pStyle w:val="Normal"/>
              <w:jc w:val="center"/>
              <w:rPr/>
            </w:pPr>
            <w:r>
              <w:rPr/>
              <w:t>4,50</w:t>
            </w:r>
          </w:p>
        </w:tc>
        <w:tc>
          <w:tcPr>
            <w:tcW w:w="944" w:type="dxa"/>
            <w:tcBorders>
              <w:left w:val="single" w:sz="8" w:space="0" w:color="000000"/>
            </w:tcBorders>
            <w:shd w:fill="FFFFFF" w:val="clear"/>
            <w:tcMar>
              <w:left w:w="0" w:type="dxa"/>
              <w:right w:w="0" w:type="dxa"/>
            </w:tcMar>
          </w:tcPr>
          <w:p>
            <w:pPr>
              <w:pStyle w:val="Normal"/>
              <w:jc w:val="center"/>
              <w:rPr/>
            </w:pPr>
            <w:r>
              <w:rPr/>
              <w:t>4,80</w:t>
            </w:r>
          </w:p>
        </w:tc>
        <w:tc>
          <w:tcPr>
            <w:tcW w:w="944" w:type="dxa"/>
            <w:tcBorders>
              <w:left w:val="single" w:sz="8" w:space="0" w:color="000000"/>
            </w:tcBorders>
            <w:shd w:fill="FFFFFF" w:val="clear"/>
            <w:tcMar>
              <w:left w:w="0" w:type="dxa"/>
              <w:right w:w="0" w:type="dxa"/>
            </w:tcMar>
          </w:tcPr>
          <w:p>
            <w:pPr>
              <w:pStyle w:val="Normal"/>
              <w:jc w:val="center"/>
              <w:rPr/>
            </w:pPr>
            <w:r>
              <w:rPr/>
              <w:t>5,05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5,50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0,25</w:t>
            </w:r>
          </w:p>
        </w:tc>
        <w:tc>
          <w:tcPr>
            <w:tcW w:w="944" w:type="dxa"/>
            <w:tcBorders>
              <w:left w:val="single" w:sz="8" w:space="0" w:color="000000"/>
            </w:tcBorders>
            <w:shd w:fill="FFFFFF" w:val="clear"/>
            <w:tcMar>
              <w:left w:w="0" w:type="dxa"/>
              <w:right w:w="0" w:type="dxa"/>
            </w:tcMar>
          </w:tcPr>
          <w:p>
            <w:pPr>
              <w:pStyle w:val="Normal"/>
              <w:jc w:val="center"/>
              <w:rPr/>
            </w:pPr>
            <w:r>
              <w:rPr/>
              <w:t>3,70</w:t>
            </w:r>
          </w:p>
        </w:tc>
        <w:tc>
          <w:tcPr>
            <w:tcW w:w="944" w:type="dxa"/>
            <w:tcBorders>
              <w:left w:val="single" w:sz="8" w:space="0" w:color="000000"/>
            </w:tcBorders>
            <w:shd w:fill="FFFFFF" w:val="clear"/>
            <w:tcMar>
              <w:left w:w="0" w:type="dxa"/>
              <w:right w:w="0" w:type="dxa"/>
            </w:tcMar>
          </w:tcPr>
          <w:p>
            <w:pPr>
              <w:pStyle w:val="Normal"/>
              <w:jc w:val="center"/>
              <w:rPr/>
            </w:pPr>
            <w:r>
              <w:rPr/>
              <w:t>3,90</w:t>
            </w:r>
          </w:p>
        </w:tc>
        <w:tc>
          <w:tcPr>
            <w:tcW w:w="944" w:type="dxa"/>
            <w:tcBorders>
              <w:left w:val="single" w:sz="8" w:space="0" w:color="000000"/>
            </w:tcBorders>
            <w:shd w:fill="FFFFFF" w:val="clear"/>
            <w:tcMar>
              <w:left w:w="0" w:type="dxa"/>
              <w:right w:w="0" w:type="dxa"/>
            </w:tcMar>
          </w:tcPr>
          <w:p>
            <w:pPr>
              <w:pStyle w:val="Normal"/>
              <w:jc w:val="center"/>
              <w:rPr/>
            </w:pPr>
            <w:r>
              <w:rPr/>
              <w:t>4,15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4,50</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9,5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2,80</w:t>
            </w:r>
          </w:p>
        </w:tc>
        <w:tc>
          <w:tcPr>
            <w:tcW w:w="944" w:type="dxa"/>
            <w:tcBorders>
              <w:left w:val="single" w:sz="8" w:space="0" w:color="000000"/>
            </w:tcBorders>
            <w:shd w:fill="FFFFFF" w:val="clear"/>
            <w:tcMar>
              <w:left w:w="0" w:type="dxa"/>
              <w:right w:w="0" w:type="dxa"/>
            </w:tcMar>
          </w:tcPr>
          <w:p>
            <w:pPr>
              <w:pStyle w:val="Normal"/>
              <w:jc w:val="center"/>
              <w:rPr/>
            </w:pPr>
            <w:r>
              <w:rPr/>
              <w:t>2,95</w:t>
            </w:r>
          </w:p>
        </w:tc>
        <w:tc>
          <w:tcPr>
            <w:tcW w:w="944" w:type="dxa"/>
            <w:tcBorders>
              <w:left w:val="single" w:sz="8" w:space="0" w:color="000000"/>
            </w:tcBorders>
            <w:shd w:fill="FFFFFF" w:val="clear"/>
            <w:tcMar>
              <w:left w:w="0" w:type="dxa"/>
              <w:right w:w="0" w:type="dxa"/>
            </w:tcMar>
          </w:tcPr>
          <w:p>
            <w:pPr>
              <w:pStyle w:val="Normal"/>
              <w:jc w:val="center"/>
              <w:rPr/>
            </w:pPr>
            <w:r>
              <w:rPr/>
              <w:t>3,15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3,401</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1,70</w:t>
            </w:r>
          </w:p>
        </w:tc>
        <w:tc>
          <w:tcPr>
            <w:tcW w:w="944" w:type="dxa"/>
            <w:tcBorders>
              <w:left w:val="single" w:sz="8" w:space="0" w:color="000000"/>
            </w:tcBorders>
            <w:shd w:fill="FFFFFF" w:val="clear"/>
            <w:tcMar>
              <w:left w:w="0" w:type="dxa"/>
              <w:right w:w="0" w:type="dxa"/>
            </w:tcMar>
          </w:tcPr>
          <w:p>
            <w:pPr>
              <w:pStyle w:val="Normal"/>
              <w:jc w:val="center"/>
              <w:rPr/>
            </w:pPr>
            <w:r>
              <w:rPr/>
              <w:t>1,85</w:t>
            </w:r>
          </w:p>
        </w:tc>
        <w:tc>
          <w:tcPr>
            <w:tcW w:w="944" w:type="dxa"/>
            <w:tcBorders>
              <w:left w:val="single" w:sz="8" w:space="0" w:color="000000"/>
            </w:tcBorders>
            <w:shd w:fill="FFFFFF" w:val="clear"/>
            <w:tcMar>
              <w:left w:w="0" w:type="dxa"/>
              <w:right w:w="0" w:type="dxa"/>
            </w:tcMar>
          </w:tcPr>
          <w:p>
            <w:pPr>
              <w:pStyle w:val="Normal"/>
              <w:jc w:val="center"/>
              <w:rPr/>
            </w:pPr>
            <w:r>
              <w:rPr/>
              <w:t>1,95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2,15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10,5</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0,40</w:t>
            </w:r>
          </w:p>
        </w:tc>
        <w:tc>
          <w:tcPr>
            <w:tcW w:w="944" w:type="dxa"/>
            <w:tcBorders>
              <w:left w:val="single" w:sz="8" w:space="0" w:color="000000"/>
            </w:tcBorders>
            <w:shd w:fill="FFFFFF" w:val="clear"/>
            <w:tcMar>
              <w:left w:w="0" w:type="dxa"/>
              <w:right w:w="0" w:type="dxa"/>
            </w:tcMar>
          </w:tcPr>
          <w:p>
            <w:pPr>
              <w:pStyle w:val="Normal"/>
              <w:jc w:val="center"/>
              <w:rPr/>
            </w:pPr>
            <w:r>
              <w:rPr/>
              <w:t>0,40</w:t>
            </w:r>
          </w:p>
        </w:tc>
        <w:tc>
          <w:tcPr>
            <w:tcW w:w="944" w:type="dxa"/>
            <w:tcBorders>
              <w:left w:val="single" w:sz="8" w:space="0" w:color="000000"/>
            </w:tcBorders>
            <w:shd w:fill="FFFFFF" w:val="clear"/>
            <w:tcMar>
              <w:left w:w="0" w:type="dxa"/>
              <w:right w:w="0" w:type="dxa"/>
            </w:tcMar>
          </w:tcPr>
          <w:p>
            <w:pPr>
              <w:pStyle w:val="Normal"/>
              <w:jc w:val="center"/>
              <w:rPr/>
            </w:pPr>
            <w:r>
              <w:rPr/>
              <w:t>0,45</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0,55</w:t>
            </w:r>
          </w:p>
        </w:tc>
      </w:tr>
      <w:tr>
        <w:trPr/>
        <w:tc>
          <w:tcPr>
            <w:tcW w:w="1307" w:type="dxa"/>
            <w:tcBorders>
              <w:left w:val="single" w:sz="8" w:space="0" w:color="000000"/>
            </w:tcBorders>
            <w:shd w:fill="FFFFFF" w:val="clear"/>
          </w:tcPr>
          <w:p>
            <w:pPr>
              <w:pStyle w:val="Normal"/>
              <w:snapToGrid w:val="false"/>
              <w:rPr/>
            </w:pPr>
            <w:r>
              <w:rPr/>
            </w:r>
          </w:p>
        </w:tc>
        <w:tc>
          <w:tcPr>
            <w:tcW w:w="1331" w:type="dxa"/>
            <w:tcBorders>
              <w:left w:val="single" w:sz="8" w:space="0" w:color="000000"/>
            </w:tcBorders>
            <w:shd w:fill="FFFFFF" w:val="clear"/>
            <w:tcMar>
              <w:left w:w="0" w:type="dxa"/>
              <w:right w:w="0" w:type="dxa"/>
            </w:tcMar>
          </w:tcPr>
          <w:p>
            <w:pPr>
              <w:pStyle w:val="Normal"/>
              <w:jc w:val="center"/>
              <w:rPr/>
            </w:pPr>
            <w:r>
              <w:rPr/>
              <w:t>11,0</w:t>
            </w:r>
          </w:p>
        </w:tc>
        <w:tc>
          <w:tcPr>
            <w:tcW w:w="942" w:type="dxa"/>
            <w:tcBorders>
              <w:left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1307" w:type="dxa"/>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3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w:t>
            </w:r>
          </w:p>
        </w:tc>
        <w:tc>
          <w:tcPr>
            <w:tcW w:w="9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9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120"/>
        <w:jc w:val="center"/>
        <w:rPr>
          <w:b/>
          <w:b/>
          <w:bCs/>
        </w:rPr>
      </w:pPr>
      <w:r>
        <w:rPr>
          <w:b/>
          <w:bCs/>
        </w:rPr>
        <w:t>РАЗДЕЛ 4. РАСПРЕДЕЛИТЕЛЬНЫЕ УСТРОЙСТВА И ПОДСТАНЦИИ</w:t>
      </w:r>
    </w:p>
    <w:p>
      <w:pPr>
        <w:pStyle w:val="Normal"/>
        <w:spacing w:before="0" w:after="120"/>
        <w:jc w:val="center"/>
        <w:rPr>
          <w:b/>
          <w:b/>
          <w:bCs/>
        </w:rPr>
      </w:pPr>
      <w:r>
        <w:rPr>
          <w:b/>
          <w:bCs/>
        </w:rPr>
        <w:t>Главы 4.1, 4.2</w:t>
      </w:r>
    </w:p>
    <w:p>
      <w:pPr>
        <w:pStyle w:val="Normal"/>
        <w:spacing w:before="0" w:after="120"/>
        <w:jc w:val="center"/>
        <w:rPr>
          <w:b/>
          <w:b/>
          <w:bCs/>
          <w:i/>
          <w:i/>
          <w:iCs/>
        </w:rPr>
      </w:pPr>
      <w:r>
        <w:rPr>
          <w:b/>
          <w:bCs/>
          <w:i/>
          <w:iCs/>
        </w:rPr>
        <w:t>Седьмое издание</w:t>
      </w:r>
    </w:p>
    <w:p>
      <w:pPr>
        <w:pStyle w:val="Normal"/>
        <w:ind w:firstLine="284"/>
        <w:jc w:val="both"/>
        <w:rPr/>
      </w:pPr>
      <w:r>
        <w:rPr>
          <w:b/>
          <w:bCs/>
        </w:rPr>
        <w:t>Правила устройства электроустановок. Раздел 4 (глава 4.1, 4.2).</w:t>
      </w:r>
      <w:r>
        <w:rPr/>
        <w:t xml:space="preserve"> Издание седьмое, переработанное и дополненное, с изменениями.</w:t>
      </w:r>
    </w:p>
    <w:p>
      <w:pPr>
        <w:pStyle w:val="Normal"/>
        <w:spacing w:before="120" w:after="0"/>
        <w:ind w:firstLine="284"/>
        <w:jc w:val="both"/>
        <w:rPr/>
      </w:pPr>
      <w:r>
        <w:rPr/>
        <w:t>Приведены главы Правил устройства электроустановок (ПУЭ) седьмого издания, содержащие общие требования к распределительным устройствам и низковольтным комплектным устройствам напряжением до 1 кВ переменного тока и до 1,5 кВ постоянного тока, стационарным распределительным устройствам и трансформаторным подстанциям переменного тока напряжением выше 1 кВ.</w:t>
      </w:r>
    </w:p>
    <w:p>
      <w:pPr>
        <w:pStyle w:val="Normal"/>
        <w:ind w:firstLine="284"/>
        <w:jc w:val="both"/>
        <w:rPr/>
      </w:pPr>
      <w:r>
        <w:rPr/>
        <w:t>Для инженерно-технического персонала, занятого проектированием, монтажом, наладкой и эксплуатацией электроустановок.</w:t>
      </w:r>
    </w:p>
    <w:p>
      <w:pPr>
        <w:pStyle w:val="Normal"/>
        <w:spacing w:before="120" w:after="120"/>
        <w:jc w:val="center"/>
        <w:rPr>
          <w:b/>
          <w:b/>
          <w:bCs/>
        </w:rPr>
      </w:pPr>
      <w:r>
        <w:rPr>
          <w:b/>
          <w:bCs/>
        </w:rPr>
        <w:t>ПРЕДИСЛОВИЕ</w:t>
      </w:r>
    </w:p>
    <w:p>
      <w:pPr>
        <w:pStyle w:val="Normal"/>
        <w:ind w:firstLine="284"/>
        <w:jc w:val="both"/>
        <w:rPr/>
      </w:pPr>
      <w:r>
        <w:rPr/>
        <w:t>Правила устройства электроустановок (ПУЭ) седьмого издания в связи с длительным сроком переработки выпускаются и вводятся в действие отдельными разделами и главами по мере завершения работ по их пересмотру, согласованию и утверждению.</w:t>
      </w:r>
    </w:p>
    <w:p>
      <w:pPr>
        <w:pStyle w:val="Normal"/>
        <w:ind w:firstLine="284"/>
        <w:jc w:val="both"/>
        <w:rPr/>
      </w:pPr>
      <w:r>
        <w:rPr/>
        <w:t>Настоящий выпуск включает:</w:t>
      </w:r>
    </w:p>
    <w:p>
      <w:pPr>
        <w:pStyle w:val="Normal"/>
        <w:ind w:firstLine="284"/>
        <w:jc w:val="both"/>
        <w:rPr/>
      </w:pPr>
      <w:r>
        <w:rPr/>
        <w:t>Раздел 4. Распределительные устройства и подстанции.</w:t>
      </w:r>
    </w:p>
    <w:p>
      <w:pPr>
        <w:pStyle w:val="Normal"/>
        <w:ind w:firstLine="284"/>
        <w:jc w:val="both"/>
        <w:rPr/>
      </w:pPr>
      <w:r>
        <w:rPr/>
        <w:t>Глава 4.1. Распределительные устройства напряжением до 1 кВ переменного тока и до 1,5 кВ постоянного тока.</w:t>
      </w:r>
    </w:p>
    <w:p>
      <w:pPr>
        <w:pStyle w:val="Normal"/>
        <w:ind w:firstLine="284"/>
        <w:jc w:val="both"/>
        <w:rPr/>
      </w:pPr>
      <w:r>
        <w:rPr/>
        <w:t>Глава 4.2. Распределительные устройства и подстанции напряжением выше 1 кВ.</w:t>
      </w:r>
    </w:p>
    <w:p>
      <w:pPr>
        <w:pStyle w:val="Normal"/>
        <w:ind w:firstLine="284"/>
        <w:jc w:val="both"/>
        <w:rPr/>
      </w:pPr>
      <w:r>
        <w:rPr/>
        <w:t>Глава 4.1 подготовлена ОАО «Институт Теплоэлектропроект».</w:t>
      </w:r>
    </w:p>
    <w:p>
      <w:pPr>
        <w:pStyle w:val="Normal"/>
        <w:ind w:firstLine="284"/>
        <w:jc w:val="both"/>
        <w:rPr/>
      </w:pPr>
      <w:r>
        <w:rPr/>
        <w:t>Глава 4.2 подготовлена ОАО «Институт «Энергосетьпроект» совместно с ОАО «ВНИИЭ», ОАО «Фирма ОРГРЭС», ОАО «РОСЭП», ОАО «Электропроект».</w:t>
      </w:r>
    </w:p>
    <w:p>
      <w:pPr>
        <w:pStyle w:val="Normal"/>
        <w:ind w:firstLine="284"/>
        <w:jc w:val="both"/>
        <w:rPr/>
      </w:pPr>
      <w:r>
        <w:rPr/>
        <w:t>Указанные главы ПУЭ разработаны с учетом требований государственных стандартов, строительных норм и правил, рекомендаций научно-технических советов по рассмотрению проектов глав. Проекты глав рассмотрены рабочими группами Координационного совета по пересмотру ПУЭ.</w:t>
      </w:r>
    </w:p>
    <w:p>
      <w:pPr>
        <w:pStyle w:val="Normal"/>
        <w:ind w:firstLine="284"/>
        <w:jc w:val="both"/>
        <w:rPr/>
      </w:pPr>
      <w:r>
        <w:rPr/>
        <w:t>Разработанные главы согласованы в установленном порядке с Госстроем России, Госгортехнадзором России, РАО «ЕЭС России» (ОАО «ВНИИЭ») и представлены к утверждению Госэнергонадзором Минэнерго России.</w:t>
      </w:r>
    </w:p>
    <w:p>
      <w:pPr>
        <w:pStyle w:val="Normal"/>
        <w:ind w:firstLine="284"/>
        <w:jc w:val="both"/>
        <w:rPr/>
      </w:pPr>
      <w:r>
        <w:rPr/>
        <w:t>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образования юридического лица.</w:t>
      </w:r>
    </w:p>
    <w:p>
      <w:pPr>
        <w:pStyle w:val="Normal"/>
        <w:ind w:firstLine="284"/>
        <w:jc w:val="both"/>
        <w:rPr/>
      </w:pPr>
      <w:r>
        <w:rPr/>
        <w:t>С 1 ноября 2003 г. утрачивают силу гл. 4.1 и 4.2 Правил устройства электроустановок шестого издания.</w:t>
      </w:r>
    </w:p>
    <w:p>
      <w:pPr>
        <w:pStyle w:val="Normal"/>
        <w:spacing w:before="120" w:after="120"/>
        <w:jc w:val="right"/>
        <w:rPr/>
      </w:pPr>
      <w:r>
        <w:rPr/>
        <w:t>Госэнергонадзор Минэнерго России</w:t>
      </w:r>
    </w:p>
    <w:p>
      <w:pPr>
        <w:pStyle w:val="Heading1"/>
        <w:rPr/>
      </w:pPr>
      <w:bookmarkStart w:id="15" w:name="_%D0%A0%D0%90%D0%97%D0%94%D0%95%D0%9B_4."/>
      <w:bookmarkEnd w:id="15"/>
      <w:r>
        <w:rPr/>
        <w:t>РАЗДЕЛ 4. РАСПРЕДЕЛИТЕЛЬНЫЕ УСТРОЙСТВА И ПОДСТАНЦИИ</w:t>
      </w:r>
    </w:p>
    <w:p>
      <w:pPr>
        <w:pStyle w:val="Heading2"/>
        <w:rPr/>
      </w:pPr>
      <w:bookmarkStart w:id="16" w:name="_%D0%93%D0%9B%D0%90%D0%92%D0%90_4.1_%D0%"/>
      <w:bookmarkEnd w:id="16"/>
      <w:r>
        <w:rPr/>
        <w:t>ГЛАВА 4.1 РАСПРЕДЕЛИТЕЛЬНЫЕ УСТРОЙСТВА НАПРЯЖЕНИЕМ ДО 1 кВ ПЕРЕМЕННОГО ТОКА И ДО 1,5 кВ ПОСТОЯННОГО ТОКА</w:t>
      </w:r>
    </w:p>
    <w:p>
      <w:pPr>
        <w:pStyle w:val="Normal"/>
        <w:jc w:val="right"/>
        <w:rPr/>
      </w:pPr>
      <w:r>
        <w:rPr/>
        <w:t>УТВЕРЖДЕНО</w:t>
      </w:r>
    </w:p>
    <w:p>
      <w:pPr>
        <w:pStyle w:val="Normal"/>
        <w:jc w:val="right"/>
        <w:rPr/>
      </w:pPr>
      <w:r>
        <w:rPr/>
        <w:t>приказом Минэнерго России</w:t>
      </w:r>
    </w:p>
    <w:p>
      <w:pPr>
        <w:pStyle w:val="Normal"/>
        <w:jc w:val="right"/>
        <w:rPr/>
      </w:pPr>
      <w:r>
        <w:rPr/>
        <w:t>от 20 июня 2003 г. № 242</w:t>
      </w:r>
    </w:p>
    <w:p>
      <w:pPr>
        <w:pStyle w:val="Normal"/>
        <w:spacing w:before="120" w:after="120"/>
        <w:jc w:val="center"/>
        <w:rPr>
          <w:b/>
          <w:b/>
          <w:bCs/>
          <w:i/>
          <w:i/>
          <w:iCs/>
        </w:rPr>
      </w:pPr>
      <w:r>
        <w:rPr>
          <w:b/>
          <w:bCs/>
          <w:i/>
          <w:iCs/>
        </w:rPr>
        <w:t>Вводится в действие с 1 ноября 2003 г.</w:t>
      </w:r>
    </w:p>
    <w:p>
      <w:pPr>
        <w:pStyle w:val="Heading3"/>
        <w:rPr/>
      </w:pPr>
      <w:r>
        <w:rPr/>
        <w:t>ОБЛАСТЬ ПРИМЕНЕНИЯ</w:t>
      </w:r>
    </w:p>
    <w:p>
      <w:pPr>
        <w:pStyle w:val="Normal"/>
        <w:ind w:firstLine="284"/>
        <w:jc w:val="both"/>
        <w:rPr/>
      </w:pPr>
      <w:r>
        <w:rPr/>
        <w:t>4.1.1. Настоящая глава Правил распространяется на распределительные 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шинных выводов, сборок.</w:t>
      </w:r>
    </w:p>
    <w:p>
      <w:pPr>
        <w:pStyle w:val="Normal"/>
        <w:ind w:firstLine="284"/>
        <w:jc w:val="both"/>
        <w:rPr/>
      </w:pPr>
      <w:r>
        <w:rPr/>
        <w:t>Дополнительные требования к РУ специального назначения приведены в соответствующих главах разд. 7.</w:t>
      </w:r>
    </w:p>
    <w:p>
      <w:pPr>
        <w:pStyle w:val="Normal"/>
        <w:ind w:firstLine="284"/>
        <w:jc w:val="both"/>
        <w:rPr/>
      </w:pPr>
      <w:r>
        <w:rPr/>
        <w:t>Термины и определения, содержащиеся в пп. 4.2.3, 4.2.4, 4.2.5, 4.2.6, 4.2.8, 4.2.11, 4.2.12, действительны и для настоящей главы.</w:t>
      </w:r>
    </w:p>
    <w:p>
      <w:pPr>
        <w:pStyle w:val="Heading3"/>
        <w:rPr/>
      </w:pPr>
      <w:r>
        <w:rPr/>
        <w:t>ОБЩИЕ ТРЕБОВАНИЯ</w:t>
      </w:r>
    </w:p>
    <w:p>
      <w:pPr>
        <w:pStyle w:val="Normal"/>
        <w:ind w:firstLine="284"/>
        <w:jc w:val="both"/>
        <w:rPr/>
      </w:pPr>
      <w:r>
        <w:rP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w:t>
      </w:r>
      <w:r>
        <w:rPr>
          <w:color w:val="FF0000"/>
        </w:rPr>
        <w:t>,</w:t>
      </w:r>
      <w:r>
        <w:rPr/>
        <w:t xml:space="preserve"> так и по условиям работы при коротком замыкании (термические и динамические воздействия, коммутационная способность).</w:t>
      </w:r>
    </w:p>
    <w:p>
      <w:pPr>
        <w:pStyle w:val="Normal"/>
        <w:ind w:firstLine="284"/>
        <w:jc w:val="both"/>
        <w:rPr/>
      </w:pPr>
      <w:r>
        <w:rPr/>
        <w:t>4.1.3. 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двух сторон также на задней стороне устройства (см. также гл. 3.4). Распределительные устройства, как правило, должны иметь мнемосхему.</w:t>
      </w:r>
    </w:p>
    <w:p>
      <w:pPr>
        <w:pStyle w:val="Normal"/>
        <w:ind w:firstLine="284"/>
        <w:jc w:val="both"/>
        <w:rPr/>
      </w:pPr>
      <w:r>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pPr>
        <w:pStyle w:val="Normal"/>
        <w:ind w:firstLine="284"/>
        <w:jc w:val="both"/>
        <w:rPr/>
      </w:pPr>
      <w:r>
        <w:rPr/>
        <w:t>4.1.5. 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защитных заземлений.</w:t>
      </w:r>
    </w:p>
    <w:p>
      <w:pPr>
        <w:pStyle w:val="Normal"/>
        <w:ind w:firstLine="284"/>
        <w:jc w:val="both"/>
        <w:rPr/>
      </w:pPr>
      <w:r>
        <w:rPr/>
        <w:t>4.1.6. Все металлические части РУ и НКУ должны иметь антикоррозийное покрытие.</w:t>
      </w:r>
    </w:p>
    <w:p>
      <w:pPr>
        <w:pStyle w:val="Normal"/>
        <w:ind w:firstLine="284"/>
        <w:jc w:val="both"/>
        <w:rPr/>
      </w:pPr>
      <w:r>
        <w:rPr/>
        <w:t>4.1.7. Заземление и защитные меры безопасности должны быть выполнены в соответствии с гл. 1.7.</w:t>
      </w:r>
    </w:p>
    <w:p>
      <w:pPr>
        <w:pStyle w:val="Heading3"/>
        <w:rPr/>
      </w:pPr>
      <w:r>
        <w:rPr/>
        <w:t>УСТАНОВКА ПРИБОРОВ И АППАРАТОВ</w:t>
      </w:r>
    </w:p>
    <w:p>
      <w:pPr>
        <w:pStyle w:val="Normal"/>
        <w:ind w:firstLine="284"/>
        <w:jc w:val="both"/>
        <w:rPr/>
      </w:pPr>
      <w:r>
        <w:rP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pPr>
        <w:pStyle w:val="Normal"/>
        <w:ind w:firstLine="284"/>
        <w:jc w:val="both"/>
        <w:rPr/>
      </w:pPr>
      <w:r>
        <w:rPr/>
        <w:t>4.1.9. Аппараты рубящего типа должны устанавливаться так, чтобы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pPr>
        <w:pStyle w:val="Normal"/>
        <w:ind w:firstLine="284"/>
        <w:jc w:val="both"/>
        <w:rPr/>
      </w:pPr>
      <w:r>
        <w:rP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оболочками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pPr>
        <w:pStyle w:val="Normal"/>
        <w:ind w:firstLine="284"/>
        <w:jc w:val="both"/>
        <w:rPr/>
      </w:pPr>
      <w:r>
        <w:rPr/>
        <w:t>4.1.11. На приводах коммутационных аппаратов должны быть четко указаны положения «включено», «отключено».</w:t>
      </w:r>
    </w:p>
    <w:p>
      <w:pPr>
        <w:pStyle w:val="Normal"/>
        <w:ind w:firstLine="284"/>
        <w:jc w:val="both"/>
        <w:rPr/>
      </w:pPr>
      <w:r>
        <w:rP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электроустановках:</w:t>
      </w:r>
    </w:p>
    <w:p>
      <w:pPr>
        <w:pStyle w:val="Normal"/>
        <w:ind w:firstLine="284"/>
        <w:jc w:val="both"/>
        <w:rPr/>
      </w:pPr>
      <w:r>
        <w:rPr/>
        <w:t>с выдвижными выключателями;</w:t>
      </w:r>
    </w:p>
    <w:p>
      <w:pPr>
        <w:pStyle w:val="Normal"/>
        <w:ind w:firstLine="284"/>
        <w:jc w:val="both"/>
        <w:rPr/>
      </w:pPr>
      <w:r>
        <w:rP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pPr>
        <w:pStyle w:val="Normal"/>
        <w:ind w:firstLine="284"/>
        <w:jc w:val="both"/>
        <w:rPr/>
      </w:pPr>
      <w:r>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pPr>
        <w:pStyle w:val="Normal"/>
        <w:ind w:firstLine="284"/>
        <w:jc w:val="both"/>
        <w:rPr/>
      </w:pPr>
      <w:r>
        <w:rP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 (см. гл. 3.1).</w:t>
      </w:r>
    </w:p>
    <w:p>
      <w:pPr>
        <w:pStyle w:val="Normal"/>
        <w:ind w:firstLine="284"/>
        <w:jc w:val="both"/>
        <w:rPr/>
      </w:pPr>
      <w:r>
        <w:rPr/>
        <w:t>4.1.14. Установку приборов и аппаратов на РУ и НКУ следует производить в зоне от 400 до 2000 мм от уровня пола. Аппараты ручного оперативного управления (переключатели, кнопки), рекомендуется располагать на высоте не более 1900 мм и не менее 700 мм от уровня пола. Измерительные приборы рекомендуется устанавливать таким образом, чтобы шкала каждого из приборов находилась на высоте 1000 - 1800 мм от пола.</w:t>
      </w:r>
    </w:p>
    <w:p>
      <w:pPr>
        <w:pStyle w:val="Heading3"/>
        <w:rPr/>
      </w:pPr>
      <w:r>
        <w:rPr/>
        <w:t>ШИНЫ, ПРОВОДА, КАБЕЛИ</w:t>
      </w:r>
    </w:p>
    <w:p>
      <w:pPr>
        <w:pStyle w:val="Normal"/>
        <w:ind w:firstLine="284"/>
        <w:jc w:val="both"/>
        <w:rPr/>
      </w:pPr>
      <w:r>
        <w:rPr/>
        <w:t>4.1.15. Открытые токоведущие части, как правило, должны иметь, изоляционное покрытие. Между неподвижно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20 мм по поверхности изоляции и не менее 12 мм по воздуху. От неизолированных токоведущих частей до ограждений должны быть обеспечены расстояния не менее 100 мм при сетчатых и 40 мм при сплошных съемных ограждениях.</w:t>
      </w:r>
    </w:p>
    <w:p>
      <w:pPr>
        <w:pStyle w:val="Normal"/>
        <w:ind w:firstLine="284"/>
        <w:jc w:val="both"/>
        <w:rPr/>
      </w:pPr>
      <w:r>
        <w:rPr/>
        <w:t>4.1.16. В пределах панелей, щитов и шкафов, установленных в сухих помещениях, изолированные провода с изоляцией, рассчитанной на напряжение не ниже 660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2.1.</w:t>
      </w:r>
    </w:p>
    <w:p>
      <w:pPr>
        <w:pStyle w:val="Normal"/>
        <w:ind w:firstLine="284"/>
        <w:jc w:val="both"/>
        <w:rPr/>
      </w:pPr>
      <w:r>
        <w:rPr/>
        <w:t>4.1.17. Защитные (</w:t>
      </w:r>
      <w:r>
        <w:rPr>
          <w:i/>
          <w:iCs/>
        </w:rPr>
        <w:t>РЕ</w:t>
      </w:r>
      <w:r>
        <w:rPr/>
        <w:t>) проводники и шины могут быть проложены без изоляции. Нулевые рабочие (</w:t>
      </w:r>
      <w:r>
        <w:rPr>
          <w:i/>
          <w:iCs/>
        </w:rPr>
        <w:t>N</w:t>
      </w:r>
      <w:r>
        <w:rPr/>
        <w:t>) проводники, шины и совмещенные (</w:t>
      </w:r>
      <w:r>
        <w:rPr>
          <w:i/>
          <w:iCs/>
        </w:rPr>
        <w:t>PEN</w:t>
      </w:r>
      <w:r>
        <w:rPr/>
        <w:t>) проводники прокладываются с изоляцией.</w:t>
      </w:r>
    </w:p>
    <w:p>
      <w:pPr>
        <w:pStyle w:val="Normal"/>
        <w:ind w:firstLine="284"/>
        <w:jc w:val="both"/>
        <w:rPr/>
      </w:pPr>
      <w:r>
        <w:rPr/>
        <w:t>4.1.18 Электропроводки цепей управления, измерения и другие должны ответствовать требованиям гл. 3.4. Прокладка кабелей должна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т.п.</w:t>
      </w:r>
    </w:p>
    <w:p>
      <w:pPr>
        <w:pStyle w:val="Heading3"/>
        <w:rPr/>
      </w:pPr>
      <w:r>
        <w:rPr/>
        <w:t>КОНСТРУКЦИИ РАСПРЕДЕЛИТЕЛЬНЫХ УСТРОЙСТВ</w:t>
      </w:r>
    </w:p>
    <w:p>
      <w:pPr>
        <w:pStyle w:val="Normal"/>
        <w:ind w:firstLine="284"/>
        <w:jc w:val="both"/>
        <w:rPr/>
      </w:pPr>
      <w:r>
        <w:rPr/>
        <w:t>4.1.19. Конструкции РУ, НКУ и устанавливаемая в них аппаратура должны соответствовать требованиям действующих стандартов.</w:t>
      </w:r>
    </w:p>
    <w:p>
      <w:pPr>
        <w:pStyle w:val="Normal"/>
        <w:ind w:firstLine="284"/>
        <w:jc w:val="both"/>
        <w:rPr/>
      </w:pPr>
      <w:r>
        <w:rPr/>
        <w:t>4.1.20. Распределительные устройства и НКУ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pPr>
        <w:pStyle w:val="Normal"/>
        <w:ind w:firstLine="284"/>
        <w:jc w:val="both"/>
        <w:rPr/>
      </w:pPr>
      <w:r>
        <w:rPr/>
        <w:t>4.1.21. Поверхности гигроскопичных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p>
    <w:p>
      <w:pPr>
        <w:pStyle w:val="Normal"/>
        <w:ind w:firstLine="284"/>
        <w:jc w:val="both"/>
        <w:rPr/>
      </w:pPr>
      <w:r>
        <w:rP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pPr>
        <w:pStyle w:val="Normal"/>
        <w:ind w:firstLine="284"/>
        <w:jc w:val="both"/>
        <w:rPr/>
      </w:pPr>
      <w:r>
        <w:rPr/>
        <w:t>4.1.22. 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обслуживаемым аппаратам, приборам, устройствам и их зажимам. Распределительное устройство должно иметь устройства, для подключения нулевых рабочих (</w:t>
      </w:r>
      <w:r>
        <w:rPr>
          <w:i/>
          <w:iCs/>
        </w:rPr>
        <w:t>N</w:t>
      </w:r>
      <w:r>
        <w:rPr/>
        <w:t>), заземляющих (</w:t>
      </w:r>
      <w:r>
        <w:rPr>
          <w:i/>
          <w:iCs/>
        </w:rPr>
        <w:t>РЕ</w:t>
      </w:r>
      <w:r>
        <w:rPr/>
        <w:t>) и совмещенных (</w:t>
      </w:r>
      <w:r>
        <w:rPr>
          <w:i/>
          <w:iCs/>
        </w:rPr>
        <w:t>PEN</w:t>
      </w:r>
      <w:r>
        <w:rPr/>
        <w:t>) проводников внешних кабелей и проводов. В случае когда внешние кабели по сечению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должны предусматривать ввод кабелей как снизу, так и сверху, или только снизу или только сверху.</w:t>
      </w:r>
    </w:p>
    <w:p>
      <w:pPr>
        <w:pStyle w:val="Heading3"/>
        <w:rPr/>
      </w:pPr>
      <w:r>
        <w:rPr/>
        <w:t>УСТАНОВКА РАСПРЕДЕЛИТЕЛЬНЫХ УСТРОЙСТВ В ЭЛЕКТРОПОМЕЩЕНИЯХ</w:t>
      </w:r>
    </w:p>
    <w:p>
      <w:pPr>
        <w:pStyle w:val="Normal"/>
        <w:ind w:firstLine="284"/>
        <w:jc w:val="both"/>
        <w:rPr/>
      </w:pPr>
      <w:r>
        <w:rPr/>
        <w:t>4.1.23. В электропомещениях (см. 1.1.5.) проходы обслуживания, находящиеся с лицевой или с задней стороны щита, должны соответствовать следующим требованиям:</w:t>
      </w:r>
    </w:p>
    <w:p>
      <w:pPr>
        <w:pStyle w:val="Normal"/>
        <w:ind w:firstLine="284"/>
        <w:jc w:val="both"/>
        <w:rPr/>
      </w:pPr>
      <w:r>
        <w:rPr/>
        <w:t>1) ширина проходов в свету должна быть не менее 0,8 м, высота проходов в свету не менее 1,9 м. Ширина прохода должна обеспечивать удобное обслуживание установки и перемещение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0,6 м;</w:t>
      </w:r>
    </w:p>
    <w:p>
      <w:pPr>
        <w:pStyle w:val="Normal"/>
        <w:ind w:firstLine="284"/>
        <w:jc w:val="both"/>
        <w:rPr/>
      </w:pPr>
      <w:r>
        <w:rPr/>
        <w:t>2) расстояния от наиболее выступающих неогражденных неизолированных токоведущих частей (например, отключенных ножей рубильников) при их одностороннем расположении на высоте менее 2,2 м до противоположной стены, ограждения или оборудования, не имеющего неогражденных неизолированных токоведущих частей, должны быть не менее:</w:t>
      </w:r>
    </w:p>
    <w:p>
      <w:pPr>
        <w:pStyle w:val="Normal"/>
        <w:ind w:firstLine="284"/>
        <w:jc w:val="both"/>
        <w:rPr/>
      </w:pPr>
      <w:r>
        <w:rPr/>
        <w:t>1,0 м - при напряжении ниже 660 В при длине щита до 7 и 1,2 м при длине щита более 7 м;</w:t>
      </w:r>
    </w:p>
    <w:p>
      <w:pPr>
        <w:pStyle w:val="Normal"/>
        <w:ind w:firstLine="284"/>
        <w:jc w:val="both"/>
        <w:rPr/>
      </w:pPr>
      <w:r>
        <w:rPr/>
        <w:t>1,5 м - при напряжении 660 В и выше.</w:t>
      </w:r>
    </w:p>
    <w:p>
      <w:pPr>
        <w:pStyle w:val="Normal"/>
        <w:ind w:firstLine="284"/>
        <w:jc w:val="both"/>
        <w:rPr/>
      </w:pPr>
      <w:r>
        <w:rPr/>
        <w:t>Длиной щита в данном случае называется длина прохода между двумя рядами сплошного фронта панелей (шкафов) или между одним рядом и стеной;</w:t>
      </w:r>
    </w:p>
    <w:p>
      <w:pPr>
        <w:pStyle w:val="Normal"/>
        <w:ind w:firstLine="284"/>
        <w:jc w:val="both"/>
        <w:rPr/>
      </w:pPr>
      <w:r>
        <w:rPr/>
        <w:t>3) расстояния между неогражденными неизолированными токоведущими частями и находящимися на высоте менее 2,2 м при их двухстороннем расположении должны быть не менее:</w:t>
      </w:r>
    </w:p>
    <w:p>
      <w:pPr>
        <w:pStyle w:val="Normal"/>
        <w:ind w:firstLine="284"/>
        <w:jc w:val="both"/>
        <w:rPr/>
      </w:pPr>
      <w:r>
        <w:rPr/>
        <w:t>1,5 м - при напряжении ниже 660 В;</w:t>
      </w:r>
    </w:p>
    <w:p>
      <w:pPr>
        <w:pStyle w:val="Normal"/>
        <w:ind w:firstLine="284"/>
        <w:jc w:val="both"/>
        <w:rPr/>
      </w:pPr>
      <w:r>
        <w:rPr/>
        <w:t>2,0 м - при напряжении 660 В и выше.</w:t>
      </w:r>
    </w:p>
    <w:p>
      <w:pPr>
        <w:pStyle w:val="Normal"/>
        <w:ind w:firstLine="284"/>
        <w:jc w:val="both"/>
        <w:rPr/>
      </w:pPr>
      <w:r>
        <w:rPr/>
        <w:t>4) неизолированные токоведущие части, находящиеся на расстояниях, меньших приведенных в пп. 2 и 3, должны быть ограждены. При этом ширина прохода с учетом ограждений должна быть не менее оговоренной в п. 1;</w:t>
      </w:r>
    </w:p>
    <w:p>
      <w:pPr>
        <w:pStyle w:val="Normal"/>
        <w:ind w:firstLine="284"/>
        <w:jc w:val="both"/>
        <w:rPr/>
      </w:pPr>
      <w:r>
        <w:rPr/>
        <w:t>5) неогражденные неизолированные токоведущие части, размещенные над проходами, должны быть расположены на высоте не менее 2,2 м;</w:t>
      </w:r>
    </w:p>
    <w:p>
      <w:pPr>
        <w:pStyle w:val="Normal"/>
        <w:ind w:firstLine="284"/>
        <w:jc w:val="both"/>
        <w:rPr/>
      </w:pPr>
      <w:r>
        <w:rPr/>
        <w:t>6) ограждения, горизонтально размещаемые над проходами, должны быть расположены на высоте не менее 1,9 м;</w:t>
      </w:r>
    </w:p>
    <w:p>
      <w:pPr>
        <w:pStyle w:val="Normal"/>
        <w:ind w:firstLine="284"/>
        <w:jc w:val="both"/>
        <w:rPr/>
      </w:pPr>
      <w:r>
        <w:rPr/>
        <w:t>7) проходы для обслуживания щитов, при длине щита более 7 м, должны иметь два выхода. Выходы из прохода с монтажной стороны щита могут быть выполнены как в щитовое помещение, так и в помещения другого назначения. При ширине прохода обслуживания более 3 м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0,75 м, высота не менее 1,9 м.</w:t>
      </w:r>
    </w:p>
    <w:p>
      <w:pPr>
        <w:pStyle w:val="Normal"/>
        <w:ind w:firstLine="284"/>
        <w:jc w:val="both"/>
        <w:rPr/>
      </w:pPr>
      <w:r>
        <w:rPr/>
        <w:t>4.1.24. В качестве ограждения неизолированных токоведущих частей могут служить сетки с размерами ячеек не более 25×25 мм, а также сплошные или смешанные ограждения. Высота ограждений должна быть не менее 1,7 м.</w:t>
      </w:r>
    </w:p>
    <w:p>
      <w:pPr>
        <w:pStyle w:val="Heading3"/>
        <w:rPr/>
      </w:pPr>
      <w:r>
        <w:rPr/>
        <w:t>УСТАНОВКА РАСПРЕДЕЛИТЕЛЬНЫХ УСТРОЙСТВ В ПРОИЗВОДСТВЕННЫХ ПОМЕЩЕНИЯХ</w:t>
      </w:r>
    </w:p>
    <w:p>
      <w:pPr>
        <w:pStyle w:val="Normal"/>
        <w:ind w:firstLine="284"/>
        <w:jc w:val="both"/>
        <w:rPr/>
      </w:pPr>
      <w:r>
        <w:rPr/>
        <w:t>4.1.25. 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IP2X. В случае применения РУ с открытыми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1,7 м. Дверцы входа за ограждение должны запираться на ключ. Расстояние от сетчатого ограждения до неизолированных токоведущих частей устройства должно быть не менее 0,7 м, а от сплошных - в соответствии с 4.1.15. Ширина проходов принимается в соответствии с 4.1.23.</w:t>
      </w:r>
    </w:p>
    <w:p>
      <w:pPr>
        <w:pStyle w:val="Normal"/>
        <w:ind w:firstLine="284"/>
        <w:jc w:val="both"/>
        <w:rPr/>
      </w:pPr>
      <w:r>
        <w:rPr/>
        <w:t>4.1.26. Оконцевание проводов и кабелей должно быть выполнено так, чтобы оно находилось внутри устройства.</w:t>
      </w:r>
    </w:p>
    <w:p>
      <w:pPr>
        <w:pStyle w:val="Normal"/>
        <w:ind w:firstLine="284"/>
        <w:jc w:val="both"/>
        <w:rPr/>
      </w:pPr>
      <w:r>
        <w:rPr/>
        <w:t>4.1.27. Съемные ограждения должны выполняться так, чтобы их удаление было невозможно без специального инструмента. Дверцы должны запираться на ключ.</w:t>
      </w:r>
    </w:p>
    <w:p>
      <w:pPr>
        <w:pStyle w:val="Heading3"/>
        <w:rPr/>
      </w:pPr>
      <w:r>
        <w:rPr/>
        <w:t>УСТАНОВКА РАСПРЕДЕЛИТЕЛЬНЫХ УСТРОЙСТВ НА ОТКРЫТОМ ВОЗДУХЕ</w:t>
      </w:r>
    </w:p>
    <w:p>
      <w:pPr>
        <w:pStyle w:val="Normal"/>
        <w:ind w:firstLine="284"/>
        <w:jc w:val="both"/>
        <w:rPr/>
      </w:pPr>
      <w:r>
        <w:rPr/>
        <w:t>4.1.28. При установке распределительных устройств на открытом воздухе необходимо соблюдать следующие требования:</w:t>
      </w:r>
    </w:p>
    <w:p>
      <w:pPr>
        <w:pStyle w:val="Normal"/>
        <w:ind w:firstLine="284"/>
        <w:jc w:val="both"/>
        <w:rPr/>
      </w:pPr>
      <w:r>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следует устанавливать на повышенных фундаментах;</w:t>
      </w:r>
    </w:p>
    <w:p>
      <w:pPr>
        <w:pStyle w:val="Normal"/>
        <w:ind w:firstLine="284"/>
        <w:jc w:val="both"/>
        <w:rPr/>
      </w:pPr>
      <w:r>
        <w:rPr/>
        <w:t>2)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 и других нормативных документов. В шкафах должно быть предусмотрено местное освещение.</w:t>
      </w:r>
    </w:p>
    <w:p>
      <w:pPr>
        <w:pStyle w:val="Heading2"/>
        <w:rPr/>
      </w:pPr>
      <w:bookmarkStart w:id="17" w:name="_%D0%93%D0%9B%D0%90%D0%92%D0%90_4.2_%D0%"/>
      <w:bookmarkEnd w:id="17"/>
      <w:r>
        <w:rPr/>
        <w:t>ГЛАВА 4.2 РАСПРЕДЕЛИТЕЛЬНЫЕ УСТРОЙСТВА И ПОДСТАНЦИИ НАПРЯЖЕНИЕМ ВЫШЕ 1 кВ</w:t>
      </w:r>
    </w:p>
    <w:p>
      <w:pPr>
        <w:pStyle w:val="Normal"/>
        <w:jc w:val="right"/>
        <w:rPr/>
      </w:pPr>
      <w:r>
        <w:rPr/>
        <w:t>УТВЕРЖДЕНО</w:t>
      </w:r>
    </w:p>
    <w:p>
      <w:pPr>
        <w:pStyle w:val="Normal"/>
        <w:jc w:val="right"/>
        <w:rPr/>
      </w:pPr>
      <w:r>
        <w:rPr/>
        <w:t>приказом Минэнерго России</w:t>
      </w:r>
    </w:p>
    <w:p>
      <w:pPr>
        <w:pStyle w:val="Normal"/>
        <w:jc w:val="right"/>
        <w:rPr/>
      </w:pPr>
      <w:r>
        <w:rPr/>
        <w:t>от 20 июня 2003 г. № 242</w:t>
      </w:r>
    </w:p>
    <w:p>
      <w:pPr>
        <w:pStyle w:val="Normal"/>
        <w:spacing w:before="120" w:after="120"/>
        <w:jc w:val="center"/>
        <w:rPr>
          <w:b/>
          <w:b/>
          <w:bCs/>
          <w:i/>
          <w:i/>
          <w:iCs/>
        </w:rPr>
      </w:pPr>
      <w:r>
        <w:rPr>
          <w:b/>
          <w:bCs/>
          <w:i/>
          <w:iCs/>
        </w:rPr>
        <w:t>Вводится в действие с 1 ноября 2003 г.</w:t>
      </w:r>
    </w:p>
    <w:p>
      <w:pPr>
        <w:pStyle w:val="Heading3"/>
        <w:rPr/>
      </w:pPr>
      <w:r>
        <w:rPr/>
        <w:t>ОБЛАСТЬ ПРИМЕНЕНИЯ, ОПРЕДЕЛЕНИЯ</w:t>
      </w:r>
    </w:p>
    <w:p>
      <w:pPr>
        <w:pStyle w:val="Normal"/>
        <w:ind w:firstLine="284"/>
        <w:jc w:val="both"/>
        <w:rPr/>
      </w:pPr>
      <w:r>
        <w:rPr/>
        <w:t>4.2.1. 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p>
    <w:p>
      <w:pPr>
        <w:pStyle w:val="Normal"/>
        <w:ind w:firstLine="284"/>
        <w:jc w:val="both"/>
        <w:rPr/>
      </w:pPr>
      <w:r>
        <w:rPr/>
        <w:t>4.2.2. Настоящая глава не содержит требований по устройству РУ и ПС в части:</w:t>
      </w:r>
    </w:p>
    <w:p>
      <w:pPr>
        <w:pStyle w:val="Normal"/>
        <w:ind w:firstLine="284"/>
        <w:jc w:val="both"/>
        <w:rPr/>
      </w:pPr>
      <w:r>
        <w:rPr/>
        <w:t>выбора площадки (кроме 4.2.35);</w:t>
      </w:r>
    </w:p>
    <w:p>
      <w:pPr>
        <w:pStyle w:val="Normal"/>
        <w:ind w:firstLine="284"/>
        <w:jc w:val="both"/>
        <w:rPr/>
      </w:pPr>
      <w:r>
        <w:rPr/>
        <w:t>инженерной подготовки территории;</w:t>
      </w:r>
    </w:p>
    <w:p>
      <w:pPr>
        <w:pStyle w:val="Normal"/>
        <w:ind w:firstLine="284"/>
        <w:jc w:val="both"/>
        <w:rPr/>
      </w:pPr>
      <w:r>
        <w:rPr/>
        <w:t>мероприятий по снижению шума, создаваемого работающим электрооборудованием;</w:t>
      </w:r>
    </w:p>
    <w:p>
      <w:pPr>
        <w:pStyle w:val="Normal"/>
        <w:ind w:firstLine="284"/>
        <w:jc w:val="both"/>
        <w:rPr/>
      </w:pPr>
      <w:r>
        <w:rPr/>
        <w:t>определения категории взрывопожарной и пожарной опасности помещений;</w:t>
      </w:r>
    </w:p>
    <w:p>
      <w:pPr>
        <w:pStyle w:val="Normal"/>
        <w:ind w:firstLine="284"/>
        <w:jc w:val="both"/>
        <w:rPr/>
      </w:pPr>
      <w:r>
        <w:rPr/>
        <w:t>определения степени огнестойкости зданий (кроме 4.2.117, 4.2.118);</w:t>
      </w:r>
    </w:p>
    <w:p>
      <w:pPr>
        <w:pStyle w:val="Normal"/>
        <w:ind w:firstLine="284"/>
        <w:jc w:val="both"/>
        <w:rPr/>
      </w:pPr>
      <w:r>
        <w:rPr/>
        <w:t>охранных мероприятий;</w:t>
      </w:r>
    </w:p>
    <w:p>
      <w:pPr>
        <w:pStyle w:val="Normal"/>
        <w:ind w:firstLine="284"/>
        <w:jc w:val="both"/>
        <w:rPr/>
      </w:pPr>
      <w:r>
        <w:rPr/>
        <w:t>противопожарной защиты и пожарной безопасности (кроме некоторых пунктов).</w:t>
      </w:r>
    </w:p>
    <w:p>
      <w:pPr>
        <w:pStyle w:val="Normal"/>
        <w:ind w:firstLine="284"/>
        <w:jc w:val="both"/>
        <w:rPr/>
      </w:pPr>
      <w:r>
        <w:rPr/>
        <w:t>По перечисленному выше следует руководствоваться требованиями действующих строительных норм и правил и ведомственных документов.</w:t>
      </w:r>
    </w:p>
    <w:p>
      <w:pPr>
        <w:pStyle w:val="Normal"/>
        <w:ind w:firstLine="284"/>
        <w:jc w:val="both"/>
        <w:rPr/>
      </w:pPr>
      <w:r>
        <w:rPr/>
        <w:t>4.2.3. Определения основных понятий, применяемых в настоящей главе, приняты по действующим стандартам, а также по 4.2.4 - 4.2.16.</w:t>
      </w:r>
    </w:p>
    <w:p>
      <w:pPr>
        <w:pStyle w:val="Normal"/>
        <w:ind w:firstLine="284"/>
        <w:jc w:val="both"/>
        <w:rPr/>
      </w:pPr>
      <w:r>
        <w:rPr/>
        <w:t>4.2.4. Распределительное устройство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p>
    <w:p>
      <w:pPr>
        <w:pStyle w:val="Normal"/>
        <w:ind w:firstLine="284"/>
        <w:jc w:val="both"/>
        <w:rPr/>
      </w:pPr>
      <w:r>
        <w:rPr/>
        <w:t>Открытое распределительное устройство (ОРУ) - РУ, все или основное оборудование которого расположено на открытом воздухе.</w:t>
      </w:r>
    </w:p>
    <w:p>
      <w:pPr>
        <w:pStyle w:val="Normal"/>
        <w:ind w:firstLine="284"/>
        <w:jc w:val="both"/>
        <w:rPr/>
      </w:pPr>
      <w:r>
        <w:rPr/>
        <w:t>Закрытое распределительное устройство (ЗРУ) - РУ, оборудование которого расположено в помещении.</w:t>
      </w:r>
    </w:p>
    <w:p>
      <w:pPr>
        <w:pStyle w:val="Normal"/>
        <w:ind w:firstLine="284"/>
        <w:jc w:val="both"/>
        <w:rPr/>
      </w:pPr>
      <w:r>
        <w:rPr/>
        <w:t>4.2.5. Комплектное распределительное устройство - РУ,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pPr>
        <w:pStyle w:val="Normal"/>
        <w:ind w:firstLine="284"/>
        <w:jc w:val="both"/>
        <w:rPr/>
      </w:pPr>
      <w:r>
        <w:rPr/>
        <w:t>Комплектное распределительное устройство элегазовое (КРУЭ) - РУ, в котором основное оборудование заключено в оболочки, заполненные элегазом (SF</w:t>
      </w:r>
      <w:r>
        <w:rPr>
          <w:vertAlign w:val="subscript"/>
        </w:rPr>
        <w:t>6</w:t>
      </w:r>
      <w:r>
        <w:rPr/>
        <w:t>), служащим изолирующей и/или дугогасящей средой.</w:t>
      </w:r>
    </w:p>
    <w:p>
      <w:pPr>
        <w:pStyle w:val="Normal"/>
        <w:ind w:firstLine="284"/>
        <w:jc w:val="both"/>
        <w:rPr/>
      </w:pPr>
      <w:r>
        <w:rPr/>
        <w:t>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w:t>
      </w:r>
    </w:p>
    <w:p>
      <w:pPr>
        <w:pStyle w:val="Normal"/>
        <w:ind w:firstLine="284"/>
        <w:jc w:val="both"/>
        <w:rPr/>
      </w:pPr>
      <w:r>
        <w:rPr/>
        <w:t>4.2.6. Трансформаторная подстанция - электроустановка, предназначенная для приема, преобразования и распределения энергии и состоящая из трансформаторов, РУ, устройств управления, технологических и вспомогательных сооружений.</w:t>
      </w:r>
    </w:p>
    <w:p>
      <w:pPr>
        <w:pStyle w:val="Normal"/>
        <w:ind w:firstLine="284"/>
        <w:jc w:val="both"/>
        <w:rPr/>
      </w:pPr>
      <w:r>
        <w:rPr/>
        <w:t>4.2.7. Пристроенная ПС (РУ) - ПС (РУ), непосредственно примыкающая к основному зданию электростанции или промышленного предприятия.</w:t>
      </w:r>
    </w:p>
    <w:p>
      <w:pPr>
        <w:pStyle w:val="Normal"/>
        <w:ind w:firstLine="284"/>
        <w:jc w:val="both"/>
        <w:rPr/>
      </w:pPr>
      <w:r>
        <w:rPr/>
        <w:t>4.2.8. Встроенная ПС (РУ) - ПС (РУ), занимающая часть здания.</w:t>
      </w:r>
    </w:p>
    <w:p>
      <w:pPr>
        <w:pStyle w:val="Normal"/>
        <w:ind w:firstLine="284"/>
        <w:jc w:val="both"/>
        <w:rPr/>
      </w:pPr>
      <w:r>
        <w:rPr/>
        <w:t>4.2.9. Внутрицеховая ПС (РУ) - ПС (РУ), расположенная внутри цеха открыто (без ограждения), за сетчатым ограждением, в отдельном помещении.</w:t>
      </w:r>
    </w:p>
    <w:p>
      <w:pPr>
        <w:pStyle w:val="Normal"/>
        <w:ind w:firstLine="284"/>
        <w:jc w:val="both"/>
        <w:rPr/>
      </w:pPr>
      <w:r>
        <w:rPr/>
        <w:t>4.2.10. Комплектная трансформаторная ПС (КТП) - ПС, состоящая из трансформаторов, блоков (КРУ и КРУН) и других элементов, поставляемых в собранном или полностью подготовленном на заводе-изготовителе к сборке виде.</w:t>
      </w:r>
    </w:p>
    <w:p>
      <w:pPr>
        <w:pStyle w:val="Normal"/>
        <w:ind w:firstLine="284"/>
        <w:jc w:val="both"/>
        <w:rPr/>
      </w:pPr>
      <w:r>
        <w:rPr/>
        <w:t>4.2.11. Столбовая трансформаторная ПС (СТП) - открытая трансформаторная ПС, все оборудование которой установлено на одностоечной опоре ВЛ на высоте, не требующей ограждения ПС.</w:t>
      </w:r>
    </w:p>
    <w:p>
      <w:pPr>
        <w:pStyle w:val="Normal"/>
        <w:ind w:firstLine="284"/>
        <w:jc w:val="both"/>
        <w:rPr/>
      </w:pPr>
      <w:r>
        <w:rP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pPr>
        <w:pStyle w:val="Normal"/>
        <w:ind w:firstLine="284"/>
        <w:jc w:val="both"/>
        <w:rPr/>
      </w:pPr>
      <w:r>
        <w:rPr/>
        <w:t>4.2.12. Распределительный пункт - РУ 6 - 500 кВ с аппаратурой для управления его работой, не входящее в состав ПС.</w:t>
      </w:r>
    </w:p>
    <w:p>
      <w:pPr>
        <w:pStyle w:val="Normal"/>
        <w:ind w:firstLine="284"/>
        <w:jc w:val="both"/>
        <w:rPr/>
      </w:pPr>
      <w:r>
        <w:rPr/>
        <w:t>4.2.13. Секционирующий пункт - пункт, предназначенный для секционирования (с автоматическим или ручным управлением) участка линий 6 - 20 кВ.</w:t>
      </w:r>
    </w:p>
    <w:p>
      <w:pPr>
        <w:pStyle w:val="Normal"/>
        <w:ind w:firstLine="284"/>
        <w:jc w:val="both"/>
        <w:rPr/>
      </w:pPr>
      <w:r>
        <w:rPr/>
        <w:t>4.2.14. Камера - помещение, предназначенное для установки аппаратов, трансформаторов и шин.</w:t>
      </w:r>
    </w:p>
    <w:p>
      <w:pPr>
        <w:pStyle w:val="Normal"/>
        <w:ind w:firstLine="284"/>
        <w:jc w:val="both"/>
        <w:rPr/>
      </w:pPr>
      <w:r>
        <w:rPr/>
        <w:t>Закрытая камера - камера, закрытая со всех сторон и имеющая сплошные (не сетчатые) двери.</w:t>
      </w:r>
    </w:p>
    <w:p>
      <w:pPr>
        <w:pStyle w:val="Normal"/>
        <w:ind w:firstLine="284"/>
        <w:jc w:val="both"/>
        <w:rPr/>
      </w:pPr>
      <w:r>
        <w:rPr/>
        <w:t>Огражденная камера - камера, которая имеет проемы, защищенные полностью или частично несплошными (сетчатыми или смешанными) ограждениями.</w:t>
      </w:r>
    </w:p>
    <w:p>
      <w:pPr>
        <w:pStyle w:val="Normal"/>
        <w:ind w:firstLine="284"/>
        <w:jc w:val="both"/>
        <w:rPr/>
      </w:pPr>
      <w:r>
        <w:rPr/>
        <w:t>4.2.15. Биологическая защита - комплекс мероприятий и устройств для защиты людей от вредного влияния электрического и магнитного полей.</w:t>
      </w:r>
    </w:p>
    <w:p>
      <w:pPr>
        <w:pStyle w:val="Normal"/>
        <w:ind w:firstLine="284"/>
        <w:jc w:val="both"/>
        <w:rPr/>
      </w:pPr>
      <w:r>
        <w:rPr/>
        <w:t>4.2.16. Здание вспомогательного назначения (ЗВН) - здание, состоящее из помещений, необходимых для организации и проведения работ по техническому обслуживанию и ремонту оборудования ПС.</w:t>
      </w:r>
    </w:p>
    <w:p>
      <w:pPr>
        <w:pStyle w:val="Heading3"/>
        <w:rPr/>
      </w:pPr>
      <w:r>
        <w:rPr/>
        <w:t>ОБЩИЕ ТРЕБОВАНИЯ</w:t>
      </w:r>
    </w:p>
    <w:p>
      <w:pPr>
        <w:pStyle w:val="Normal"/>
        <w:ind w:firstLine="284"/>
        <w:jc w:val="both"/>
        <w:rPr/>
      </w:pPr>
      <w:r>
        <w:rPr/>
        <w:t>4.2.17.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pPr>
        <w:pStyle w:val="Normal"/>
        <w:ind w:firstLine="284"/>
        <w:jc w:val="both"/>
        <w:rPr/>
      </w:pPr>
      <w:r>
        <w:rPr/>
        <w:t>1) 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(КЗ) или замыканию на землю;</w:t>
      </w:r>
    </w:p>
    <w:p>
      <w:pPr>
        <w:pStyle w:val="Normal"/>
        <w:ind w:firstLine="284"/>
        <w:jc w:val="both"/>
        <w:rPr/>
      </w:pPr>
      <w:r>
        <w:rPr/>
        <w:t>2) при нарушении нормальных условий работы электроустановки была обеспечена необходимая локализация повреждений, обусловленных действием КЗ;</w:t>
      </w:r>
    </w:p>
    <w:p>
      <w:pPr>
        <w:pStyle w:val="Normal"/>
        <w:ind w:firstLine="284"/>
        <w:jc w:val="both"/>
        <w:rPr/>
      </w:pPr>
      <w:r>
        <w:rPr/>
        <w:t>3) при снятом напряжении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pPr>
        <w:pStyle w:val="Normal"/>
        <w:ind w:firstLine="284"/>
        <w:jc w:val="both"/>
        <w:rPr/>
      </w:pPr>
      <w:r>
        <w:rPr/>
        <w:t>4) была обеспечена возможность удобного транспортирования оборудования.</w:t>
      </w:r>
    </w:p>
    <w:p>
      <w:pPr>
        <w:pStyle w:val="Normal"/>
        <w:ind w:firstLine="284"/>
        <w:jc w:val="both"/>
        <w:rPr/>
      </w:pPr>
      <w:r>
        <w:rPr/>
        <w:t>4.2.18.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p>
    <w:p>
      <w:pPr>
        <w:pStyle w:val="Normal"/>
        <w:ind w:firstLine="284"/>
        <w:jc w:val="both"/>
        <w:rPr/>
      </w:pPr>
      <w:r>
        <w:rPr/>
        <w:t>1) разъединителями и отделителями напряжением 110 - 500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табл. 4.2.1;</w:t>
      </w:r>
    </w:p>
    <w:p>
      <w:pPr>
        <w:pStyle w:val="Normal"/>
        <w:ind w:firstLine="284"/>
        <w:jc w:val="both"/>
        <w:rPr/>
      </w:pPr>
      <w:r>
        <w:rPr/>
        <w:t>2) разъединителями и отделителями напряжением 110, 150, 220 кВ при их внутренней установке со стандартными расстояниями между осями полюсов соответственно 2; 2,5 и 3,5 м допускается отключать и включать токи холостого хода силовых (авто) трансформаторов при глухозаземленной нейтрали соответственно не более 4,2 и 2 А, а также зарядные токи присоединений не более 1,5 А;</w:t>
      </w:r>
    </w:p>
    <w:p>
      <w:pPr>
        <w:pStyle w:val="Normal"/>
        <w:ind w:firstLine="284"/>
        <w:jc w:val="both"/>
        <w:rPr/>
      </w:pPr>
      <w:r>
        <w:rPr/>
        <w:t xml:space="preserve">3) указанные на рис. 4.2.1. расстояния по горизонтали </w:t>
      </w:r>
      <w:r>
        <w:rPr>
          <w:i/>
          <w:iCs/>
        </w:rPr>
        <w:t>а</w:t>
      </w:r>
      <w:r>
        <w:rPr/>
        <w:t xml:space="preserve">, </w:t>
      </w:r>
      <w:r>
        <w:rPr>
          <w:i/>
          <w:iCs/>
        </w:rPr>
        <w:t>б</w:t>
      </w:r>
      <w:r>
        <w:rPr/>
        <w:t xml:space="preserve">, </w:t>
      </w:r>
      <w:r>
        <w:rPr>
          <w:i/>
          <w:iCs/>
        </w:rPr>
        <w:t>в</w:t>
      </w:r>
      <w:r>
        <w:rPr/>
        <w:t xml:space="preserve">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w:t>
      </w:r>
      <w:r>
        <w:rPr>
          <w:i/>
          <w:iCs/>
        </w:rPr>
        <w:t>д</w:t>
      </w:r>
      <w:r>
        <w:rPr/>
        <w:t xml:space="preserve">, указанных в табл. 4.2.1 и 4.2.2. Эти требования к расстояниям </w:t>
      </w:r>
      <w:r>
        <w:rPr>
          <w:i/>
          <w:iCs/>
        </w:rPr>
        <w:t>а</w:t>
      </w:r>
      <w:r>
        <w:rPr/>
        <w:t xml:space="preserve">, </w:t>
      </w:r>
      <w:r>
        <w:rPr>
          <w:i/>
          <w:iCs/>
        </w:rPr>
        <w:t>б</w:t>
      </w:r>
      <w:r>
        <w:rPr/>
        <w:t xml:space="preserve">, </w:t>
      </w:r>
      <w:r>
        <w:rPr>
          <w:i/>
          <w:iCs/>
        </w:rPr>
        <w:t>в</w:t>
      </w:r>
      <w:r>
        <w:rPr/>
        <w:t xml:space="preserve"> по рис. 4.2.1 применимы и к разъединителям и отделителям напряжением 110 - 220 кВ при их внутренней установке по п. 2.</w:t>
      </w:r>
    </w:p>
    <w:p>
      <w:pPr>
        <w:pStyle w:val="Normal"/>
        <w:ind w:firstLine="284"/>
        <w:jc w:val="both"/>
        <w:rPr/>
      </w:pPr>
      <w:r>
        <w:rPr/>
        <w:t xml:space="preserve">Расстояния по вертикали </w:t>
      </w:r>
      <w:r>
        <w:rPr>
          <w:i/>
          <w:iCs/>
        </w:rPr>
        <w:t>г</w:t>
      </w:r>
      <w:r>
        <w:rPr/>
        <w:t xml:space="preserve"> от концов вертикально-рубящих (ВР) и ГП подвижных контактов до заземленных и токоведущих частей должны быть на 0,5 м больше расстояний </w:t>
      </w:r>
      <w:r>
        <w:rPr>
          <w:i/>
          <w:iCs/>
        </w:rPr>
        <w:t>д</w:t>
      </w:r>
      <w:r>
        <w:rPr/>
        <w:t>;</w:t>
      </w:r>
    </w:p>
    <w:p>
      <w:pPr>
        <w:pStyle w:val="Normal"/>
        <w:ind w:firstLine="284"/>
        <w:jc w:val="both"/>
        <w:rPr/>
      </w:pPr>
      <w:r>
        <w:rP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табл. 4.2.2 (см. рис. 4.2.1) и табл. 4.2.3 (рис. 4.2.2, </w:t>
      </w:r>
      <w:r>
        <w:rPr>
          <w:i/>
          <w:iCs/>
        </w:rPr>
        <w:t>а</w:t>
      </w:r>
      <w:r>
        <w:rPr/>
        <w:t xml:space="preserve"> и </w:t>
      </w:r>
      <w:r>
        <w:rPr>
          <w:i/>
          <w:iCs/>
        </w:rPr>
        <w:t>б</w:t>
      </w:r>
      <w:r>
        <w:rPr/>
        <w:t>).</w:t>
      </w:r>
    </w:p>
    <w:p>
      <w:pPr>
        <w:pStyle w:val="Normal"/>
        <w:ind w:firstLine="284"/>
        <w:jc w:val="both"/>
        <w:rPr/>
      </w:pPr>
      <w:r>
        <w:rPr/>
        <w:t xml:space="preserve">Размеры изолирующих перегородок для стандартных трехполюсных разъединителей приведены в табл. 4.2.4 в соответствии с рис. 4.2.2, </w:t>
      </w:r>
      <w:r>
        <w:rPr>
          <w:i/>
          <w:iCs/>
        </w:rPr>
        <w:t>а</w:t>
      </w:r>
      <w:r>
        <w:rPr/>
        <w:t xml:space="preserve"> и </w:t>
      </w:r>
      <w:r>
        <w:rPr>
          <w:i/>
          <w:iCs/>
        </w:rPr>
        <w:t>б</w:t>
      </w:r>
      <w:r>
        <w:rPr/>
        <w:t>;</w:t>
      </w:r>
    </w:p>
    <w:p>
      <w:pPr>
        <w:pStyle w:val="Normal"/>
        <w:ind w:firstLine="284"/>
        <w:jc w:val="both"/>
        <w:rPr/>
      </w:pPr>
      <w:r>
        <w:rP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p>
    <w:p>
      <w:pPr>
        <w:pStyle w:val="Normal"/>
        <w:ind w:firstLine="284"/>
        <w:jc w:val="both"/>
        <w:rPr/>
      </w:pPr>
      <w:r>
        <w:rPr/>
        <w:t>Ошиновку из жестких шин выполнять так, чтобы на расстоянии в (см. рис. 4.2.1)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pPr>
        <w:pStyle w:val="Normal"/>
        <w:ind w:firstLine="284"/>
        <w:jc w:val="both"/>
        <w:rPr/>
      </w:pPr>
      <w:r>
        <w:rP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p>
    <w:p>
      <w:pPr>
        <w:pStyle w:val="Normal"/>
        <w:ind w:firstLine="284"/>
        <w:jc w:val="both"/>
        <w:rPr/>
      </w:pPr>
      <w:r>
        <w:rPr/>
        <w:t>7) приводы трехполюсных разъединителей 6 - 35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pPr>
        <w:pStyle w:val="Normal"/>
        <w:ind w:firstLine="284"/>
        <w:jc w:val="both"/>
        <w:rPr/>
      </w:pPr>
      <w:r>
        <w:rPr/>
        <w:t>8) в электроустановках напряжением 35, 110, 150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190750" cy="2713990"/>
            <wp:effectExtent l="0" t="0" r="0" b="0"/>
            <wp:docPr id="72" name="image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066" descr=""/>
                    <pic:cNvPicPr>
                      <a:picLocks noChangeAspect="1" noChangeArrowheads="1"/>
                    </pic:cNvPicPr>
                  </pic:nvPicPr>
                  <pic:blipFill>
                    <a:blip r:embed="rId80"/>
                    <a:srcRect l="-16" t="-13" r="-16" b="-13"/>
                    <a:stretch>
                      <a:fillRect/>
                    </a:stretch>
                  </pic:blipFill>
                  <pic:spPr bwMode="auto">
                    <a:xfrm>
                      <a:off x="0" y="0"/>
                      <a:ext cx="2190750" cy="2713990"/>
                    </a:xfrm>
                    <a:prstGeom prst="rect">
                      <a:avLst/>
                    </a:prstGeom>
                  </pic:spPr>
                </pic:pic>
              </a:graphicData>
            </a:graphic>
          </wp:inline>
        </w:drawing>
      </w:r>
    </w:p>
    <w:p>
      <w:pPr>
        <w:pStyle w:val="TextBody"/>
        <w:rPr/>
      </w:pPr>
      <w:r>
        <w:rPr/>
        <w:t>Рис. 4.2.1. Границы расположения открытых подвижных контактов разъединителя (отделителя) по отношению к заземленным и токоведущим частям</w:t>
      </w:r>
    </w:p>
    <w:p>
      <w:pPr>
        <w:pStyle w:val="Normal"/>
        <w:spacing w:before="0" w:after="120"/>
        <w:jc w:val="right"/>
        <w:rPr/>
      </w:pPr>
      <w:r>
        <w:rPr>
          <w:spacing w:val="40"/>
        </w:rPr>
        <w:t>Таблица</w:t>
      </w:r>
      <w:r>
        <w:rPr/>
        <w:t xml:space="preserve"> 4.2.1</w:t>
      </w:r>
    </w:p>
    <w:p>
      <w:pPr>
        <w:pStyle w:val="Normal"/>
        <w:spacing w:before="0" w:after="120"/>
        <w:jc w:val="center"/>
        <w:rPr>
          <w:b/>
          <w:b/>
          <w:bCs/>
        </w:rPr>
      </w:pPr>
      <w:r>
        <w:rPr>
          <w:b/>
          <w:bCs/>
        </w:rPr>
        <w:t>Наибольшие токи холостого хода и зарядные токи, отключаемые и включаемые разъединителями и отделителями 110 - 500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797"/>
        <w:gridCol w:w="1661"/>
        <w:gridCol w:w="2478"/>
        <w:gridCol w:w="1699"/>
        <w:gridCol w:w="1720"/>
      </w:tblGrid>
      <w:tr>
        <w:trPr>
          <w:tblHeader w:val="true"/>
        </w:trPr>
        <w:tc>
          <w:tcPr>
            <w:tcW w:w="1797"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кВ</w:t>
            </w:r>
          </w:p>
        </w:tc>
        <w:tc>
          <w:tcPr>
            <w:tcW w:w="166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Тип отделителя, разъединителя</w:t>
            </w:r>
          </w:p>
        </w:tc>
        <w:tc>
          <w:tcPr>
            <w:tcW w:w="2478"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между осями полюсов, м (рис. 4.2.1)</w:t>
            </w:r>
          </w:p>
        </w:tc>
        <w:tc>
          <w:tcPr>
            <w:tcW w:w="3419"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Ток, А, не более</w:t>
            </w:r>
          </w:p>
        </w:tc>
      </w:tr>
      <w:tr>
        <w:trPr>
          <w:tblHeader w:val="true"/>
        </w:trPr>
        <w:tc>
          <w:tcPr>
            <w:tcW w:w="1797"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699"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холостого хода</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зарядный</w:t>
            </w:r>
          </w:p>
        </w:tc>
      </w:tr>
      <w:tr>
        <w:trPr/>
        <w:tc>
          <w:tcPr>
            <w:tcW w:w="1797"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110</w:t>
            </w:r>
          </w:p>
        </w:tc>
        <w:tc>
          <w:tcPr>
            <w:tcW w:w="1661"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ВР</w:t>
            </w:r>
          </w:p>
        </w:tc>
        <w:tc>
          <w:tcPr>
            <w:tcW w:w="2478" w:type="dxa"/>
            <w:tcBorders>
              <w:left w:val="single" w:sz="8" w:space="0" w:color="000000"/>
            </w:tcBorders>
            <w:shd w:fill="FFFFFF" w:val="clear"/>
            <w:tcMar>
              <w:left w:w="0" w:type="dxa"/>
              <w:right w:w="0" w:type="dxa"/>
            </w:tcMar>
          </w:tcPr>
          <w:p>
            <w:pPr>
              <w:pStyle w:val="Normal"/>
              <w:jc w:val="center"/>
              <w:rPr/>
            </w:pPr>
            <w:r>
              <w:rPr/>
              <w:t>2,0</w:t>
            </w:r>
          </w:p>
        </w:tc>
        <w:tc>
          <w:tcPr>
            <w:tcW w:w="1699" w:type="dxa"/>
            <w:tcBorders>
              <w:left w:val="single" w:sz="8" w:space="0" w:color="000000"/>
            </w:tcBorders>
            <w:shd w:fill="FFFFFF" w:val="clear"/>
            <w:tcMar>
              <w:left w:w="0" w:type="dxa"/>
              <w:right w:w="0" w:type="dxa"/>
            </w:tcMar>
          </w:tcPr>
          <w:p>
            <w:pPr>
              <w:pStyle w:val="Normal"/>
              <w:jc w:val="center"/>
              <w:rPr/>
            </w:pPr>
            <w:r>
              <w:rPr/>
              <w:t>6,0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2,5</w:t>
            </w:r>
          </w:p>
        </w:tc>
        <w:tc>
          <w:tcPr>
            <w:tcW w:w="1699" w:type="dxa"/>
            <w:tcBorders>
              <w:left w:val="single" w:sz="8" w:space="0" w:color="000000"/>
            </w:tcBorders>
            <w:shd w:fill="FFFFFF" w:val="clear"/>
            <w:tcMar>
              <w:left w:w="0" w:type="dxa"/>
              <w:right w:w="0" w:type="dxa"/>
            </w:tcMar>
          </w:tcPr>
          <w:p>
            <w:pPr>
              <w:pStyle w:val="Normal"/>
              <w:jc w:val="center"/>
              <w:rPr/>
            </w:pPr>
            <w:r>
              <w:rPr/>
              <w:t>7,0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3,0</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ГП</w:t>
            </w:r>
          </w:p>
        </w:tc>
        <w:tc>
          <w:tcPr>
            <w:tcW w:w="2478" w:type="dxa"/>
            <w:tcBorders>
              <w:left w:val="single" w:sz="8" w:space="0" w:color="000000"/>
            </w:tcBorders>
            <w:shd w:fill="FFFFFF" w:val="clear"/>
            <w:tcMar>
              <w:left w:w="0" w:type="dxa"/>
              <w:right w:w="0" w:type="dxa"/>
            </w:tcMar>
          </w:tcPr>
          <w:p>
            <w:pPr>
              <w:pStyle w:val="Normal"/>
              <w:jc w:val="center"/>
              <w:rPr/>
            </w:pPr>
            <w:r>
              <w:rPr/>
              <w:t>2,0</w:t>
            </w:r>
          </w:p>
        </w:tc>
        <w:tc>
          <w:tcPr>
            <w:tcW w:w="1699" w:type="dxa"/>
            <w:tcBorders>
              <w:left w:val="single" w:sz="8" w:space="0" w:color="000000"/>
            </w:tcBorders>
            <w:shd w:fill="FFFFFF" w:val="clear"/>
            <w:tcMar>
              <w:left w:w="0" w:type="dxa"/>
              <w:right w:w="0" w:type="dxa"/>
            </w:tcMar>
          </w:tcPr>
          <w:p>
            <w:pPr>
              <w:pStyle w:val="Normal"/>
              <w:jc w:val="center"/>
              <w:rPr/>
            </w:pPr>
            <w:r>
              <w:rPr/>
              <w:t>4,0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2,5</w:t>
            </w:r>
          </w:p>
        </w:tc>
        <w:tc>
          <w:tcPr>
            <w:tcW w:w="1699" w:type="dxa"/>
            <w:tcBorders>
              <w:left w:val="single" w:sz="8" w:space="0" w:color="000000"/>
            </w:tcBorders>
            <w:shd w:fill="FFFFFF" w:val="clear"/>
            <w:tcMar>
              <w:left w:w="0" w:type="dxa"/>
              <w:right w:w="0" w:type="dxa"/>
            </w:tcMar>
          </w:tcPr>
          <w:p>
            <w:pPr>
              <w:pStyle w:val="Normal"/>
              <w:jc w:val="center"/>
              <w:rPr/>
            </w:pPr>
            <w:r>
              <w:rPr/>
              <w:t>6,0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3,0</w:t>
            </w:r>
          </w:p>
        </w:tc>
        <w:tc>
          <w:tcPr>
            <w:tcW w:w="1699" w:type="dxa"/>
            <w:tcBorders>
              <w:left w:val="single" w:sz="8" w:space="0" w:color="000000"/>
            </w:tcBorders>
            <w:shd w:fill="FFFFFF" w:val="clear"/>
            <w:tcMar>
              <w:left w:w="0" w:type="dxa"/>
              <w:right w:w="0" w:type="dxa"/>
            </w:tcMar>
          </w:tcPr>
          <w:p>
            <w:pPr>
              <w:pStyle w:val="Normal"/>
              <w:jc w:val="center"/>
              <w:rPr/>
            </w:pPr>
            <w:r>
              <w:rPr/>
              <w:t>8,0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3,5</w:t>
            </w:r>
          </w:p>
        </w:tc>
      </w:tr>
      <w:tr>
        <w:trPr/>
        <w:tc>
          <w:tcPr>
            <w:tcW w:w="1797"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150</w:t>
            </w:r>
          </w:p>
        </w:tc>
        <w:tc>
          <w:tcPr>
            <w:tcW w:w="1661"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ВР</w:t>
            </w:r>
          </w:p>
        </w:tc>
        <w:tc>
          <w:tcPr>
            <w:tcW w:w="2478" w:type="dxa"/>
            <w:tcBorders>
              <w:left w:val="single" w:sz="8" w:space="0" w:color="000000"/>
            </w:tcBorders>
            <w:shd w:fill="FFFFFF" w:val="clear"/>
            <w:tcMar>
              <w:left w:w="0" w:type="dxa"/>
              <w:right w:w="0" w:type="dxa"/>
            </w:tcMar>
          </w:tcPr>
          <w:p>
            <w:pPr>
              <w:pStyle w:val="Normal"/>
              <w:jc w:val="center"/>
              <w:rPr/>
            </w:pPr>
            <w:r>
              <w:rPr/>
              <w:t>2,5</w:t>
            </w:r>
          </w:p>
        </w:tc>
        <w:tc>
          <w:tcPr>
            <w:tcW w:w="1699" w:type="dxa"/>
            <w:tcBorders>
              <w:left w:val="single" w:sz="8" w:space="0" w:color="000000"/>
            </w:tcBorders>
            <w:shd w:fill="FFFFFF" w:val="clear"/>
            <w:tcMar>
              <w:left w:w="0" w:type="dxa"/>
              <w:right w:w="0" w:type="dxa"/>
            </w:tcMar>
          </w:tcPr>
          <w:p>
            <w:pPr>
              <w:pStyle w:val="Normal"/>
              <w:jc w:val="center"/>
              <w:rPr/>
            </w:pPr>
            <w:r>
              <w:rPr/>
              <w:t>2,3</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2,7</w:t>
            </w:r>
          </w:p>
        </w:tc>
        <w:tc>
          <w:tcPr>
            <w:tcW w:w="1699" w:type="dxa"/>
            <w:tcBorders>
              <w:left w:val="single" w:sz="8" w:space="0" w:color="000000"/>
            </w:tcBorders>
            <w:shd w:fill="FFFFFF" w:val="clear"/>
            <w:tcMar>
              <w:left w:w="0" w:type="dxa"/>
              <w:right w:w="0" w:type="dxa"/>
            </w:tcMar>
          </w:tcPr>
          <w:p>
            <w:pPr>
              <w:pStyle w:val="Normal"/>
              <w:jc w:val="center"/>
              <w:rPr/>
            </w:pPr>
            <w:r>
              <w:rPr/>
              <w:t>4,0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3,0</w:t>
            </w:r>
          </w:p>
        </w:tc>
        <w:tc>
          <w:tcPr>
            <w:tcW w:w="1699" w:type="dxa"/>
            <w:tcBorders>
              <w:left w:val="single" w:sz="8" w:space="0" w:color="000000"/>
            </w:tcBorders>
            <w:shd w:fill="FFFFFF" w:val="clear"/>
            <w:tcMar>
              <w:left w:w="0" w:type="dxa"/>
              <w:right w:w="0" w:type="dxa"/>
            </w:tcMar>
          </w:tcPr>
          <w:p>
            <w:pPr>
              <w:pStyle w:val="Normal"/>
              <w:jc w:val="center"/>
              <w:rPr/>
            </w:pPr>
            <w:r>
              <w:rPr/>
              <w:t>6,0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3,4</w:t>
            </w:r>
          </w:p>
        </w:tc>
        <w:tc>
          <w:tcPr>
            <w:tcW w:w="1699" w:type="dxa"/>
            <w:tcBorders>
              <w:left w:val="single" w:sz="8" w:space="0" w:color="000000"/>
            </w:tcBorders>
            <w:shd w:fill="FFFFFF" w:val="clear"/>
            <w:tcMar>
              <w:left w:w="0" w:type="dxa"/>
              <w:right w:w="0" w:type="dxa"/>
            </w:tcMar>
          </w:tcPr>
          <w:p>
            <w:pPr>
              <w:pStyle w:val="Normal"/>
              <w:jc w:val="center"/>
              <w:rPr/>
            </w:pPr>
            <w:r>
              <w:rPr/>
              <w:t>7,6</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4,0</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ГП</w:t>
            </w:r>
          </w:p>
        </w:tc>
        <w:tc>
          <w:tcPr>
            <w:tcW w:w="2478" w:type="dxa"/>
            <w:tcBorders>
              <w:left w:val="single" w:sz="8" w:space="0" w:color="000000"/>
            </w:tcBorders>
            <w:shd w:fill="FFFFFF" w:val="clear"/>
            <w:tcMar>
              <w:left w:w="0" w:type="dxa"/>
              <w:right w:w="0" w:type="dxa"/>
            </w:tcMar>
          </w:tcPr>
          <w:p>
            <w:pPr>
              <w:pStyle w:val="Normal"/>
              <w:jc w:val="center"/>
              <w:rPr/>
            </w:pPr>
            <w:r>
              <w:rPr/>
              <w:t>3,0</w:t>
            </w:r>
          </w:p>
        </w:tc>
        <w:tc>
          <w:tcPr>
            <w:tcW w:w="1699" w:type="dxa"/>
            <w:tcBorders>
              <w:left w:val="single" w:sz="8" w:space="0" w:color="000000"/>
            </w:tcBorders>
            <w:shd w:fill="FFFFFF" w:val="clear"/>
            <w:tcMar>
              <w:left w:w="0" w:type="dxa"/>
              <w:right w:w="0" w:type="dxa"/>
            </w:tcMar>
          </w:tcPr>
          <w:p>
            <w:pPr>
              <w:pStyle w:val="Normal"/>
              <w:jc w:val="center"/>
              <w:rPr/>
            </w:pPr>
            <w:r>
              <w:rPr/>
              <w:t>2,3</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3,7</w:t>
            </w:r>
          </w:p>
        </w:tc>
        <w:tc>
          <w:tcPr>
            <w:tcW w:w="1699" w:type="dxa"/>
            <w:tcBorders>
              <w:left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4,0</w:t>
            </w:r>
          </w:p>
        </w:tc>
        <w:tc>
          <w:tcPr>
            <w:tcW w:w="1699" w:type="dxa"/>
            <w:tcBorders>
              <w:left w:val="single" w:sz="8" w:space="0" w:color="000000"/>
            </w:tcBorders>
            <w:shd w:fill="FFFFFF" w:val="clear"/>
            <w:tcMar>
              <w:left w:w="0" w:type="dxa"/>
              <w:right w:w="0" w:type="dxa"/>
            </w:tcMar>
          </w:tcPr>
          <w:p>
            <w:pPr>
              <w:pStyle w:val="Normal"/>
              <w:jc w:val="center"/>
              <w:rPr/>
            </w:pPr>
            <w:r>
              <w:rPr/>
              <w:t>5,5</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4,4</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1797"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220</w:t>
            </w:r>
          </w:p>
        </w:tc>
        <w:tc>
          <w:tcPr>
            <w:tcW w:w="1661"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ВР</w:t>
            </w:r>
          </w:p>
        </w:tc>
        <w:tc>
          <w:tcPr>
            <w:tcW w:w="2478" w:type="dxa"/>
            <w:tcBorders>
              <w:left w:val="single" w:sz="8" w:space="0" w:color="000000"/>
            </w:tcBorders>
            <w:shd w:fill="FFFFFF" w:val="clear"/>
            <w:tcMar>
              <w:left w:w="0" w:type="dxa"/>
              <w:right w:w="0" w:type="dxa"/>
            </w:tcMar>
          </w:tcPr>
          <w:p>
            <w:pPr>
              <w:pStyle w:val="Normal"/>
              <w:jc w:val="center"/>
              <w:rPr/>
            </w:pPr>
            <w:r>
              <w:rPr/>
              <w:t>3,5</w:t>
            </w:r>
          </w:p>
        </w:tc>
        <w:tc>
          <w:tcPr>
            <w:tcW w:w="1699" w:type="dxa"/>
            <w:tcBorders>
              <w:left w:val="single" w:sz="8" w:space="0" w:color="000000"/>
            </w:tcBorders>
            <w:shd w:fill="FFFFFF" w:val="clear"/>
            <w:tcMar>
              <w:left w:w="0" w:type="dxa"/>
              <w:right w:w="0" w:type="dxa"/>
            </w:tcMar>
          </w:tcPr>
          <w:p>
            <w:pPr>
              <w:pStyle w:val="Normal"/>
              <w:jc w:val="center"/>
              <w:rPr/>
            </w:pPr>
            <w:r>
              <w:rPr/>
              <w:t>3,0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4,0</w:t>
            </w:r>
          </w:p>
        </w:tc>
        <w:tc>
          <w:tcPr>
            <w:tcW w:w="1699" w:type="dxa"/>
            <w:tcBorders>
              <w:left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4,5</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restart"/>
            <w:tcBorders>
              <w:left w:val="single" w:sz="8" w:space="0" w:color="000000"/>
            </w:tcBorders>
            <w:shd w:fill="FFFFFF" w:val="clear"/>
            <w:vAlign w:val="center"/>
          </w:tcPr>
          <w:p>
            <w:pPr>
              <w:pStyle w:val="Normal"/>
              <w:jc w:val="center"/>
              <w:rPr/>
            </w:pPr>
            <w:r>
              <w:rPr/>
              <w:t>ГП</w:t>
            </w:r>
          </w:p>
        </w:tc>
        <w:tc>
          <w:tcPr>
            <w:tcW w:w="2478" w:type="dxa"/>
            <w:tcBorders>
              <w:left w:val="single" w:sz="8" w:space="0" w:color="000000"/>
            </w:tcBorders>
            <w:shd w:fill="FFFFFF" w:val="clear"/>
            <w:tcMar>
              <w:left w:w="0" w:type="dxa"/>
              <w:right w:w="0" w:type="dxa"/>
            </w:tcMar>
          </w:tcPr>
          <w:p>
            <w:pPr>
              <w:pStyle w:val="Normal"/>
              <w:jc w:val="center"/>
              <w:rPr/>
            </w:pPr>
            <w:r>
              <w:rPr/>
              <w:t>3,5</w:t>
            </w:r>
          </w:p>
        </w:tc>
        <w:tc>
          <w:tcPr>
            <w:tcW w:w="1699" w:type="dxa"/>
            <w:tcBorders>
              <w:left w:val="single" w:sz="8" w:space="0" w:color="000000"/>
            </w:tcBorders>
            <w:shd w:fill="FFFFFF" w:val="clear"/>
            <w:tcMar>
              <w:left w:w="0" w:type="dxa"/>
              <w:right w:w="0" w:type="dxa"/>
            </w:tcMar>
          </w:tcPr>
          <w:p>
            <w:pPr>
              <w:pStyle w:val="Normal"/>
              <w:jc w:val="center"/>
              <w:rPr/>
            </w:pPr>
            <w:r>
              <w:rPr/>
              <w:t>3,0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tcBorders>
            <w:shd w:fill="FFFFFF" w:val="clear"/>
            <w:vAlign w:val="center"/>
          </w:tcPr>
          <w:p>
            <w:pPr>
              <w:pStyle w:val="Normal"/>
              <w:snapToGrid w:val="false"/>
              <w:rPr/>
            </w:pPr>
            <w:r>
              <w:rPr/>
            </w:r>
          </w:p>
        </w:tc>
        <w:tc>
          <w:tcPr>
            <w:tcW w:w="2478" w:type="dxa"/>
            <w:tcBorders>
              <w:left w:val="single" w:sz="8" w:space="0" w:color="000000"/>
            </w:tcBorders>
            <w:shd w:fill="FFFFFF" w:val="clear"/>
          </w:tcPr>
          <w:p>
            <w:pPr>
              <w:pStyle w:val="Normal"/>
              <w:jc w:val="center"/>
              <w:rPr/>
            </w:pPr>
            <w:r>
              <w:rPr/>
              <w:t>4,0</w:t>
            </w:r>
          </w:p>
        </w:tc>
        <w:tc>
          <w:tcPr>
            <w:tcW w:w="1699" w:type="dxa"/>
            <w:tcBorders>
              <w:left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vMerge w:val="continue"/>
            <w:tcBorders>
              <w:left w:val="single" w:sz="8" w:space="0" w:color="000000"/>
            </w:tcBorders>
            <w:shd w:fill="FFFFFF" w:val="clear"/>
            <w:vAlign w:val="center"/>
          </w:tcPr>
          <w:p>
            <w:pPr>
              <w:pStyle w:val="Normal"/>
              <w:snapToGrid w:val="false"/>
              <w:rPr/>
            </w:pPr>
            <w:r>
              <w:rPr/>
            </w:r>
          </w:p>
        </w:tc>
        <w:tc>
          <w:tcPr>
            <w:tcW w:w="2478" w:type="dxa"/>
            <w:tcBorders>
              <w:left w:val="single" w:sz="8" w:space="0" w:color="000000"/>
              <w:bottom w:val="single" w:sz="8" w:space="0" w:color="000000"/>
              <w:insideH w:val="single" w:sz="8" w:space="0" w:color="000000"/>
            </w:tcBorders>
            <w:shd w:fill="FFFFFF" w:val="clear"/>
          </w:tcPr>
          <w:p>
            <w:pPr>
              <w:pStyle w:val="Normal"/>
              <w:jc w:val="center"/>
              <w:rPr/>
            </w:pPr>
            <w:r>
              <w:rPr/>
              <w:t>4,5</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330</w:t>
            </w:r>
          </w:p>
        </w:tc>
        <w:tc>
          <w:tcPr>
            <w:tcW w:w="1661" w:type="dxa"/>
            <w:tcBorders>
              <w:top w:val="single" w:sz="8" w:space="0" w:color="000000"/>
              <w:left w:val="single" w:sz="8" w:space="0" w:color="000000"/>
            </w:tcBorders>
            <w:shd w:fill="FFFFFF" w:val="clear"/>
            <w:tcMar>
              <w:left w:w="0" w:type="dxa"/>
              <w:right w:w="0" w:type="dxa"/>
            </w:tcMar>
          </w:tcPr>
          <w:p>
            <w:pPr>
              <w:pStyle w:val="Normal"/>
              <w:jc w:val="center"/>
              <w:rPr/>
            </w:pPr>
            <w:r>
              <w:rPr/>
              <w:t>ГП</w:t>
            </w:r>
          </w:p>
        </w:tc>
        <w:tc>
          <w:tcPr>
            <w:tcW w:w="2478" w:type="dxa"/>
            <w:tcBorders>
              <w:left w:val="single" w:sz="8" w:space="0" w:color="000000"/>
            </w:tcBorders>
            <w:shd w:fill="FFFFFF" w:val="clear"/>
            <w:tcMar>
              <w:left w:w="0" w:type="dxa"/>
              <w:right w:w="0" w:type="dxa"/>
            </w:tcMar>
          </w:tcPr>
          <w:p>
            <w:pPr>
              <w:pStyle w:val="Normal"/>
              <w:jc w:val="center"/>
              <w:rPr/>
            </w:pPr>
            <w:r>
              <w:rPr/>
              <w:t>6,0</w:t>
            </w:r>
          </w:p>
        </w:tc>
        <w:tc>
          <w:tcPr>
            <w:tcW w:w="1699" w:type="dxa"/>
            <w:tcBorders>
              <w:left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tcBorders>
              <w:left w:val="single" w:sz="8" w:space="0" w:color="000000"/>
            </w:tcBorders>
            <w:shd w:fill="FFFFFF" w:val="clear"/>
          </w:tcPr>
          <w:p>
            <w:pPr>
              <w:pStyle w:val="Normal"/>
              <w:jc w:val="center"/>
              <w:rPr/>
            </w:pPr>
            <w:r>
              <w:rPr/>
              <w:t>ПН</w:t>
            </w:r>
          </w:p>
        </w:tc>
        <w:tc>
          <w:tcPr>
            <w:tcW w:w="2478" w:type="dxa"/>
            <w:tcBorders>
              <w:left w:val="single" w:sz="8" w:space="0" w:color="000000"/>
            </w:tcBorders>
            <w:shd w:fill="FFFFFF" w:val="clear"/>
            <w:tcMar>
              <w:left w:w="0" w:type="dxa"/>
              <w:right w:w="0" w:type="dxa"/>
            </w:tcMar>
          </w:tcPr>
          <w:p>
            <w:pPr>
              <w:pStyle w:val="Normal"/>
              <w:jc w:val="center"/>
              <w:rPr/>
            </w:pPr>
            <w:r>
              <w:rPr/>
              <w:t>6,0</w:t>
            </w:r>
          </w:p>
        </w:tc>
        <w:tc>
          <w:tcPr>
            <w:tcW w:w="1699" w:type="dxa"/>
            <w:tcBorders>
              <w:left w:val="single" w:sz="8" w:space="0" w:color="000000"/>
            </w:tcBorders>
            <w:shd w:fill="FFFFFF" w:val="clear"/>
            <w:tcMar>
              <w:left w:w="0" w:type="dxa"/>
              <w:right w:w="0" w:type="dxa"/>
            </w:tcMar>
          </w:tcPr>
          <w:p>
            <w:pPr>
              <w:pStyle w:val="Normal"/>
              <w:jc w:val="center"/>
              <w:rPr/>
            </w:pPr>
            <w:r>
              <w:rPr/>
              <w:t>3,5</w:t>
            </w:r>
          </w:p>
        </w:tc>
        <w:tc>
          <w:tcPr>
            <w:tcW w:w="172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tcBorders>
              <w:left w:val="single" w:sz="8" w:space="0" w:color="000000"/>
              <w:bottom w:val="single" w:sz="8" w:space="0" w:color="000000"/>
              <w:insideH w:val="single" w:sz="8" w:space="0" w:color="000000"/>
            </w:tcBorders>
            <w:shd w:fill="FFFFFF" w:val="clear"/>
          </w:tcPr>
          <w:p>
            <w:pPr>
              <w:pStyle w:val="Normal"/>
              <w:jc w:val="center"/>
              <w:rPr/>
            </w:pPr>
            <w:r>
              <w:rPr/>
              <w:t>ПНЗ</w:t>
            </w:r>
          </w:p>
        </w:tc>
        <w:tc>
          <w:tcPr>
            <w:tcW w:w="24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1797"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500</w:t>
            </w:r>
          </w:p>
        </w:tc>
        <w:tc>
          <w:tcPr>
            <w:tcW w:w="16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ВР</w:t>
            </w:r>
          </w:p>
        </w:tc>
        <w:tc>
          <w:tcPr>
            <w:tcW w:w="24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tcBorders>
              <w:left w:val="single" w:sz="8" w:space="0" w:color="000000"/>
              <w:bottom w:val="single" w:sz="8" w:space="0" w:color="000000"/>
              <w:insideH w:val="single" w:sz="8" w:space="0" w:color="000000"/>
            </w:tcBorders>
            <w:shd w:fill="FFFFFF" w:val="clear"/>
          </w:tcPr>
          <w:p>
            <w:pPr>
              <w:pStyle w:val="Normal"/>
              <w:jc w:val="center"/>
              <w:rPr/>
            </w:pPr>
            <w:r>
              <w:rPr/>
              <w:t>ГП</w:t>
            </w:r>
          </w:p>
        </w:tc>
        <w:tc>
          <w:tcPr>
            <w:tcW w:w="24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tcBorders>
              <w:left w:val="single" w:sz="8" w:space="0" w:color="000000"/>
              <w:bottom w:val="single" w:sz="8" w:space="0" w:color="000000"/>
              <w:insideH w:val="single" w:sz="8" w:space="0" w:color="000000"/>
            </w:tcBorders>
            <w:shd w:fill="FFFFFF" w:val="clear"/>
          </w:tcPr>
          <w:p>
            <w:pPr>
              <w:pStyle w:val="Normal"/>
              <w:jc w:val="center"/>
              <w:rPr/>
            </w:pPr>
            <w:r>
              <w:rPr/>
              <w:t>ПН</w:t>
            </w:r>
          </w:p>
        </w:tc>
        <w:tc>
          <w:tcPr>
            <w:tcW w:w="24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797"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61" w:type="dxa"/>
            <w:tcBorders>
              <w:left w:val="single" w:sz="8" w:space="0" w:color="000000"/>
              <w:bottom w:val="single" w:sz="8" w:space="0" w:color="000000"/>
              <w:insideH w:val="single" w:sz="8" w:space="0" w:color="000000"/>
            </w:tcBorders>
            <w:shd w:fill="FFFFFF" w:val="clear"/>
          </w:tcPr>
          <w:p>
            <w:pPr>
              <w:pStyle w:val="Normal"/>
              <w:jc w:val="center"/>
              <w:rPr/>
            </w:pPr>
            <w:r>
              <w:rPr/>
              <w:t>ПНЗ</w:t>
            </w:r>
          </w:p>
        </w:tc>
        <w:tc>
          <w:tcPr>
            <w:tcW w:w="247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7,5</w:t>
            </w:r>
          </w:p>
        </w:tc>
        <w:tc>
          <w:tcPr>
            <w:tcW w:w="169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5,5</w:t>
            </w:r>
          </w:p>
        </w:tc>
        <w:tc>
          <w:tcPr>
            <w:tcW w:w="172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2,5</w:t>
            </w:r>
          </w:p>
        </w:tc>
      </w:tr>
    </w:tbl>
    <w:p>
      <w:pPr>
        <w:pStyle w:val="Normal"/>
        <w:spacing w:before="120" w:after="0"/>
        <w:ind w:firstLine="284"/>
        <w:jc w:val="both"/>
        <w:rPr/>
      </w:pPr>
      <w:r>
        <w:rPr>
          <w:spacing w:val="40"/>
        </w:rPr>
        <w:t>Примечания</w:t>
      </w:r>
      <w:r>
        <w:rPr/>
        <w:t>: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pPr>
        <w:pStyle w:val="Normal"/>
        <w:ind w:firstLine="284"/>
        <w:jc w:val="both"/>
        <w:rPr/>
      </w:pPr>
      <w:r>
        <w:rP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pPr>
        <w:pStyle w:val="Normal"/>
        <w:spacing w:before="120" w:after="0"/>
        <w:ind w:firstLine="284"/>
        <w:jc w:val="both"/>
        <w:rPr/>
      </w:pPr>
      <w:r>
        <w:rPr/>
        <w:t>4.2.19. Выбор аппаратов, проводников и изоляторов по условиям к.з. должен производиться в соответствии с гл. 1.4.</w:t>
      </w:r>
    </w:p>
    <w:p>
      <w:pPr>
        <w:pStyle w:val="Normal"/>
        <w:ind w:firstLine="284"/>
        <w:jc w:val="both"/>
        <w:rPr/>
      </w:pPr>
      <w:r>
        <w:rPr/>
        <w:t>4.2.20.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pPr>
        <w:pStyle w:val="Normal"/>
        <w:ind w:firstLine="284"/>
        <w:jc w:val="both"/>
        <w:rPr/>
      </w:pPr>
      <w:r>
        <w:rPr/>
        <w:t>Строительные конструкции, доступные для прикосновения персонала, не должны нагреваться от воздействия электрического тока выше 50 °С; недоступные для прикосновения - выше 70 °С.</w:t>
      </w:r>
    </w:p>
    <w:p>
      <w:pPr>
        <w:pStyle w:val="Normal"/>
        <w:ind w:firstLine="284"/>
        <w:jc w:val="both"/>
        <w:rPr/>
      </w:pPr>
      <w:r>
        <w:rPr/>
        <w:t>Конструкции на нагрев могут не проверяться, если по токоведущим частям проходит переменный ток 1000 А и менее.</w:t>
      </w:r>
    </w:p>
    <w:p>
      <w:pPr>
        <w:pStyle w:val="Normal"/>
        <w:ind w:firstLine="284"/>
        <w:jc w:val="both"/>
        <w:rPr/>
      </w:pPr>
      <w:r>
        <w:rPr/>
        <w:t>4.2.21.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 каждой цепи со всех ее сторон, откуда может быть подано напряжение.</w:t>
      </w:r>
    </w:p>
    <w:p>
      <w:pPr>
        <w:pStyle w:val="Normal"/>
        <w:ind w:firstLine="284"/>
        <w:jc w:val="both"/>
        <w:rPr/>
      </w:pPr>
      <w:r>
        <w:rP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и/или при наличии надежного механического указателя гарантированного положения контактов.</w:t>
      </w:r>
    </w:p>
    <w:p>
      <w:pPr>
        <w:pStyle w:val="Normal"/>
        <w:spacing w:before="120" w:after="120"/>
        <w:jc w:val="right"/>
        <w:rPr/>
      </w:pPr>
      <w:r>
        <w:rPr>
          <w:spacing w:val="40"/>
        </w:rPr>
        <w:t>Таблица</w:t>
      </w:r>
      <w:r>
        <w:rPr/>
        <w:t xml:space="preserve"> 4.2.2</w:t>
      </w:r>
    </w:p>
    <w:p>
      <w:pPr>
        <w:pStyle w:val="Normal"/>
        <w:spacing w:before="0" w:after="120"/>
        <w:jc w:val="center"/>
        <w:rPr>
          <w:b/>
          <w:b/>
          <w:bCs/>
        </w:rP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259"/>
        <w:gridCol w:w="2260"/>
        <w:gridCol w:w="1606"/>
        <w:gridCol w:w="1161"/>
        <w:gridCol w:w="2069"/>
      </w:tblGrid>
      <w:tr>
        <w:trPr>
          <w:tblHeader w:val="true"/>
        </w:trPr>
        <w:tc>
          <w:tcPr>
            <w:tcW w:w="2259"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кВ</w:t>
            </w:r>
          </w:p>
        </w:tc>
        <w:tc>
          <w:tcPr>
            <w:tcW w:w="2260"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Расстояние между осями полюсов 5, м (рис. 4.2.1)</w:t>
            </w:r>
          </w:p>
        </w:tc>
        <w:tc>
          <w:tcPr>
            <w:tcW w:w="4836"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Ток, А, не более</w:t>
            </w:r>
          </w:p>
        </w:tc>
      </w:tr>
      <w:tr>
        <w:trPr>
          <w:tblHeader w:val="true"/>
        </w:trPr>
        <w:tc>
          <w:tcPr>
            <w:tcW w:w="2259"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260"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606"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холостого хода</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зарядный</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замыкания на землю</w:t>
            </w:r>
          </w:p>
        </w:tc>
      </w:tr>
      <w:tr>
        <w:trPr/>
        <w:tc>
          <w:tcPr>
            <w:tcW w:w="2259" w:type="dxa"/>
            <w:tcBorders>
              <w:left w:val="single" w:sz="8" w:space="0" w:color="000000"/>
              <w:bottom w:val="single" w:sz="8" w:space="0" w:color="000000"/>
              <w:insideH w:val="single" w:sz="8" w:space="0" w:color="000000"/>
            </w:tcBorders>
            <w:shd w:fill="FFFFFF" w:val="clear"/>
          </w:tcPr>
          <w:p>
            <w:pPr>
              <w:pStyle w:val="Normal"/>
              <w:jc w:val="center"/>
              <w:rPr/>
            </w:pPr>
            <w:r>
              <w:rPr/>
              <w:t>6</w:t>
            </w:r>
          </w:p>
        </w:tc>
        <w:tc>
          <w:tcPr>
            <w:tcW w:w="226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0,4</w:t>
            </w:r>
          </w:p>
        </w:tc>
        <w:tc>
          <w:tcPr>
            <w:tcW w:w="1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7,5</w:t>
            </w:r>
          </w:p>
        </w:tc>
      </w:tr>
      <w:tr>
        <w:trPr/>
        <w:tc>
          <w:tcPr>
            <w:tcW w:w="2259" w:type="dxa"/>
            <w:tcBorders>
              <w:left w:val="single" w:sz="8" w:space="0" w:color="000000"/>
              <w:bottom w:val="single" w:sz="8" w:space="0" w:color="000000"/>
              <w:insideH w:val="single" w:sz="8" w:space="0" w:color="000000"/>
            </w:tcBorders>
            <w:shd w:fill="FFFFFF" w:val="clear"/>
          </w:tcPr>
          <w:p>
            <w:pPr>
              <w:pStyle w:val="Normal"/>
              <w:jc w:val="center"/>
              <w:rPr/>
            </w:pPr>
            <w:r>
              <w:rPr/>
              <w:t>10</w:t>
            </w:r>
          </w:p>
        </w:tc>
        <w:tc>
          <w:tcPr>
            <w:tcW w:w="226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1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6,0</w:t>
            </w:r>
          </w:p>
        </w:tc>
      </w:tr>
      <w:tr>
        <w:trPr/>
        <w:tc>
          <w:tcPr>
            <w:tcW w:w="2259" w:type="dxa"/>
            <w:tcBorders>
              <w:left w:val="single" w:sz="8" w:space="0" w:color="000000"/>
              <w:bottom w:val="single" w:sz="8" w:space="0" w:color="000000"/>
              <w:insideH w:val="single" w:sz="8" w:space="0" w:color="000000"/>
            </w:tcBorders>
            <w:shd w:fill="FFFFFF" w:val="clear"/>
          </w:tcPr>
          <w:p>
            <w:pPr>
              <w:pStyle w:val="Normal"/>
              <w:jc w:val="center"/>
              <w:rPr/>
            </w:pPr>
            <w:r>
              <w:rPr/>
              <w:t>20</w:t>
            </w:r>
          </w:p>
        </w:tc>
        <w:tc>
          <w:tcPr>
            <w:tcW w:w="226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0,75</w:t>
            </w:r>
          </w:p>
        </w:tc>
        <w:tc>
          <w:tcPr>
            <w:tcW w:w="1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4,5</w:t>
            </w:r>
          </w:p>
        </w:tc>
      </w:tr>
      <w:tr>
        <w:trPr/>
        <w:tc>
          <w:tcPr>
            <w:tcW w:w="2259"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226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2259"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226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6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5,0</w:t>
            </w:r>
          </w:p>
        </w:tc>
        <w:tc>
          <w:tcPr>
            <w:tcW w:w="116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206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5,0</w:t>
            </w:r>
          </w:p>
        </w:tc>
      </w:tr>
    </w:tbl>
    <w:p>
      <w:pPr>
        <w:pStyle w:val="Normal"/>
        <w:spacing w:before="120" w:after="120"/>
        <w:jc w:val="right"/>
        <w:rPr/>
      </w:pPr>
      <w:r>
        <w:rPr>
          <w:spacing w:val="40"/>
        </w:rPr>
        <w:t>Таблица</w:t>
      </w:r>
      <w:r>
        <w:rPr/>
        <w:t xml:space="preserve"> 4.2.3</w:t>
      </w:r>
    </w:p>
    <w:p>
      <w:pPr>
        <w:pStyle w:val="Normal"/>
        <w:spacing w:before="0" w:after="120"/>
        <w:jc w:val="center"/>
        <w:rPr>
          <w:b/>
          <w:b/>
          <w:bCs/>
        </w:rPr>
      </w:pPr>
      <w:r>
        <w:rPr>
          <w:b/>
          <w:bCs/>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488"/>
        <w:gridCol w:w="1490"/>
        <w:gridCol w:w="990"/>
        <w:gridCol w:w="990"/>
        <w:gridCol w:w="990"/>
        <w:gridCol w:w="1089"/>
        <w:gridCol w:w="1090"/>
        <w:gridCol w:w="1158"/>
        <w:gridCol w:w="70"/>
      </w:tblGrid>
      <w:tr>
        <w:trPr>
          <w:tblHeader w:val="true"/>
        </w:trPr>
        <w:tc>
          <w:tcPr>
            <w:tcW w:w="148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кВ</w:t>
            </w:r>
          </w:p>
        </w:tc>
        <w:tc>
          <w:tcPr>
            <w:tcW w:w="1490"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 xml:space="preserve">Расстояние между осями полюсов </w:t>
            </w:r>
            <w:r>
              <w:rPr>
                <w:i/>
                <w:iCs/>
              </w:rPr>
              <w:t>Ж</w:t>
            </w:r>
            <w:r>
              <w:rPr/>
              <w:t>, м (рис. 4.2.2)</w:t>
            </w:r>
          </w:p>
        </w:tc>
        <w:tc>
          <w:tcPr>
            <w:tcW w:w="2970" w:type="dxa"/>
            <w:gridSpan w:val="3"/>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Наименьшее расстояние до заземленных и токоведущих частей, м (рис. 4.2.2)</w:t>
            </w:r>
          </w:p>
        </w:tc>
        <w:tc>
          <w:tcPr>
            <w:tcW w:w="3337" w:type="dxa"/>
            <w:gridSpan w:val="3"/>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Ток, А, не более</w:t>
            </w:r>
          </w:p>
        </w:tc>
        <w:tc>
          <w:tcPr>
            <w:tcW w:w="70" w:type="dxa"/>
            <w:tcBorders>
              <w:left w:val="single" w:sz="8" w:space="0" w:color="000000"/>
            </w:tcBorders>
            <w:shd w:fill="FFFFFF" w:val="clear"/>
            <w:tcMar>
              <w:left w:w="0" w:type="dxa"/>
              <w:right w:w="0" w:type="dxa"/>
            </w:tcMar>
            <w:vAlign w:val="center"/>
          </w:tcPr>
          <w:p>
            <w:pPr>
              <w:pStyle w:val="Normal"/>
              <w:rPr/>
            </w:pPr>
            <w:r>
              <w:rPr/>
              <w:t> </w:t>
            </w:r>
          </w:p>
        </w:tc>
      </w:tr>
      <w:tr>
        <w:trPr>
          <w:tblHeader w:val="true"/>
          <w:trHeight w:val="276" w:hRule="atLeast"/>
        </w:trPr>
        <w:tc>
          <w:tcPr>
            <w:tcW w:w="148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490"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970" w:type="dxa"/>
            <w:gridSpan w:val="3"/>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089" w:type="dxa"/>
            <w:vMerge w:val="restart"/>
            <w:tcBorders>
              <w:left w:val="single" w:sz="8" w:space="0" w:color="000000"/>
              <w:bottom w:val="single" w:sz="8" w:space="0" w:color="000000"/>
              <w:insideH w:val="single" w:sz="8" w:space="0" w:color="000000"/>
            </w:tcBorders>
            <w:shd w:fill="FFFFFF" w:val="clear"/>
            <w:vAlign w:val="center"/>
          </w:tcPr>
          <w:p>
            <w:pPr>
              <w:pStyle w:val="Normal"/>
              <w:jc w:val="center"/>
              <w:rPr/>
            </w:pPr>
            <w:r>
              <w:rPr/>
              <w:t>холостого хода</w:t>
            </w:r>
          </w:p>
        </w:tc>
        <w:tc>
          <w:tcPr>
            <w:tcW w:w="1090"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зарядный</w:t>
            </w:r>
          </w:p>
        </w:tc>
        <w:tc>
          <w:tcPr>
            <w:tcW w:w="1158"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замыкания на землю</w:t>
            </w:r>
          </w:p>
        </w:tc>
        <w:tc>
          <w:tcPr>
            <w:tcW w:w="70" w:type="dxa"/>
            <w:tcBorders>
              <w:left w:val="single" w:sz="8" w:space="0" w:color="000000"/>
            </w:tcBorders>
            <w:shd w:fill="FFFFFF" w:val="clear"/>
            <w:tcMar>
              <w:left w:w="0" w:type="dxa"/>
              <w:right w:w="0" w:type="dxa"/>
            </w:tcMar>
            <w:vAlign w:val="center"/>
          </w:tcPr>
          <w:p>
            <w:pPr>
              <w:pStyle w:val="Normal"/>
              <w:snapToGrid w:val="false"/>
              <w:rPr/>
            </w:pPr>
            <w:r>
              <w:rPr/>
            </w:r>
          </w:p>
        </w:tc>
      </w:tr>
      <w:tr>
        <w:trPr>
          <w:tblHeader w:val="true"/>
        </w:trPr>
        <w:tc>
          <w:tcPr>
            <w:tcW w:w="148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490"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90"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А</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Б</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В</w:t>
            </w:r>
          </w:p>
        </w:tc>
        <w:tc>
          <w:tcPr>
            <w:tcW w:w="1089"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090"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158"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70" w:type="dxa"/>
            <w:tcBorders>
              <w:left w:val="single" w:sz="8" w:space="0" w:color="000000"/>
            </w:tcBorders>
            <w:shd w:fill="FFFFFF" w:val="clear"/>
            <w:tcMar>
              <w:left w:w="0" w:type="dxa"/>
              <w:right w:w="0" w:type="dxa"/>
            </w:tcMar>
            <w:vAlign w:val="center"/>
          </w:tcPr>
          <w:p>
            <w:pPr>
              <w:pStyle w:val="Normal"/>
              <w:rPr/>
            </w:pPr>
            <w:r>
              <w:rPr/>
              <w:t> </w:t>
            </w:r>
          </w:p>
        </w:tc>
      </w:tr>
      <w:tr>
        <w:trPr/>
        <w:tc>
          <w:tcPr>
            <w:tcW w:w="1488" w:type="dxa"/>
            <w:tcBorders>
              <w:left w:val="single" w:sz="8" w:space="0" w:color="000000"/>
              <w:bottom w:val="single" w:sz="8" w:space="0" w:color="000000"/>
              <w:insideH w:val="single" w:sz="8" w:space="0" w:color="000000"/>
            </w:tcBorders>
            <w:shd w:fill="FFFFFF" w:val="clear"/>
          </w:tcPr>
          <w:p>
            <w:pPr>
              <w:pStyle w:val="Normal"/>
              <w:jc w:val="center"/>
              <w:rPr/>
            </w:pPr>
            <w:r>
              <w:rPr/>
              <w:t>6</w:t>
            </w:r>
          </w:p>
        </w:tc>
        <w:tc>
          <w:tcPr>
            <w:tcW w:w="14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108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1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70" w:type="dxa"/>
            <w:tcBorders>
              <w:left w:val="single" w:sz="8" w:space="0" w:color="000000"/>
            </w:tcBorders>
            <w:shd w:fill="FFFFFF" w:val="clear"/>
            <w:tcMar>
              <w:left w:w="0" w:type="dxa"/>
              <w:right w:w="0" w:type="dxa"/>
            </w:tcMar>
            <w:vAlign w:val="center"/>
          </w:tcPr>
          <w:p>
            <w:pPr>
              <w:pStyle w:val="Normal"/>
              <w:rPr/>
            </w:pPr>
            <w:r>
              <w:rPr/>
              <w:t> </w:t>
            </w:r>
          </w:p>
        </w:tc>
      </w:tr>
      <w:tr>
        <w:trPr/>
        <w:tc>
          <w:tcPr>
            <w:tcW w:w="1488" w:type="dxa"/>
            <w:tcBorders>
              <w:left w:val="single" w:sz="8" w:space="0" w:color="000000"/>
              <w:bottom w:val="single" w:sz="8" w:space="0" w:color="000000"/>
              <w:insideH w:val="single" w:sz="8" w:space="0" w:color="000000"/>
            </w:tcBorders>
            <w:shd w:fill="FFFFFF" w:val="clear"/>
          </w:tcPr>
          <w:p>
            <w:pPr>
              <w:pStyle w:val="Normal"/>
              <w:jc w:val="center"/>
              <w:rPr/>
            </w:pPr>
            <w:r>
              <w:rPr/>
              <w:t>10</w:t>
            </w:r>
          </w:p>
        </w:tc>
        <w:tc>
          <w:tcPr>
            <w:tcW w:w="14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0,25</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0,3</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0,3</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0,7</w:t>
            </w:r>
          </w:p>
        </w:tc>
        <w:tc>
          <w:tcPr>
            <w:tcW w:w="108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1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70" w:type="dxa"/>
            <w:tcBorders>
              <w:left w:val="single" w:sz="8" w:space="0" w:color="000000"/>
            </w:tcBorders>
            <w:shd w:fill="FFFFFF" w:val="clear"/>
            <w:tcMar>
              <w:left w:w="0" w:type="dxa"/>
              <w:right w:w="0" w:type="dxa"/>
            </w:tcMar>
            <w:vAlign w:val="center"/>
          </w:tcPr>
          <w:p>
            <w:pPr>
              <w:pStyle w:val="Normal"/>
              <w:rPr/>
            </w:pPr>
            <w:r>
              <w:rPr/>
              <w:t> </w:t>
            </w:r>
          </w:p>
        </w:tc>
      </w:tr>
      <w:tr>
        <w:trPr/>
        <w:tc>
          <w:tcPr>
            <w:tcW w:w="1488" w:type="dxa"/>
            <w:tcBorders>
              <w:left w:val="single" w:sz="8" w:space="0" w:color="000000"/>
              <w:bottom w:val="single" w:sz="8" w:space="0" w:color="000000"/>
              <w:insideH w:val="single" w:sz="8" w:space="0" w:color="000000"/>
            </w:tcBorders>
            <w:shd w:fill="FFFFFF" w:val="clear"/>
          </w:tcPr>
          <w:p>
            <w:pPr>
              <w:pStyle w:val="Normal"/>
              <w:jc w:val="center"/>
              <w:rPr/>
            </w:pPr>
            <w:r>
              <w:rPr/>
              <w:t>20</w:t>
            </w:r>
          </w:p>
        </w:tc>
        <w:tc>
          <w:tcPr>
            <w:tcW w:w="14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0,3</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0,4</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0,4</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08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11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70" w:type="dxa"/>
            <w:tcBorders>
              <w:left w:val="single" w:sz="8" w:space="0" w:color="000000"/>
            </w:tcBorders>
            <w:shd w:fill="FFFFFF" w:val="clear"/>
            <w:tcMar>
              <w:left w:w="0" w:type="dxa"/>
              <w:right w:w="0" w:type="dxa"/>
            </w:tcMar>
            <w:vAlign w:val="center"/>
          </w:tcPr>
          <w:p>
            <w:pPr>
              <w:pStyle w:val="Normal"/>
              <w:rPr/>
            </w:pPr>
            <w:r>
              <w:rPr/>
              <w:t> </w:t>
            </w:r>
          </w:p>
        </w:tc>
      </w:tr>
      <w:tr>
        <w:trPr/>
        <w:tc>
          <w:tcPr>
            <w:tcW w:w="1488"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14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0,45</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9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108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11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70" w:type="dxa"/>
            <w:tcBorders>
              <w:left w:val="single" w:sz="8" w:space="0" w:color="000000"/>
            </w:tcBorders>
            <w:shd w:fill="FFFFFF" w:val="clear"/>
            <w:tcMar>
              <w:left w:w="0" w:type="dxa"/>
              <w:right w:w="0" w:type="dxa"/>
            </w:tcMar>
            <w:vAlign w:val="center"/>
          </w:tcPr>
          <w:p>
            <w:pPr>
              <w:pStyle w:val="Normal"/>
              <w:rPr/>
            </w:pPr>
            <w:r>
              <w:rPr/>
              <w:t> </w:t>
            </w:r>
          </w:p>
        </w:tc>
      </w:tr>
    </w:tbl>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476750" cy="1695450"/>
            <wp:effectExtent l="0" t="0" r="0" b="0"/>
            <wp:docPr id="73" name="image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067" descr=""/>
                    <pic:cNvPicPr>
                      <a:picLocks noChangeAspect="1" noChangeArrowheads="1"/>
                    </pic:cNvPicPr>
                  </pic:nvPicPr>
                  <pic:blipFill>
                    <a:blip r:embed="rId81"/>
                    <a:srcRect l="-8" t="-21" r="-8" b="-21"/>
                    <a:stretch>
                      <a:fillRect/>
                    </a:stretch>
                  </pic:blipFill>
                  <pic:spPr bwMode="auto">
                    <a:xfrm>
                      <a:off x="0" y="0"/>
                      <a:ext cx="4476750" cy="1695450"/>
                    </a:xfrm>
                    <a:prstGeom prst="rect">
                      <a:avLst/>
                    </a:prstGeom>
                  </pic:spPr>
                </pic:pic>
              </a:graphicData>
            </a:graphic>
          </wp:inline>
        </w:drawing>
      </w:r>
    </w:p>
    <w:p>
      <w:pPr>
        <w:pStyle w:val="Normal"/>
        <w:spacing w:before="0" w:after="120"/>
        <w:jc w:val="center"/>
        <w:rPr/>
      </w:pPr>
      <w:r>
        <w:rPr/>
        <w:t>Рис. 4.2.2. Установка разъединителя (отделителя):</w:t>
      </w:r>
    </w:p>
    <w:p>
      <w:pPr>
        <w:pStyle w:val="Normal"/>
        <w:spacing w:before="0" w:after="120"/>
        <w:jc w:val="center"/>
        <w:rPr/>
      </w:pPr>
      <w:r>
        <w:rPr>
          <w:i/>
          <w:iCs/>
        </w:rPr>
        <w:t>а</w:t>
      </w:r>
      <w:r>
        <w:rPr/>
        <w:t xml:space="preserve"> - вертикальная; </w:t>
      </w:r>
      <w:r>
        <w:rPr>
          <w:i/>
          <w:iCs/>
        </w:rPr>
        <w:t>б</w:t>
      </w:r>
      <w:r>
        <w:rPr/>
        <w:t xml:space="preserve"> - наклонная; 1 - изолирующие перегородки</w:t>
      </w:r>
    </w:p>
    <w:p>
      <w:pPr>
        <w:pStyle w:val="Normal"/>
        <w:ind w:firstLine="284"/>
        <w:jc w:val="both"/>
        <w:rPr/>
      </w:pPr>
      <w:r>
        <w:rPr>
          <w:spacing w:val="40"/>
        </w:rPr>
        <w:t>Примечание.</w:t>
      </w:r>
      <w:r>
        <w:rPr/>
        <w:t xml:space="preserve"> При изолирующих перегородках между полюсами отключаемые и включаемые токи в 1,5 раза больше значений, указанных в табл. 4.2.3.</w:t>
      </w:r>
    </w:p>
    <w:p>
      <w:pPr>
        <w:pStyle w:val="Normal"/>
        <w:spacing w:before="120" w:after="120"/>
        <w:jc w:val="right"/>
        <w:rPr/>
      </w:pPr>
      <w:r>
        <w:rPr>
          <w:spacing w:val="40"/>
        </w:rPr>
        <w:t>Таблица</w:t>
      </w:r>
      <w:r>
        <w:rPr/>
        <w:t xml:space="preserve"> 4.2.4</w:t>
      </w:r>
    </w:p>
    <w:p>
      <w:pPr>
        <w:pStyle w:val="Normal"/>
        <w:spacing w:before="0" w:after="120"/>
        <w:jc w:val="center"/>
        <w:rPr>
          <w:b/>
          <w:b/>
          <w:bCs/>
        </w:rPr>
      </w:pPr>
      <w:r>
        <w:rPr>
          <w:b/>
          <w:bCs/>
        </w:rPr>
        <w:t>Размеры изолирующих перегородок</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656"/>
        <w:gridCol w:w="2226"/>
        <w:gridCol w:w="2226"/>
        <w:gridCol w:w="2247"/>
      </w:tblGrid>
      <w:tr>
        <w:trPr>
          <w:tblHeader w:val="true"/>
        </w:trPr>
        <w:tc>
          <w:tcPr>
            <w:tcW w:w="2656" w:type="dxa"/>
            <w:vMerge w:val="restart"/>
            <w:tcBorders>
              <w:top w:val="single" w:sz="8" w:space="0" w:color="000000"/>
              <w:left w:val="single" w:sz="8" w:space="0" w:color="000000"/>
              <w:bottom w:val="single" w:sz="8" w:space="0" w:color="000000"/>
              <w:insideH w:val="single" w:sz="8" w:space="0" w:color="000000"/>
            </w:tcBorders>
            <w:shd w:fill="FFFFFF" w:val="clear"/>
          </w:tcPr>
          <w:p>
            <w:pPr>
              <w:pStyle w:val="Normal"/>
              <w:jc w:val="center"/>
              <w:rPr/>
            </w:pPr>
            <w:r>
              <w:rPr/>
              <w:t>Номинальное напряжение, кВ</w:t>
            </w:r>
          </w:p>
        </w:tc>
        <w:tc>
          <w:tcPr>
            <w:tcW w:w="6699"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Размеры изолирующих перегородок, м (рис. 4.2.2)</w:t>
            </w:r>
          </w:p>
        </w:tc>
      </w:tr>
      <w:tr>
        <w:trPr>
          <w:tblHeader w:val="true"/>
        </w:trPr>
        <w:tc>
          <w:tcPr>
            <w:tcW w:w="2656" w:type="dxa"/>
            <w:vMerge w:val="continue"/>
            <w:tcBorders>
              <w:top w:val="single" w:sz="8" w:space="0" w:color="000000"/>
              <w:left w:val="single" w:sz="8" w:space="0" w:color="000000"/>
              <w:bottom w:val="single" w:sz="8" w:space="0" w:color="000000"/>
              <w:insideH w:val="single" w:sz="8" w:space="0" w:color="000000"/>
            </w:tcBorders>
            <w:shd w:fill="FFFFFF" w:val="clear"/>
          </w:tcPr>
          <w:p>
            <w:pPr>
              <w:pStyle w:val="Normal"/>
              <w:snapToGrid w:val="false"/>
              <w:rPr/>
            </w:pPr>
            <w:r>
              <w:rPr/>
            </w:r>
          </w:p>
        </w:tc>
        <w:tc>
          <w:tcPr>
            <w:tcW w:w="2226" w:type="dxa"/>
            <w:tcBorders>
              <w:left w:val="single" w:sz="8" w:space="0" w:color="000000"/>
              <w:bottom w:val="single" w:sz="8" w:space="0" w:color="000000"/>
              <w:insideH w:val="single" w:sz="8" w:space="0" w:color="000000"/>
            </w:tcBorders>
            <w:shd w:fill="FFFFFF" w:val="clear"/>
          </w:tcPr>
          <w:p>
            <w:pPr>
              <w:pStyle w:val="Normal"/>
              <w:jc w:val="center"/>
              <w:rPr>
                <w:i/>
                <w:i/>
                <w:iCs/>
              </w:rPr>
            </w:pPr>
            <w:r>
              <w:rPr>
                <w:i/>
                <w:iCs/>
              </w:rPr>
              <w:t>Г</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Д</w:t>
            </w:r>
          </w:p>
        </w:tc>
        <w:tc>
          <w:tcPr>
            <w:tcW w:w="22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i/>
                <w:i/>
                <w:iCs/>
              </w:rPr>
            </w:pPr>
            <w:r>
              <w:rPr>
                <w:i/>
                <w:iCs/>
              </w:rPr>
              <w:t>Е</w:t>
            </w:r>
          </w:p>
        </w:tc>
      </w:tr>
      <w:tr>
        <w:trPr/>
        <w:tc>
          <w:tcPr>
            <w:tcW w:w="2656" w:type="dxa"/>
            <w:tcBorders>
              <w:left w:val="single" w:sz="8" w:space="0" w:color="000000"/>
              <w:bottom w:val="single" w:sz="8" w:space="0" w:color="000000"/>
              <w:insideH w:val="single" w:sz="8" w:space="0" w:color="000000"/>
            </w:tcBorders>
            <w:shd w:fill="FFFFFF" w:val="clear"/>
          </w:tcPr>
          <w:p>
            <w:pPr>
              <w:pStyle w:val="Normal"/>
              <w:jc w:val="center"/>
              <w:rPr/>
            </w:pPr>
            <w:r>
              <w:rPr/>
              <w:t>6</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0,1</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0,5</w:t>
            </w:r>
          </w:p>
        </w:tc>
        <w:tc>
          <w:tcPr>
            <w:tcW w:w="22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0,05</w:t>
            </w:r>
          </w:p>
        </w:tc>
      </w:tr>
      <w:tr>
        <w:trPr/>
        <w:tc>
          <w:tcPr>
            <w:tcW w:w="2656" w:type="dxa"/>
            <w:tcBorders>
              <w:left w:val="single" w:sz="8" w:space="0" w:color="000000"/>
              <w:bottom w:val="single" w:sz="8" w:space="0" w:color="000000"/>
              <w:insideH w:val="single" w:sz="8" w:space="0" w:color="000000"/>
            </w:tcBorders>
            <w:shd w:fill="FFFFFF" w:val="clear"/>
          </w:tcPr>
          <w:p>
            <w:pPr>
              <w:pStyle w:val="Normal"/>
              <w:jc w:val="center"/>
              <w:rPr/>
            </w:pPr>
            <w:r>
              <w:rPr/>
              <w:t>10</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0,65</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0,65</w:t>
            </w:r>
          </w:p>
        </w:tc>
        <w:tc>
          <w:tcPr>
            <w:tcW w:w="22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0,05</w:t>
            </w:r>
          </w:p>
        </w:tc>
      </w:tr>
      <w:tr>
        <w:trPr/>
        <w:tc>
          <w:tcPr>
            <w:tcW w:w="2656" w:type="dxa"/>
            <w:tcBorders>
              <w:left w:val="single" w:sz="8" w:space="0" w:color="000000"/>
              <w:bottom w:val="single" w:sz="8" w:space="0" w:color="000000"/>
              <w:insideH w:val="single" w:sz="8" w:space="0" w:color="000000"/>
            </w:tcBorders>
            <w:shd w:fill="FFFFFF" w:val="clear"/>
          </w:tcPr>
          <w:p>
            <w:pPr>
              <w:pStyle w:val="Normal"/>
              <w:jc w:val="center"/>
              <w:rPr/>
            </w:pPr>
            <w:r>
              <w:rPr/>
              <w:t>20</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w:t>
            </w:r>
          </w:p>
        </w:tc>
        <w:tc>
          <w:tcPr>
            <w:tcW w:w="22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0,05</w:t>
            </w:r>
          </w:p>
        </w:tc>
      </w:tr>
      <w:tr>
        <w:trPr/>
        <w:tc>
          <w:tcPr>
            <w:tcW w:w="2656"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0,25</w:t>
            </w:r>
          </w:p>
        </w:tc>
        <w:tc>
          <w:tcPr>
            <w:tcW w:w="22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w:t>
            </w:r>
          </w:p>
        </w:tc>
        <w:tc>
          <w:tcPr>
            <w:tcW w:w="2247"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0,05</w:t>
            </w:r>
          </w:p>
        </w:tc>
      </w:tr>
    </w:tbl>
    <w:p>
      <w:pPr>
        <w:pStyle w:val="Normal"/>
        <w:spacing w:before="120" w:after="0"/>
        <w:ind w:firstLine="284"/>
        <w:jc w:val="both"/>
        <w:rPr/>
      </w:pPr>
      <w:r>
        <w:rPr/>
        <w:t>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трансформаторы напряжения емкостного типа, присоединяемые к системам шин, разрядники и ограничители перенапряжений, устанавливаемых на выводах трансформаторов и шунтирующих реакторов и на отходящих линиях, а также на силовые трансформаторы с кабельными вводами.</w:t>
      </w:r>
    </w:p>
    <w:p>
      <w:pPr>
        <w:pStyle w:val="Normal"/>
        <w:ind w:firstLine="284"/>
        <w:jc w:val="both"/>
        <w:rPr/>
      </w:pPr>
      <w:r>
        <w:rPr/>
        <w:t>В 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pPr>
        <w:pStyle w:val="Normal"/>
        <w:ind w:firstLine="284"/>
        <w:jc w:val="both"/>
        <w:rPr/>
      </w:pPr>
      <w:r>
        <w:rPr/>
        <w:t>4.2.22.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w:t>
      </w:r>
    </w:p>
    <w:p>
      <w:pPr>
        <w:pStyle w:val="Normal"/>
        <w:ind w:firstLine="284"/>
        <w:jc w:val="both"/>
        <w:rPr/>
      </w:pPr>
      <w:r>
        <w:rPr/>
        <w:t>применение закрытых ПС и РУ, защищенных от проникновения пыли, вредных газов или паров в помещение;</w:t>
      </w:r>
    </w:p>
    <w:p>
      <w:pPr>
        <w:pStyle w:val="Normal"/>
        <w:ind w:firstLine="284"/>
        <w:jc w:val="both"/>
        <w:rPr/>
      </w:pPr>
      <w:r>
        <w:rPr/>
        <w:t>применение усиленной изоляции и шин из материала, стойкого к воздействию окружающей среды, или покраска их защитным покрытием;</w:t>
      </w:r>
    </w:p>
    <w:p>
      <w:pPr>
        <w:pStyle w:val="Normal"/>
        <w:ind w:firstLine="284"/>
        <w:jc w:val="both"/>
        <w:rPr/>
      </w:pPr>
      <w:r>
        <w:rPr/>
        <w:t>расположение ПС и РУ со стороны господствующего направления ветра;</w:t>
      </w:r>
    </w:p>
    <w:p>
      <w:pPr>
        <w:pStyle w:val="Normal"/>
        <w:ind w:firstLine="284"/>
        <w:jc w:val="both"/>
        <w:rPr/>
      </w:pPr>
      <w:r>
        <w:rPr/>
        <w:t>применение минимального количества открыто установленного оборудования.</w:t>
      </w:r>
    </w:p>
    <w:p>
      <w:pPr>
        <w:pStyle w:val="Normal"/>
        <w:ind w:firstLine="284"/>
        <w:jc w:val="both"/>
        <w:rPr/>
      </w:pPr>
      <w:r>
        <w:rPr/>
        <w:t>При сооружении ПС и 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 в том числе полимерным покрытием, или провода из меди и ее сплавов.</w:t>
      </w:r>
    </w:p>
    <w:p>
      <w:pPr>
        <w:pStyle w:val="Normal"/>
        <w:ind w:firstLine="284"/>
        <w:jc w:val="both"/>
        <w:rPr/>
      </w:pPr>
      <w:r>
        <w:rPr/>
        <w:t>4.2.23. 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повышающие сейсмостойкость электроустановки.</w:t>
      </w:r>
    </w:p>
    <w:p>
      <w:pPr>
        <w:pStyle w:val="Normal"/>
        <w:ind w:firstLine="284"/>
        <w:jc w:val="both"/>
        <w:rPr/>
      </w:pPr>
      <w:r>
        <w:rPr/>
        <w:t>4.2.24. 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pPr>
        <w:pStyle w:val="Normal"/>
        <w:ind w:firstLine="284"/>
        <w:jc w:val="both"/>
        <w:rPr/>
      </w:pPr>
      <w:r>
        <w:rPr/>
        <w:t>4.2.25. Ошиновку РУ и ПС, как правило, следует выполнять из алюминиевых и сталеалюминиевых проводов, полос, труб и шин из профилей алюминия и алюминиевых сплавов электротехнического назначения (исключения см. в 4.2.22).</w:t>
      </w:r>
    </w:p>
    <w:p>
      <w:pPr>
        <w:pStyle w:val="Normal"/>
        <w:ind w:firstLine="284"/>
        <w:jc w:val="both"/>
        <w:rPr/>
      </w:pPr>
      <w:r>
        <w:rPr/>
        <w:t>При этом, когда деформации ошиновки, вызываемые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pPr>
        <w:pStyle w:val="Normal"/>
        <w:ind w:firstLine="284"/>
        <w:jc w:val="both"/>
        <w:rPr/>
      </w:pPr>
      <w:r>
        <w:rPr/>
        <w:t>Конструкция жесткой ошиновки должна предусматривать устройства для гашения вибрации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pPr>
        <w:pStyle w:val="Normal"/>
        <w:ind w:firstLine="284"/>
        <w:jc w:val="both"/>
        <w:rPr/>
      </w:pPr>
      <w:r>
        <w:rPr/>
        <w:t>Токопроводы следует выполнять в соответствии с требованиями гл. 2.2.</w:t>
      </w:r>
    </w:p>
    <w:p>
      <w:pPr>
        <w:pStyle w:val="Normal"/>
        <w:ind w:firstLine="284"/>
        <w:jc w:val="both"/>
        <w:rPr/>
      </w:pPr>
      <w:r>
        <w:rPr/>
        <w:t>4.2.26. Обозначение фаз электрооборудования и ошиновки РУ и ПС должно выполняться в соответствии с требованиями гл. 1.1.</w:t>
      </w:r>
    </w:p>
    <w:p>
      <w:pPr>
        <w:pStyle w:val="Normal"/>
        <w:ind w:firstLine="284"/>
        <w:jc w:val="both"/>
        <w:rPr/>
      </w:pPr>
      <w:r>
        <w:rPr/>
        <w:t>4.2.27. Распределительные устройства должны быть оборудованы оперативной блокировкой неправильных действий при переключениях в электрических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w:t>
      </w:r>
      <w:r>
        <w:rPr>
          <w:vertAlign w:val="superscript"/>
        </w:rPr>
        <w:t>*</w:t>
      </w:r>
      <w:r>
        <w:rPr/>
        <w:t>, отделителями и короткозамыкателями.</w:t>
      </w:r>
    </w:p>
    <w:p>
      <w:pPr>
        <w:pStyle w:val="Normal"/>
        <w:spacing w:before="120" w:after="0"/>
        <w:ind w:firstLine="284"/>
        <w:jc w:val="both"/>
        <w:rPr/>
      </w:pPr>
      <w:r>
        <w:rPr>
          <w:vertAlign w:val="superscript"/>
        </w:rPr>
        <w:t>*</w:t>
      </w:r>
      <w:r>
        <w:rPr/>
        <w:t xml:space="preserve"> В последующем тексте настоящей главы вместо слов «заземляющий нож» используется слово «заземлитель», под которым понимается как элемент аппарата, так и отдельно установленный аппарат.</w:t>
      </w:r>
    </w:p>
    <w:p>
      <w:pPr>
        <w:pStyle w:val="Normal"/>
        <w:spacing w:before="120" w:after="0"/>
        <w:ind w:firstLine="284"/>
        <w:jc w:val="both"/>
        <w:rPr/>
      </w:pPr>
      <w:r>
        <w:rPr/>
        <w:t>Оперативная блокировка должна исключать:</w:t>
      </w:r>
    </w:p>
    <w:p>
      <w:pPr>
        <w:pStyle w:val="Normal"/>
        <w:ind w:firstLine="284"/>
        <w:jc w:val="both"/>
        <w:rPr/>
      </w:pPr>
      <w:r>
        <w:rPr/>
        <w:t>подачу напряжения разъединителем на участок электрической схемы, заземленной включенным заземлителем, а также на участок электрической схемы, отделенной от включенных заземлителей только выключателем;</w:t>
      </w:r>
    </w:p>
    <w:p>
      <w:pPr>
        <w:pStyle w:val="Normal"/>
        <w:ind w:firstLine="284"/>
        <w:jc w:val="both"/>
        <w:rPr/>
      </w:pPr>
      <w:r>
        <w:rPr/>
        <w:t>включение заземлителя на участке схемы, не отделенном разъединителем от других участков, которые могут быть как под напряжением, так и без напряжения;</w:t>
      </w:r>
    </w:p>
    <w:p>
      <w:pPr>
        <w:pStyle w:val="Normal"/>
        <w:ind w:firstLine="284"/>
        <w:jc w:val="both"/>
        <w:rPr/>
      </w:pPr>
      <w:r>
        <w:rPr/>
        <w:t>отключение и включение разъединителями токов нагрузки.</w:t>
      </w:r>
    </w:p>
    <w:p>
      <w:pPr>
        <w:pStyle w:val="Normal"/>
        <w:ind w:firstLine="284"/>
        <w:jc w:val="both"/>
        <w:rPr/>
      </w:pPr>
      <w:r>
        <w:rPr/>
        <w:t>Оперативная блокировка должна обеспечивать в схеме с последовательным соединением разъединителя с отделителем включение ненагруженного трансформатора разъединителем, а отключение - отделителем.</w:t>
      </w:r>
    </w:p>
    <w:p>
      <w:pPr>
        <w:pStyle w:val="Normal"/>
        <w:ind w:firstLine="284"/>
        <w:jc w:val="both"/>
        <w:rPr/>
      </w:pPr>
      <w:r>
        <w:rPr/>
        <w:t>На заземлителях линейных разъединителей со стороны линии допускается иметь только механическую блокировку с приводом разъединителя.</w:t>
      </w:r>
    </w:p>
    <w:p>
      <w:pPr>
        <w:pStyle w:val="Normal"/>
        <w:ind w:firstLine="284"/>
        <w:jc w:val="both"/>
        <w:rPr/>
      </w:pPr>
      <w:r>
        <w:rPr/>
        <w:t>4.2.28. Распределительные устройства и ПС, как правило, должны быть оборудованы стационарными заземлителями, обеспечивающими в соответствии с требованиями безопасности заземление аппаратов и ошиновки.</w:t>
      </w:r>
    </w:p>
    <w:p>
      <w:pPr>
        <w:pStyle w:val="Normal"/>
        <w:ind w:firstLine="284"/>
        <w:jc w:val="both"/>
        <w:rPr/>
      </w:pPr>
      <w:r>
        <w:rP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присоединений и сборных шин, был защищен заземлителями со всех сторон, откуда может быть подано напряжение.</w:t>
      </w:r>
    </w:p>
    <w:p>
      <w:pPr>
        <w:pStyle w:val="Normal"/>
        <w:ind w:firstLine="284"/>
        <w:jc w:val="both"/>
        <w:rPr/>
      </w:pPr>
      <w:r>
        <w:rP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стороны ВЛ), а также к заземлителям в цепи секционной связи КРУ.</w:t>
      </w:r>
    </w:p>
    <w:p>
      <w:pPr>
        <w:pStyle w:val="Normal"/>
        <w:ind w:firstLine="284"/>
        <w:jc w:val="both"/>
        <w:rPr/>
      </w:pPr>
      <w:r>
        <w:rP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наличии на линии напряжения, в ячейках КРУЭ эти заземлители, кроме того, рекомендуется иметь быстродействующими.</w:t>
      </w:r>
    </w:p>
    <w:p>
      <w:pPr>
        <w:pStyle w:val="Normal"/>
        <w:ind w:firstLine="284"/>
        <w:jc w:val="both"/>
        <w:rPr/>
      </w:pPr>
      <w:r>
        <w:rPr/>
        <w:t>Каждая секция (система) сборных шин РУ 35 кВ и выше должна иметь, как правило, два комплекта заземлителей. При наличии трансформаторов напряжения заземления сборных шин следует осуществлять, как правило, заземлителями разъединителей трансформаторов напряжения.</w:t>
      </w:r>
    </w:p>
    <w:p>
      <w:pPr>
        <w:pStyle w:val="Normal"/>
        <w:ind w:firstLine="284"/>
        <w:jc w:val="both"/>
        <w:rPr/>
      </w:pPr>
      <w:r>
        <w:rPr/>
        <w:t>Применение переносных защитных заземлений предусматривается в следующих случаях:</w:t>
      </w:r>
    </w:p>
    <w:p>
      <w:pPr>
        <w:pStyle w:val="Normal"/>
        <w:ind w:firstLine="284"/>
        <w:jc w:val="both"/>
        <w:rPr/>
      </w:pPr>
      <w:r>
        <w:rPr/>
        <w:t>при работе на линейных разъединителях и на оборудовании, расположенном со стороны ВЛ до линейного разъединителя;</w:t>
      </w:r>
    </w:p>
    <w:p>
      <w:pPr>
        <w:pStyle w:val="Normal"/>
        <w:ind w:firstLine="284"/>
        <w:jc w:val="both"/>
        <w:rPr/>
      </w:pPr>
      <w:r>
        <w:rPr/>
        <w:t>на участках схемы, где заземлители установлены отдельно от разъединителей, на время ремонта заземлителей;</w:t>
      </w:r>
    </w:p>
    <w:p>
      <w:pPr>
        <w:pStyle w:val="Normal"/>
        <w:ind w:firstLine="284"/>
        <w:jc w:val="both"/>
        <w:rPr/>
      </w:pPr>
      <w:r>
        <w:rPr/>
        <w:t>для защиты от наведенного напряжения</w:t>
      </w:r>
      <w:r>
        <w:rPr>
          <w:color w:val="FF0000"/>
        </w:rPr>
        <w:t>.</w:t>
      </w:r>
    </w:p>
    <w:p>
      <w:pPr>
        <w:pStyle w:val="Normal"/>
        <w:ind w:firstLine="284"/>
        <w:jc w:val="both"/>
        <w:rPr/>
      </w:pPr>
      <w:r>
        <w:rPr/>
        <w:t>4.2.29.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4.2.57 и 4.2.58), а над уровнем пола для ЗРУ и трансформаторов, установленных внутри здания, 1,9 м; сетки должны иметь отверстия размером не более 25×25 мм, а также приспособления для запирания их на замок. Нижняя кромка этих ограждений в ОРУ должна располагаться на высоте 0,1 - 0,2 м, а в ЗРУ - на уровне пола.</w:t>
      </w:r>
    </w:p>
    <w:p>
      <w:pPr>
        <w:pStyle w:val="Normal"/>
        <w:ind w:firstLine="284"/>
        <w:jc w:val="both"/>
        <w:rPr/>
      </w:pPr>
      <w:r>
        <w:rPr/>
        <w:t>Применение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p>
      <w:pPr>
        <w:pStyle w:val="Normal"/>
        <w:ind w:firstLine="284"/>
        <w:jc w:val="both"/>
        <w:rPr/>
      </w:pPr>
      <w:r>
        <w:rPr/>
        <w:t>Применение барьеров в качестве единственного вида ограждения токоведущих частей недопустимо.</w:t>
      </w:r>
    </w:p>
    <w:p>
      <w:pPr>
        <w:pStyle w:val="Normal"/>
        <w:ind w:firstLine="284"/>
        <w:jc w:val="both"/>
        <w:rPr/>
      </w:pPr>
      <w:r>
        <w:rPr/>
        <w:t>4.2.30.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pPr>
        <w:pStyle w:val="Normal"/>
        <w:ind w:firstLine="284"/>
        <w:jc w:val="both"/>
        <w:rPr/>
      </w:pPr>
      <w:r>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p>
      <w:pPr>
        <w:pStyle w:val="Normal"/>
        <w:ind w:firstLine="284"/>
        <w:jc w:val="both"/>
        <w:rPr/>
      </w:pPr>
      <w:r>
        <w:rPr/>
        <w:t>4.2.31.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pPr>
        <w:pStyle w:val="Normal"/>
        <w:ind w:firstLine="284"/>
        <w:jc w:val="both"/>
        <w:rPr/>
      </w:pPr>
      <w:r>
        <w:rPr/>
        <w:t>4.2.32. Расчетный уровень высоких (паводковых) вод принимается с обеспеченностью: 2 % (повторяемость 1 раз в 50 лет) для ПС 330 кВ и ниже и 1 % (повторяемость 1 раз в 100 лет) для ПС 500 кВ и выше.</w:t>
      </w:r>
    </w:p>
    <w:p>
      <w:pPr>
        <w:pStyle w:val="Normal"/>
        <w:ind w:firstLine="284"/>
        <w:jc w:val="both"/>
        <w:rPr/>
      </w:pPr>
      <w:r>
        <w:rPr/>
        <w:t>4.2.33. Распределительные устройства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pPr>
        <w:pStyle w:val="Normal"/>
        <w:ind w:firstLine="284"/>
        <w:jc w:val="both"/>
        <w:rPr/>
      </w:pPr>
      <w:r>
        <w:rPr/>
        <w:t>4.2.34. Распределительные устройства и ПС должны быть обеспечены телефонной и другими видами связи в соответствии с принятой системой обслуживания.</w:t>
      </w:r>
    </w:p>
    <w:p>
      <w:pPr>
        <w:pStyle w:val="Normal"/>
        <w:ind w:firstLine="284"/>
        <w:jc w:val="both"/>
        <w:rPr/>
      </w:pPr>
      <w:r>
        <w:rPr/>
        <w:t>4.2.35. Размещение РУ и ПС, генеральный план и инженерная подготовка территории и защита их от затопления, оползней, лавин и т.п. должны быть выполнены в соответствии с требованиями СНиП Госстроя России.</w:t>
      </w:r>
    </w:p>
    <w:p>
      <w:pPr>
        <w:pStyle w:val="Normal"/>
        <w:ind w:firstLine="284"/>
        <w:jc w:val="both"/>
        <w:rPr/>
      </w:pPr>
      <w:r>
        <w:rPr/>
        <w:t>4.2.36.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pPr>
        <w:pStyle w:val="Normal"/>
        <w:ind w:firstLine="284"/>
        <w:jc w:val="both"/>
        <w:rPr/>
      </w:pPr>
      <w:r>
        <w:rPr/>
        <w:t>4.2.37. Расстояния между РУ (ПС) и деревьями высотой более 4 м должны быть такими, чтобы исключались повреждения оборудования и ошиновки при падении дерева (с учетом роста деревьев за 25 лет).</w:t>
      </w:r>
    </w:p>
    <w:p>
      <w:pPr>
        <w:pStyle w:val="Normal"/>
        <w:ind w:firstLine="284"/>
        <w:jc w:val="both"/>
        <w:rPr/>
      </w:pPr>
      <w:r>
        <w:rPr/>
        <w:t>4.2.38.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санитарными нормами.</w:t>
      </w:r>
    </w:p>
    <w:p>
      <w:pPr>
        <w:pStyle w:val="Normal"/>
        <w:ind w:firstLine="284"/>
        <w:jc w:val="both"/>
        <w:rPr/>
      </w:pPr>
      <w:r>
        <w:rPr/>
        <w:t>4.2.39. 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pPr>
        <w:pStyle w:val="Normal"/>
        <w:ind w:firstLine="284"/>
        <w:jc w:val="both"/>
        <w:rPr/>
      </w:pPr>
      <w:r>
        <w:rPr/>
        <w:t>4.2.40. Для РУ и ПС с постоянным дежурством персонала, имеющих водопровод, должны 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неутепленных уборных с водонепроницаемыми выгребами.</w:t>
      </w:r>
    </w:p>
    <w:p>
      <w:pPr>
        <w:pStyle w:val="Normal"/>
        <w:ind w:firstLine="284"/>
        <w:jc w:val="both"/>
        <w:rPr/>
      </w:pPr>
      <w:r>
        <w:rPr/>
        <w:t>При расположении ПС 110 кВ и выше без постоянного дежурства персонала вблизи существующих систем водоснабжения и канализации (на расстоянии до 0,5 км) в здании ОПУ должны предусматриваться санитарные канализационные узлы.</w:t>
      </w:r>
    </w:p>
    <w:p>
      <w:pPr>
        <w:pStyle w:val="Normal"/>
        <w:ind w:firstLine="284"/>
        <w:jc w:val="both"/>
        <w:rPr/>
      </w:pPr>
      <w:r>
        <w:rPr/>
        <w:t>4.2.41. Территория ПС должна быть ограждена внешним забором в соответствии с требованиями норм технологического проектирования ПС.</w:t>
      </w:r>
    </w:p>
    <w:p>
      <w:pPr>
        <w:pStyle w:val="Normal"/>
        <w:ind w:firstLine="284"/>
        <w:jc w:val="both"/>
        <w:rPr/>
      </w:pPr>
      <w:r>
        <w:rPr/>
        <w:t>На территории ПС следует ограждать ОРУ и силовые трансформаторы внутренним забором высотой 1,6 м (см. также 4.2.58).</w:t>
      </w:r>
    </w:p>
    <w:p>
      <w:pPr>
        <w:pStyle w:val="Normal"/>
        <w:ind w:firstLine="284"/>
        <w:jc w:val="both"/>
        <w:rPr/>
      </w:pPr>
      <w:r>
        <w:rPr/>
        <w:t>ОРУ разных напряжений и силовые трансформаторы могут иметь общее ограждение.</w:t>
      </w:r>
    </w:p>
    <w:p>
      <w:pPr>
        <w:pStyle w:val="Normal"/>
        <w:ind w:firstLine="284"/>
        <w:jc w:val="both"/>
        <w:rPr/>
      </w:pPr>
      <w:r>
        <w:rPr/>
        <w:t>При расположении ОРУ (ПС) на территории электростанций эти ОРУ (ПС) должны быть ограждены внутренним забором высотой 1,6 м.</w:t>
      </w:r>
    </w:p>
    <w:p>
      <w:pPr>
        <w:pStyle w:val="Normal"/>
        <w:ind w:firstLine="284"/>
        <w:jc w:val="both"/>
        <w:rPr/>
      </w:pPr>
      <w:r>
        <w:rPr/>
        <w:t>Заборы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4.2.132.</w:t>
      </w:r>
    </w:p>
    <w:p>
      <w:pPr>
        <w:pStyle w:val="Normal"/>
        <w:ind w:firstLine="284"/>
        <w:jc w:val="both"/>
        <w:rPr/>
      </w:pPr>
      <w:r>
        <w:rPr/>
        <w:t>4.2.42. На территории ОРУ, ПС и электростанций следует предусматривать устройства по сбору и удалению масла (при наличии маслонаполненного оборудования) с целью исключения возможности растекания его по территории и попадания в водоемы.</w:t>
      </w:r>
    </w:p>
    <w:p>
      <w:pPr>
        <w:pStyle w:val="Normal"/>
        <w:ind w:firstLine="284"/>
        <w:jc w:val="both"/>
        <w:rPr/>
      </w:pPr>
      <w:r>
        <w:rPr/>
        <w:t>4.2.43. Расстояния от электрооборудования до взрывоопасных зон и помещений следует принимать по гл. 7.3.</w:t>
      </w:r>
    </w:p>
    <w:p>
      <w:pPr>
        <w:pStyle w:val="Normal"/>
        <w:ind w:firstLine="284"/>
        <w:jc w:val="both"/>
        <w:rPr/>
      </w:pPr>
      <w:r>
        <w:rPr/>
        <w:t>4.2.44. На ПС применяются постоянный и переменный оперативные токи.</w:t>
      </w:r>
    </w:p>
    <w:p>
      <w:pPr>
        <w:pStyle w:val="Normal"/>
        <w:ind w:firstLine="284"/>
        <w:jc w:val="both"/>
        <w:rPr/>
      </w:pPr>
      <w:r>
        <w:rPr/>
        <w:t>Переменный ток должен применяться во всех случаях, когда это возможно и ведет к упрощению и удешевлению электроустановок при обеспечении необходимой надежности их работы.</w:t>
      </w:r>
    </w:p>
    <w:p>
      <w:pPr>
        <w:pStyle w:val="Heading3"/>
        <w:rPr/>
      </w:pPr>
      <w:r>
        <w:rPr/>
        <w:t>ОТКРЫТЫЕ РАСПРЕДЕЛИТЕЛЬНЫЕ УСТРОЙСТВА</w:t>
      </w:r>
    </w:p>
    <w:p>
      <w:pPr>
        <w:pStyle w:val="Normal"/>
        <w:ind w:firstLine="284"/>
        <w:jc w:val="both"/>
        <w:rPr/>
      </w:pPr>
      <w:r>
        <w:rPr/>
        <w:t>4.2.45.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pPr>
        <w:pStyle w:val="Normal"/>
        <w:ind w:firstLine="284"/>
        <w:jc w:val="both"/>
        <w:rPr/>
      </w:pPr>
      <w:r>
        <w:rPr/>
        <w:t>4.2.46. Соединения гибких проводов в пролетах должно выполняться опрессовкой с помощью 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p>
    <w:p>
      <w:pPr>
        <w:pStyle w:val="Normal"/>
        <w:ind w:firstLine="284"/>
        <w:jc w:val="both"/>
        <w:rPr/>
      </w:pPr>
      <w:r>
        <w:rPr/>
        <w:t>Пайка и скрутка проводов не допускаются.</w:t>
      </w:r>
    </w:p>
    <w:p>
      <w:pPr>
        <w:pStyle w:val="Normal"/>
        <w:ind w:firstLine="284"/>
        <w:jc w:val="both"/>
        <w:rPr/>
      </w:pPr>
      <w:r>
        <w:rP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pPr>
        <w:pStyle w:val="Normal"/>
        <w:ind w:firstLine="284"/>
        <w:jc w:val="both"/>
        <w:rPr/>
      </w:pPr>
      <w:r>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pPr>
        <w:pStyle w:val="Normal"/>
        <w:ind w:firstLine="284"/>
        <w:jc w:val="both"/>
        <w:rPr/>
      </w:pPr>
      <w:r>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pPr>
        <w:pStyle w:val="Normal"/>
        <w:ind w:firstLine="284"/>
        <w:jc w:val="both"/>
        <w:rPr/>
      </w:pPr>
      <w:r>
        <w:rPr/>
        <w:t>Закрепление гибких шин и тросов в натяжных и подвесных зажимах в отношении прочности должны соответствовать требованиям, приведенным в 2.115.</w:t>
      </w:r>
    </w:p>
    <w:p>
      <w:pPr>
        <w:pStyle w:val="Normal"/>
        <w:ind w:firstLine="284"/>
        <w:jc w:val="both"/>
        <w:rPr/>
      </w:pPr>
      <w:r>
        <w:rPr/>
        <w:t>4.2.47. 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устройств к пролетам с помощью болтовых соединений.</w:t>
      </w:r>
    </w:p>
    <w:p>
      <w:pPr>
        <w:pStyle w:val="Normal"/>
        <w:ind w:firstLine="284"/>
        <w:jc w:val="both"/>
        <w:rPr/>
      </w:pPr>
      <w:r>
        <w:rP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только при обосновании.</w:t>
      </w:r>
    </w:p>
    <w:p>
      <w:pPr>
        <w:pStyle w:val="Normal"/>
        <w:ind w:firstLine="284"/>
        <w:jc w:val="both"/>
        <w:rPr/>
      </w:pPr>
      <w:r>
        <w:rPr/>
        <w:t>4.2.48. Ответвления от сборных шин ОРУ, как правило, должны располагаться ниже сборных шин.</w:t>
      </w:r>
    </w:p>
    <w:p>
      <w:pPr>
        <w:pStyle w:val="Normal"/>
        <w:ind w:firstLine="284"/>
        <w:jc w:val="both"/>
        <w:rPr/>
      </w:pPr>
      <w:r>
        <w:rPr/>
        <w:t>Подвеска ошиновки одним пролетом над двумя и более секциями или системами сборных шин не допускается.</w:t>
      </w:r>
    </w:p>
    <w:p>
      <w:pPr>
        <w:pStyle w:val="Normal"/>
        <w:ind w:firstLine="284"/>
        <w:jc w:val="both"/>
        <w:rPr/>
      </w:pPr>
      <w:r>
        <w:rPr/>
        <w:t>4.2.49. Нагрузки на шины и конструкции от ветра и гололеда,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p>
    <w:p>
      <w:pPr>
        <w:pStyle w:val="Normal"/>
        <w:ind w:firstLine="284"/>
        <w:jc w:val="both"/>
        <w:rPr/>
      </w:pPr>
      <w:r>
        <w:rPr/>
        <w:t>При определении нагрузок на конструкции дополнительно следует учитывать вес человека с инструментами и монтажными приспособлениями при применении:</w:t>
      </w:r>
    </w:p>
    <w:p>
      <w:pPr>
        <w:pStyle w:val="Normal"/>
        <w:ind w:firstLine="284"/>
        <w:jc w:val="both"/>
        <w:rPr/>
      </w:pPr>
      <w:r>
        <w:rPr/>
        <w:t>натяжных гирлянд изоляторов - 2,0 кН;</w:t>
      </w:r>
    </w:p>
    <w:p>
      <w:pPr>
        <w:pStyle w:val="Normal"/>
        <w:ind w:firstLine="284"/>
        <w:jc w:val="both"/>
        <w:rPr/>
      </w:pPr>
      <w:r>
        <w:rPr/>
        <w:t>поддерживающих гирлянд - 1,5 кН;</w:t>
      </w:r>
    </w:p>
    <w:p>
      <w:pPr>
        <w:pStyle w:val="Normal"/>
        <w:ind w:firstLine="284"/>
        <w:jc w:val="both"/>
        <w:rPr/>
      </w:pPr>
      <w:r>
        <w:rPr/>
        <w:t>опорных изоляторов - 1,0 кН.</w:t>
      </w:r>
    </w:p>
    <w:p>
      <w:pPr>
        <w:pStyle w:val="Normal"/>
        <w:ind w:firstLine="284"/>
        <w:jc w:val="both"/>
        <w:rPr/>
      </w:pPr>
      <w:r>
        <w:rPr/>
        <w:t>Тяжение спусков к аппаратам ОРУ не должно вызывать недопустимых механических напряжений и недопустимого сближения проводов при расчетных климатических условиях.</w:t>
      </w:r>
    </w:p>
    <w:p>
      <w:pPr>
        <w:pStyle w:val="Normal"/>
        <w:ind w:firstLine="284"/>
        <w:jc w:val="both"/>
        <w:rPr/>
      </w:pPr>
      <w:r>
        <w:rPr/>
        <w:t>4.2.50. Расчетные механические усилия, передающиеся при КЗ жесткими шинами на опорные изоляторы, следует принимать в соответствии с требованиями гл. 1.4.</w:t>
      </w:r>
    </w:p>
    <w:p>
      <w:pPr>
        <w:pStyle w:val="Normal"/>
        <w:ind w:firstLine="284"/>
        <w:jc w:val="both"/>
        <w:rPr/>
      </w:pPr>
      <w:r>
        <w:rPr/>
        <w:t>4.2.51. Коэффициент запаса механической прочности при нагрузках, соответствующих 4.2.49, следует принимать:</w:t>
      </w:r>
    </w:p>
    <w:p>
      <w:pPr>
        <w:pStyle w:val="Normal"/>
        <w:ind w:firstLine="284"/>
        <w:jc w:val="both"/>
        <w:rPr/>
      </w:pPr>
      <w:r>
        <w:rPr/>
        <w:t>для гибких шин - не менее 3 по отношению к их временному сопротивлению разрыва;</w:t>
      </w:r>
    </w:p>
    <w:p>
      <w:pPr>
        <w:pStyle w:val="Normal"/>
        <w:ind w:firstLine="284"/>
        <w:jc w:val="both"/>
        <w:rPr/>
      </w:pPr>
      <w:r>
        <w:rPr/>
        <w:t>для подвесных изоляторов -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требований стандартов на примененный тип изолятора);</w:t>
      </w:r>
    </w:p>
    <w:p>
      <w:pPr>
        <w:pStyle w:val="Normal"/>
        <w:ind w:firstLine="284"/>
        <w:jc w:val="both"/>
        <w:rPr/>
      </w:pPr>
      <w:r>
        <w:rPr/>
        <w:t>для сцепной арматуры гибких шин - не менее 3 по отношению к минимальной разрушающей нагрузке;</w:t>
      </w:r>
    </w:p>
    <w:p>
      <w:pPr>
        <w:pStyle w:val="Normal"/>
        <w:ind w:firstLine="284"/>
        <w:jc w:val="both"/>
        <w:rPr/>
      </w:pPr>
      <w:r>
        <w:rPr/>
        <w:t>для опорных изоляторов жесткой ошиновки - не менее 2,5 по отношению к гарантированной минимальной разрушающей нагрузке изолятора.</w:t>
      </w:r>
    </w:p>
    <w:p>
      <w:pPr>
        <w:pStyle w:val="Normal"/>
        <w:ind w:firstLine="284"/>
        <w:jc w:val="both"/>
        <w:rPr/>
      </w:pPr>
      <w:r>
        <w:rPr/>
        <w:t>4.2.52. Опоры для крепления шин ОРУ должны рассчитываться как промежуточные или концевые в соответствии с гл. 2.5.</w:t>
      </w:r>
    </w:p>
    <w:p>
      <w:pPr>
        <w:pStyle w:val="Normal"/>
        <w:ind w:firstLine="284"/>
        <w:jc w:val="both"/>
        <w:rPr/>
      </w:pPr>
      <w:r>
        <w:rPr/>
        <w:t>4.2.53. Компоновки ОРУ 35 кВ и выше рекомендуется выполнять без верхнего яруса шин, проходящего над выключателями.</w:t>
      </w:r>
    </w:p>
    <w:p>
      <w:pPr>
        <w:pStyle w:val="Normal"/>
        <w:ind w:firstLine="284"/>
        <w:jc w:val="both"/>
        <w:rPr/>
      </w:pPr>
      <w:r>
        <w:rPr/>
        <w:t>4.2.54. 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токоведущими частями разных цепей следует принимать по табл. 4.2.5 (рис. 4.2.3 - 4.2.12).</w:t>
      </w:r>
    </w:p>
    <w:p>
      <w:pPr>
        <w:pStyle w:val="Normal"/>
        <w:ind w:firstLine="284"/>
        <w:jc w:val="both"/>
        <w:rPr/>
      </w:pPr>
      <w:r>
        <w:rPr/>
        <w:t>В случае, если в установках, расположенных в высокогорье, расстояния между фазами увеличиваются по сравнению с приведенными в табл. 4.2.5 по результатам проверки на корону, соответственно должны быть увеличены и расстояния до заземленных частей.</w:t>
      </w:r>
    </w:p>
    <w:p>
      <w:pPr>
        <w:pStyle w:val="Normal"/>
        <w:ind w:firstLine="284"/>
        <w:jc w:val="both"/>
        <w:rPr/>
      </w:pPr>
      <w:r>
        <w:rPr/>
        <w:t xml:space="preserve">4.2.55. Наименьшие расстояния в свету при жестких шинах (см. рис. 4.2.3.) между токоведущими и заземленными частями </w:t>
      </w:r>
      <w:r>
        <w:rPr>
          <w:i/>
          <w:iCs/>
        </w:rPr>
        <w:t>А</w:t>
      </w:r>
      <w:r>
        <w:rPr>
          <w:i/>
          <w:iCs/>
          <w:vertAlign w:val="subscript"/>
        </w:rPr>
        <w:t>ф-з</w:t>
      </w:r>
      <w:r>
        <w:rPr/>
        <w:t xml:space="preserve"> и между токоведущими частями разных фаз </w:t>
      </w:r>
      <w:r>
        <w:rPr>
          <w:i/>
          <w:iCs/>
        </w:rPr>
        <w:t>А</w:t>
      </w:r>
      <w:r>
        <w:rPr>
          <w:i/>
          <w:iCs/>
          <w:vertAlign w:val="subscript"/>
        </w:rPr>
        <w:t>ф-ф</w:t>
      </w:r>
      <w:r>
        <w:rPr/>
        <w:t xml:space="preserve"> следует принимать по табл. 4.2.5, а при гибких (см. рис. 4.2.4) - следует определять следующим образом:</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3809365" cy="247650"/>
            <wp:effectExtent l="0" t="0" r="0" b="0"/>
            <wp:docPr id="74" name="image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068" descr=""/>
                    <pic:cNvPicPr>
                      <a:picLocks noChangeAspect="1" noChangeArrowheads="1"/>
                    </pic:cNvPicPr>
                  </pic:nvPicPr>
                  <pic:blipFill>
                    <a:blip r:embed="rId82"/>
                    <a:srcRect l="-9" t="-145" r="-9" b="-145"/>
                    <a:stretch>
                      <a:fillRect/>
                    </a:stretch>
                  </pic:blipFill>
                  <pic:spPr bwMode="auto">
                    <a:xfrm>
                      <a:off x="0" y="0"/>
                      <a:ext cx="3809365" cy="247650"/>
                    </a:xfrm>
                    <a:prstGeom prst="rect">
                      <a:avLst/>
                    </a:prstGeom>
                  </pic:spPr>
                </pic:pic>
              </a:graphicData>
            </a:graphic>
          </wp:inline>
        </w:drawing>
      </w:r>
    </w:p>
    <w:p>
      <w:pPr>
        <w:pStyle w:val="Normal"/>
        <w:ind w:firstLine="284"/>
        <w:jc w:val="both"/>
        <w:rPr/>
      </w:pPr>
      <w:r>
        <w:rPr/>
        <w:t xml:space="preserve">где </w:t>
      </w:r>
      <w:r>
        <w:rPr>
          <w:i/>
          <w:iCs/>
        </w:rPr>
        <w:t>a</w:t>
      </w:r>
      <w:r>
        <w:rPr/>
        <w:t xml:space="preserve"> = </w:t>
      </w:r>
      <w:r>
        <w:rPr>
          <w:i/>
          <w:iCs/>
        </w:rPr>
        <w:t>f</w:t>
      </w:r>
      <w:r>
        <w:rPr/>
        <w:t xml:space="preserve"> sin </w:t>
      </w:r>
      <w:r>
        <w:rPr>
          <w:i/>
          <w:iCs/>
        </w:rPr>
        <w:t>α</w:t>
      </w:r>
      <w:r>
        <w:rPr/>
        <w:t xml:space="preserve">; </w:t>
      </w:r>
      <w:r>
        <w:rPr>
          <w:i/>
          <w:iCs/>
        </w:rPr>
        <w:t>f</w:t>
      </w:r>
      <w:r>
        <w:rPr/>
        <w:t xml:space="preserve"> - стрела провеса проводов при температуре + 15 °С, м; </w:t>
      </w:r>
      <w:r>
        <w:rPr>
          <w:i/>
          <w:iCs/>
        </w:rPr>
        <w:t>α</w:t>
      </w:r>
      <w:r>
        <w:rPr/>
        <w:t xml:space="preserve"> = arctg </w:t>
      </w:r>
      <w:r>
        <w:rPr>
          <w:i/>
          <w:iCs/>
        </w:rPr>
        <w:t>P</w:t>
      </w:r>
      <w:r>
        <w:rPr/>
        <w:t>/</w:t>
      </w:r>
      <w:r>
        <w:rPr>
          <w:i/>
          <w:iCs/>
        </w:rPr>
        <w:t>Q</w:t>
      </w:r>
      <w:r>
        <w:rPr/>
        <w:t xml:space="preserve">; </w:t>
      </w:r>
      <w:r>
        <w:rPr>
          <w:i/>
          <w:iCs/>
        </w:rPr>
        <w:t>Q</w:t>
      </w:r>
      <w:r>
        <w:rPr/>
        <w:t xml:space="preserve"> - расчетная нагрузка от веса провода на 1 м длины провода, даН/м; </w:t>
      </w:r>
      <w:r>
        <w:rPr>
          <w:i/>
          <w:iCs/>
        </w:rPr>
        <w:t>Р</w:t>
      </w:r>
      <w:r>
        <w:rPr/>
        <w:t xml:space="preserve"> - расчетная линейная ветровая нагрузка на провод, даН/м; при этом скорость ветра принимается равной 60 % значения, выбранного при расчете строительных конструкций.</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095750" cy="1666875"/>
            <wp:effectExtent l="0" t="0" r="0" b="0"/>
            <wp:docPr id="75" name="image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069" descr=""/>
                    <pic:cNvPicPr>
                      <a:picLocks noChangeAspect="1" noChangeArrowheads="1"/>
                    </pic:cNvPicPr>
                  </pic:nvPicPr>
                  <pic:blipFill>
                    <a:blip r:embed="rId83"/>
                    <a:srcRect l="-8" t="-21" r="-8" b="-21"/>
                    <a:stretch>
                      <a:fillRect/>
                    </a:stretch>
                  </pic:blipFill>
                  <pic:spPr bwMode="auto">
                    <a:xfrm>
                      <a:off x="0" y="0"/>
                      <a:ext cx="4095750" cy="1666875"/>
                    </a:xfrm>
                    <a:prstGeom prst="rect">
                      <a:avLst/>
                    </a:prstGeom>
                  </pic:spPr>
                </pic:pic>
              </a:graphicData>
            </a:graphic>
          </wp:inline>
        </w:drawing>
      </w:r>
    </w:p>
    <w:p>
      <w:pPr>
        <w:pStyle w:val="Normal"/>
        <w:jc w:val="center"/>
        <w:rPr/>
      </w:pPr>
      <w:r>
        <w:rPr/>
        <w:t>Рис. 4.2.3. Наименьшие расстояния в свету при жестких шинах между токоведущими и заземленными частями (</w:t>
      </w:r>
      <w:r>
        <w:rPr>
          <w:i/>
          <w:iCs/>
        </w:rPr>
        <w:t>А</w:t>
      </w:r>
      <w:r>
        <w:rPr>
          <w:i/>
          <w:iCs/>
          <w:vertAlign w:val="subscript"/>
        </w:rPr>
        <w:t>ф-з</w:t>
      </w:r>
      <w:r>
        <w:rPr/>
        <w:t xml:space="preserve">, </w:t>
      </w:r>
      <w:r>
        <w:rPr>
          <w:vertAlign w:val="subscript"/>
        </w:rPr>
        <w:drawing>
          <wp:inline distT="0" distB="0" distL="0" distR="0">
            <wp:extent cx="302260" cy="246380"/>
            <wp:effectExtent l="0" t="0" r="0" b="0"/>
            <wp:docPr id="76"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 descr=""/>
                    <pic:cNvPicPr>
                      <a:picLocks noChangeAspect="1" noChangeArrowheads="1"/>
                    </pic:cNvPicPr>
                  </pic:nvPicPr>
                  <pic:blipFill>
                    <a:blip r:embed="rId84"/>
                    <a:srcRect l="-118" t="-145" r="-118" b="-145"/>
                    <a:stretch>
                      <a:fillRect/>
                    </a:stretch>
                  </pic:blipFill>
                  <pic:spPr bwMode="auto">
                    <a:xfrm>
                      <a:off x="0" y="0"/>
                      <a:ext cx="302260" cy="246380"/>
                    </a:xfrm>
                    <a:prstGeom prst="rect">
                      <a:avLst/>
                    </a:prstGeom>
                  </pic:spPr>
                </pic:pic>
              </a:graphicData>
            </a:graphic>
          </wp:inline>
        </w:drawing>
      </w:r>
      <w:r>
        <w:rPr/>
        <w:t>) и между токоведущими частями разных фаз (</w:t>
      </w:r>
      <w:r>
        <w:rPr>
          <w:i/>
          <w:iCs/>
        </w:rPr>
        <w:t>А</w:t>
      </w:r>
      <w:r>
        <w:rPr>
          <w:i/>
          <w:iCs/>
          <w:vertAlign w:val="subscript"/>
        </w:rPr>
        <w:t>ф-ф</w:t>
      </w:r>
      <w:r>
        <w:rPr/>
        <w:t>)</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038600" cy="3552825"/>
            <wp:effectExtent l="0" t="0" r="0" b="0"/>
            <wp:docPr id="77" name="image0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071" descr=""/>
                    <pic:cNvPicPr>
                      <a:picLocks noChangeAspect="1" noChangeArrowheads="1"/>
                    </pic:cNvPicPr>
                  </pic:nvPicPr>
                  <pic:blipFill>
                    <a:blip r:embed="rId85"/>
                    <a:srcRect l="-8" t="-10" r="-8" b="-10"/>
                    <a:stretch>
                      <a:fillRect/>
                    </a:stretch>
                  </pic:blipFill>
                  <pic:spPr bwMode="auto">
                    <a:xfrm>
                      <a:off x="0" y="0"/>
                      <a:ext cx="4038600" cy="3552825"/>
                    </a:xfrm>
                    <a:prstGeom prst="rect">
                      <a:avLst/>
                    </a:prstGeom>
                  </pic:spPr>
                </pic:pic>
              </a:graphicData>
            </a:graphic>
          </wp:inline>
        </w:drawing>
      </w:r>
    </w:p>
    <w:p>
      <w:pPr>
        <w:pStyle w:val="Normal"/>
        <w:spacing w:before="0" w:after="120"/>
        <w:jc w:val="center"/>
        <w:rPr/>
      </w:pPr>
      <w:r>
        <w:rPr/>
        <w:t>Рис. 4.2.4.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p>
      <w:pPr>
        <w:pStyle w:val="Normal"/>
        <w:spacing w:before="0" w:after="120"/>
        <w:jc w:val="right"/>
        <w:rPr/>
      </w:pPr>
      <w:r>
        <w:rPr>
          <w:spacing w:val="40"/>
        </w:rPr>
        <w:t>Таблица</w:t>
      </w:r>
      <w:r>
        <w:rPr/>
        <w:t xml:space="preserve"> 4.2.5.</w:t>
      </w:r>
    </w:p>
    <w:p>
      <w:pPr>
        <w:pStyle w:val="Normal"/>
        <w:spacing w:before="0" w:after="120"/>
        <w:jc w:val="center"/>
        <w:rPr/>
      </w:pPr>
      <w:r>
        <w:rPr>
          <w:b/>
          <w:bCs/>
        </w:rPr>
        <w:t xml:space="preserve">Наименьшие расстояния в свету от токоведущих частей до различных элементов ОРУ (подстанций) 10 - 750 кВ, защищенных разрядниками, и ОРУ 220 - 750 кВ, защищенных ограничителями перенапряжений, (в знаменателе) (рис. </w:t>
      </w:r>
      <w:r>
        <w:rPr>
          <w:bCs/>
        </w:rPr>
        <w:t>4.2.3</w:t>
      </w:r>
      <w:r>
        <w:rPr>
          <w:b/>
          <w:bCs/>
        </w:rPr>
        <w:t xml:space="preserve"> - </w:t>
      </w:r>
      <w:r>
        <w:rPr>
          <w:bCs/>
        </w:rPr>
        <w:t>4.2.12</w:t>
      </w:r>
      <w:r>
        <w:rPr>
          <w:b/>
          <w:bCs/>
        </w:rPr>
        <w:t>)</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875"/>
        <w:gridCol w:w="2294"/>
        <w:gridCol w:w="1381"/>
        <w:gridCol w:w="531"/>
        <w:gridCol w:w="532"/>
        <w:gridCol w:w="532"/>
        <w:gridCol w:w="531"/>
        <w:gridCol w:w="532"/>
        <w:gridCol w:w="532"/>
        <w:gridCol w:w="531"/>
        <w:gridCol w:w="532"/>
        <w:gridCol w:w="552"/>
      </w:tblGrid>
      <w:tr>
        <w:trPr>
          <w:tblHeader w:val="true"/>
        </w:trPr>
        <w:tc>
          <w:tcPr>
            <w:tcW w:w="87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Номер рисунка</w:t>
            </w:r>
          </w:p>
        </w:tc>
        <w:tc>
          <w:tcPr>
            <w:tcW w:w="2294"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Наименование расстояния</w:t>
            </w:r>
          </w:p>
        </w:tc>
        <w:tc>
          <w:tcPr>
            <w:tcW w:w="138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Обозначение</w:t>
            </w:r>
          </w:p>
        </w:tc>
        <w:tc>
          <w:tcPr>
            <w:tcW w:w="4805" w:type="dxa"/>
            <w:gridSpan w:val="9"/>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Изоляционное расстояние, мм, для номинального напряжения, кВ</w:t>
            </w:r>
          </w:p>
        </w:tc>
      </w:tr>
      <w:tr>
        <w:trPr>
          <w:tblHeader w:val="true"/>
        </w:trPr>
        <w:tc>
          <w:tcPr>
            <w:tcW w:w="87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294"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38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3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до 10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330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500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750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4.2.3 4.2.4 4.2.5</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2 м, а также до стационарных межячейковых экранов и противопожарных перегородок</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А</w:t>
            </w:r>
            <w:r>
              <w:rPr>
                <w:i/>
                <w:iCs/>
                <w:vertAlign w:val="subscript"/>
              </w:rPr>
              <w:t>ф-з</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1800</w:t>
            </w:r>
          </w:p>
          <w:p>
            <w:pPr>
              <w:pStyle w:val="Normal"/>
              <w:jc w:val="center"/>
              <w:rPr/>
            </w:pPr>
            <w:r>
              <w:rPr/>
              <w:t>1200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2500</w:t>
            </w:r>
          </w:p>
          <w:p>
            <w:pPr>
              <w:pStyle w:val="Normal"/>
              <w:jc w:val="center"/>
              <w:rPr/>
            </w:pPr>
            <w:r>
              <w:rPr/>
              <w:t>2000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3750</w:t>
            </w:r>
          </w:p>
          <w:p>
            <w:pPr>
              <w:pStyle w:val="Normal"/>
              <w:jc w:val="center"/>
              <w:rPr/>
            </w:pPr>
            <w:r>
              <w:rPr/>
              <w:t>3300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5500</w:t>
            </w:r>
          </w:p>
          <w:p>
            <w:pPr>
              <w:pStyle w:val="Normal"/>
              <w:jc w:val="center"/>
              <w:rPr/>
            </w:pPr>
            <w:r>
              <w:rPr/>
              <w:t>5000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4.2.3 4.2.4</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vertAlign w:val="subscript"/>
              </w:rPr>
            </w:pPr>
            <w:r>
              <w:rPr>
                <w:vertAlign w:val="subscript"/>
              </w:rPr>
              <w:drawing>
                <wp:inline distT="0" distB="0" distL="0" distR="0">
                  <wp:extent cx="302260" cy="246380"/>
                  <wp:effectExtent l="0" t="0" r="0" b="0"/>
                  <wp:docPr id="7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 descr=""/>
                          <pic:cNvPicPr>
                            <a:picLocks noChangeAspect="1" noChangeArrowheads="1"/>
                          </pic:cNvPicPr>
                        </pic:nvPicPr>
                        <pic:blipFill>
                          <a:blip r:embed="rId86"/>
                          <a:srcRect l="-118" t="-145" r="-118" b="-145"/>
                          <a:stretch>
                            <a:fillRect/>
                          </a:stretch>
                        </pic:blipFill>
                        <pic:spPr bwMode="auto">
                          <a:xfrm>
                            <a:off x="0" y="0"/>
                            <a:ext cx="302260" cy="246380"/>
                          </a:xfrm>
                          <a:prstGeom prst="rect">
                            <a:avLst/>
                          </a:prstGeom>
                        </pic:spPr>
                      </pic:pic>
                    </a:graphicData>
                  </a:graphic>
                </wp:inline>
              </w:drawing>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1600</w:t>
            </w:r>
          </w:p>
          <w:p>
            <w:pPr>
              <w:pStyle w:val="Normal"/>
              <w:jc w:val="center"/>
              <w:rPr/>
            </w:pPr>
            <w:r>
              <w:rPr/>
              <w:t>1200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2200</w:t>
            </w:r>
          </w:p>
          <w:p>
            <w:pPr>
              <w:pStyle w:val="Normal"/>
              <w:jc w:val="center"/>
              <w:rPr/>
            </w:pPr>
            <w:r>
              <w:rPr/>
              <w:t>1800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3300</w:t>
            </w:r>
          </w:p>
          <w:p>
            <w:pPr>
              <w:pStyle w:val="Normal"/>
              <w:jc w:val="center"/>
              <w:rPr/>
            </w:pPr>
            <w:r>
              <w:rPr/>
              <w:t>2700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5000</w:t>
            </w:r>
          </w:p>
          <w:p>
            <w:pPr>
              <w:pStyle w:val="Normal"/>
              <w:jc w:val="center"/>
              <w:rPr/>
            </w:pPr>
            <w:r>
              <w:rPr/>
              <w:t>4500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4.2.3 4.2.4 4.2.11</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Между токоведущими частями разных фаз</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А</w:t>
            </w:r>
            <w:r>
              <w:rPr>
                <w:i/>
                <w:iCs/>
                <w:vertAlign w:val="subscript"/>
              </w:rPr>
              <w:t>ф-ф</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330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440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2000</w:t>
            </w:r>
          </w:p>
          <w:p>
            <w:pPr>
              <w:pStyle w:val="Normal"/>
              <w:jc w:val="center"/>
              <w:rPr/>
            </w:pPr>
            <w:r>
              <w:rPr/>
              <w:t>1600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1800</w:t>
            </w:r>
          </w:p>
          <w:p>
            <w:pPr>
              <w:pStyle w:val="Normal"/>
              <w:jc w:val="center"/>
              <w:rPr/>
            </w:pPr>
            <w:r>
              <w:rPr/>
              <w:t>2200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4200</w:t>
            </w:r>
          </w:p>
          <w:p>
            <w:pPr>
              <w:pStyle w:val="Normal"/>
              <w:jc w:val="center"/>
              <w:rPr/>
            </w:pPr>
            <w:r>
              <w:rPr/>
              <w:t>3400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8000</w:t>
            </w:r>
          </w:p>
          <w:p>
            <w:pPr>
              <w:pStyle w:val="Normal"/>
              <w:jc w:val="center"/>
              <w:rPr/>
            </w:pPr>
            <w:r>
              <w:rPr/>
              <w:t>6500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4.2.5 4.2.7</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элементов оборудования и изоляции, находящихся под напряжением, до постоянных внутренних ограждений высотой до 1,6 м и до транспортируемого оборудования</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Б</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2550</w:t>
            </w:r>
          </w:p>
          <w:p>
            <w:pPr>
              <w:pStyle w:val="Normal"/>
              <w:jc w:val="center"/>
              <w:rPr/>
            </w:pPr>
            <w:r>
              <w:rPr/>
              <w:t>2000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3250</w:t>
            </w:r>
          </w:p>
          <w:p>
            <w:pPr>
              <w:pStyle w:val="Normal"/>
              <w:jc w:val="center"/>
              <w:rPr/>
            </w:pPr>
            <w:r>
              <w:rPr/>
              <w:t>3000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4500</w:t>
            </w:r>
          </w:p>
          <w:p>
            <w:pPr>
              <w:pStyle w:val="Normal"/>
              <w:jc w:val="center"/>
              <w:rPr/>
            </w:pPr>
            <w:r>
              <w:rPr/>
              <w:t>4100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6300</w:t>
            </w:r>
          </w:p>
          <w:p>
            <w:pPr>
              <w:pStyle w:val="Normal"/>
              <w:jc w:val="center"/>
              <w:rPr/>
            </w:pPr>
            <w:r>
              <w:rPr/>
              <w:t>5800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4.2.8</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Между токоведущими частями разных цепей в разных плоскостях при обслуживаемой нижней цепи и неотключенной верхней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В</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960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1150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3000</w:t>
            </w:r>
          </w:p>
          <w:p>
            <w:pPr>
              <w:pStyle w:val="Normal"/>
              <w:jc w:val="center"/>
              <w:rPr/>
            </w:pPr>
            <w:r>
              <w:rPr/>
              <w:t>2400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4000</w:t>
            </w:r>
          </w:p>
          <w:p>
            <w:pPr>
              <w:pStyle w:val="Normal"/>
              <w:jc w:val="center"/>
              <w:rPr/>
            </w:pPr>
            <w:r>
              <w:rPr/>
              <w:t>3500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5000</w:t>
            </w:r>
          </w:p>
          <w:p>
            <w:pPr>
              <w:pStyle w:val="Normal"/>
              <w:jc w:val="center"/>
              <w:rPr/>
            </w:pPr>
            <w:r>
              <w:rPr/>
              <w:t>3950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7000</w:t>
            </w:r>
          </w:p>
          <w:p>
            <w:pPr>
              <w:pStyle w:val="Normal"/>
              <w:jc w:val="center"/>
              <w:rPr/>
            </w:pPr>
            <w:r>
              <w:rPr/>
              <w:t>6000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4.2.6 4.2.12</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неогражденных токоведущих частей до земли или до кровли зданий при наибольшем провисании проводов</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Г</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2900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3100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3600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4500</w:t>
            </w:r>
          </w:p>
          <w:p>
            <w:pPr>
              <w:pStyle w:val="Normal"/>
              <w:jc w:val="center"/>
              <w:rPr/>
            </w:pPr>
            <w:r>
              <w:rPr/>
              <w:t>3900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5000</w:t>
            </w:r>
          </w:p>
          <w:p>
            <w:pPr>
              <w:pStyle w:val="Normal"/>
              <w:jc w:val="center"/>
              <w:rPr/>
            </w:pPr>
            <w:r>
              <w:rPr/>
              <w:t>4700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6450</w:t>
            </w:r>
          </w:p>
          <w:p>
            <w:pPr>
              <w:pStyle w:val="Normal"/>
              <w:jc w:val="center"/>
              <w:rPr/>
            </w:pPr>
            <w:r>
              <w:rPr/>
              <w:t>6000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8200</w:t>
            </w:r>
          </w:p>
          <w:p>
            <w:pPr>
              <w:pStyle w:val="Normal"/>
              <w:jc w:val="center"/>
              <w:rPr/>
            </w:pPr>
            <w:r>
              <w:rPr/>
              <w:t>7200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4.2.8 4.2.9</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Д</w:t>
            </w:r>
            <w:r>
              <w:rPr>
                <w:vertAlign w:val="superscript"/>
              </w:rPr>
              <w:t>1</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2900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3600</w:t>
            </w:r>
          </w:p>
          <w:p>
            <w:pPr>
              <w:pStyle w:val="Normal"/>
              <w:jc w:val="center"/>
              <w:rPr/>
            </w:pPr>
            <w:r>
              <w:rPr/>
              <w:t>3200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4200</w:t>
            </w:r>
          </w:p>
          <w:p>
            <w:pPr>
              <w:pStyle w:val="Normal"/>
              <w:jc w:val="center"/>
              <w:rPr/>
            </w:pPr>
            <w:r>
              <w:rPr/>
              <w:t>3800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5200</w:t>
            </w:r>
          </w:p>
          <w:p>
            <w:pPr>
              <w:pStyle w:val="Normal"/>
              <w:jc w:val="center"/>
              <w:rPr/>
            </w:pPr>
            <w:r>
              <w:rPr/>
              <w:t>4700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7000</w:t>
            </w:r>
          </w:p>
          <w:p>
            <w:pPr>
              <w:pStyle w:val="Normal"/>
              <w:jc w:val="center"/>
              <w:rPr/>
            </w:pPr>
            <w:r>
              <w:rPr/>
              <w:t>6500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4.2.10 4.2.12</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до верхней кромки внешнего забора или до здания и сооружения</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Д</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2900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3300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3800</w:t>
            </w:r>
          </w:p>
          <w:p>
            <w:pPr>
              <w:pStyle w:val="Normal"/>
              <w:jc w:val="center"/>
              <w:rPr/>
            </w:pPr>
            <w:r>
              <w:rPr/>
              <w:t>3200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4500</w:t>
            </w:r>
          </w:p>
          <w:p>
            <w:pPr>
              <w:pStyle w:val="Normal"/>
              <w:jc w:val="center"/>
              <w:rPr/>
            </w:pPr>
            <w:r>
              <w:rPr/>
              <w:t>4000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5750</w:t>
            </w:r>
          </w:p>
          <w:p>
            <w:pPr>
              <w:pStyle w:val="Normal"/>
              <w:jc w:val="center"/>
              <w:rPr/>
            </w:pPr>
            <w:r>
              <w:rPr/>
              <w:t>5300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7500</w:t>
            </w:r>
          </w:p>
          <w:p>
            <w:pPr>
              <w:pStyle w:val="Normal"/>
              <w:jc w:val="center"/>
              <w:rPr/>
            </w:pPr>
            <w:r>
              <w:rPr/>
              <w:t>6500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4.2.11</w:t>
            </w:r>
          </w:p>
        </w:tc>
        <w:tc>
          <w:tcPr>
            <w:tcW w:w="22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контакта и ножа разъединителя в отключенном положении до ошиновки, присоединенной ко второму контакту</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Ж</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365</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485</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1550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2200</w:t>
            </w:r>
          </w:p>
          <w:p>
            <w:pPr>
              <w:pStyle w:val="Normal"/>
              <w:jc w:val="center"/>
              <w:rPr/>
            </w:pPr>
            <w:r>
              <w:rPr/>
              <w:t>1800</w:t>
            </w:r>
          </w:p>
        </w:tc>
        <w:tc>
          <w:tcPr>
            <w:tcW w:w="53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3100</w:t>
            </w:r>
          </w:p>
          <w:p>
            <w:pPr>
              <w:pStyle w:val="Normal"/>
              <w:jc w:val="center"/>
              <w:rPr/>
            </w:pPr>
            <w:r>
              <w:rPr/>
              <w:t>2600</w:t>
            </w:r>
          </w:p>
        </w:tc>
        <w:tc>
          <w:tcPr>
            <w:tcW w:w="53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4600</w:t>
            </w:r>
          </w:p>
          <w:p>
            <w:pPr>
              <w:pStyle w:val="Normal"/>
              <w:jc w:val="center"/>
              <w:rPr/>
            </w:pPr>
            <w:r>
              <w:rPr/>
              <w:t>3800</w:t>
            </w:r>
          </w:p>
        </w:tc>
        <w:tc>
          <w:tcPr>
            <w:tcW w:w="55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7500</w:t>
            </w:r>
          </w:p>
          <w:p>
            <w:pPr>
              <w:pStyle w:val="Normal"/>
              <w:jc w:val="center"/>
              <w:rPr/>
            </w:pPr>
            <w:r>
              <w:rPr/>
              <w:t>6100</w:t>
            </w:r>
          </w:p>
        </w:tc>
      </w:tr>
    </w:tbl>
    <w:p>
      <w:pPr>
        <w:pStyle w:val="Normal"/>
        <w:spacing w:before="120" w:after="0"/>
        <w:ind w:firstLine="284"/>
        <w:jc w:val="both"/>
        <w:rPr/>
      </w:pPr>
      <w:r>
        <w:rPr>
          <w:spacing w:val="40"/>
        </w:rPr>
        <w:t>Примечания</w:t>
      </w:r>
      <w:r>
        <w:rPr/>
        <w:t>:</w:t>
      </w:r>
    </w:p>
    <w:p>
      <w:pPr>
        <w:pStyle w:val="Normal"/>
        <w:ind w:firstLine="284"/>
        <w:jc w:val="both"/>
        <w:rPr/>
      </w:pPr>
      <w:r>
        <w:rP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pPr>
        <w:pStyle w:val="Normal"/>
        <w:ind w:firstLine="284"/>
        <w:jc w:val="both"/>
        <w:rPr/>
      </w:pPr>
      <w:r>
        <w:rPr/>
        <w:t xml:space="preserve">2. Расстояние от токоведущих частей или элементов изоляции (со стороны токоведущих частей), находящихся под напряжением, до габаритов трансформаторов, транспортируемых по железнодорожным путям, допускается принять менее размера </w:t>
      </w:r>
      <w:r>
        <w:rPr>
          <w:i/>
          <w:iCs/>
        </w:rPr>
        <w:t>Б</w:t>
      </w:r>
      <w:r>
        <w:rPr/>
        <w:t xml:space="preserve">, но не менее размера </w:t>
      </w:r>
      <w:r>
        <w:rPr>
          <w:vertAlign w:val="subscript"/>
        </w:rPr>
        <w:drawing>
          <wp:inline distT="0" distB="0" distL="0" distR="0">
            <wp:extent cx="302260" cy="246380"/>
            <wp:effectExtent l="0" t="0" r="0" b="0"/>
            <wp:docPr id="7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5" descr=""/>
                    <pic:cNvPicPr>
                      <a:picLocks noChangeAspect="1" noChangeArrowheads="1"/>
                    </pic:cNvPicPr>
                  </pic:nvPicPr>
                  <pic:blipFill>
                    <a:blip r:embed="rId87"/>
                    <a:srcRect l="-118" t="-145" r="-118" b="-145"/>
                    <a:stretch>
                      <a:fillRect/>
                    </a:stretch>
                  </pic:blipFill>
                  <pic:spPr bwMode="auto">
                    <a:xfrm>
                      <a:off x="0" y="0"/>
                      <a:ext cx="302260" cy="246380"/>
                    </a:xfrm>
                    <a:prstGeom prst="rect">
                      <a:avLst/>
                    </a:prstGeom>
                  </pic:spPr>
                </pic:pic>
              </a:graphicData>
            </a:graphic>
          </wp:inline>
        </w:drawing>
      </w:r>
      <w:r>
        <w:rPr/>
        <w:t>.</w:t>
      </w:r>
    </w:p>
    <w:p>
      <w:pPr>
        <w:pStyle w:val="Normal"/>
        <w:ind w:firstLine="284"/>
        <w:jc w:val="both"/>
        <w:rPr/>
      </w:pPr>
      <w:r>
        <w:rPr/>
        <w:t xml:space="preserve">3. Расстояния </w:t>
      </w:r>
      <w:r>
        <w:rPr>
          <w:i/>
          <w:iCs/>
        </w:rPr>
        <w:t>А</w:t>
      </w:r>
      <w:r>
        <w:rPr>
          <w:i/>
          <w:iCs/>
          <w:vertAlign w:val="subscript"/>
        </w:rPr>
        <w:t>ф-з</w:t>
      </w:r>
      <w:r>
        <w:rPr/>
        <w:t xml:space="preserve">, </w:t>
      </w:r>
      <w:r>
        <w:rPr>
          <w:vertAlign w:val="subscript"/>
        </w:rPr>
        <w:drawing>
          <wp:inline distT="0" distB="0" distL="0" distR="0">
            <wp:extent cx="302260" cy="246380"/>
            <wp:effectExtent l="0" t="0" r="0" b="0"/>
            <wp:docPr id="8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 descr=""/>
                    <pic:cNvPicPr>
                      <a:picLocks noChangeAspect="1" noChangeArrowheads="1"/>
                    </pic:cNvPicPr>
                  </pic:nvPicPr>
                  <pic:blipFill>
                    <a:blip r:embed="rId88"/>
                    <a:srcRect l="-118" t="-145" r="-118" b="-145"/>
                    <a:stretch>
                      <a:fillRect/>
                    </a:stretch>
                  </pic:blipFill>
                  <pic:spPr bwMode="auto">
                    <a:xfrm>
                      <a:off x="0" y="0"/>
                      <a:ext cx="302260" cy="246380"/>
                    </a:xfrm>
                    <a:prstGeom prst="rect">
                      <a:avLst/>
                    </a:prstGeom>
                  </pic:spPr>
                </pic:pic>
              </a:graphicData>
            </a:graphic>
          </wp:inline>
        </w:drawing>
      </w:r>
      <w:r>
        <w:rPr/>
        <w:t xml:space="preserve">, и </w:t>
      </w:r>
      <w:r>
        <w:rPr>
          <w:i/>
          <w:iCs/>
        </w:rPr>
        <w:t>А</w:t>
      </w:r>
      <w:r>
        <w:rPr>
          <w:i/>
          <w:iCs/>
          <w:vertAlign w:val="subscript"/>
        </w:rPr>
        <w:t>ф-ф</w:t>
      </w:r>
      <w:r>
        <w:rPr/>
        <w:t xml:space="preserve"> для ОРУ 220 кВ и выше, расположенных на высоте более 1000 м над уровнем моря, должны быть увеличены в соответствии с требованиями государственных стандартов, а расстояния </w:t>
      </w:r>
      <w:r>
        <w:rPr>
          <w:i/>
          <w:iCs/>
        </w:rPr>
        <w:t>А</w:t>
      </w:r>
      <w:r>
        <w:rPr>
          <w:i/>
          <w:iCs/>
          <w:vertAlign w:val="subscript"/>
        </w:rPr>
        <w:t>ф-ф</w:t>
      </w:r>
      <w:r>
        <w:rPr/>
        <w:t xml:space="preserve">, </w:t>
      </w:r>
      <w:r>
        <w:rPr>
          <w:i/>
          <w:iCs/>
        </w:rPr>
        <w:t>В</w:t>
      </w:r>
      <w:r>
        <w:rPr/>
        <w:t xml:space="preserve"> и </w:t>
      </w:r>
      <w:r>
        <w:rPr>
          <w:i/>
          <w:iCs/>
        </w:rPr>
        <w:t>Д</w:t>
      </w:r>
      <w:r>
        <w:rPr>
          <w:vertAlign w:val="superscript"/>
        </w:rPr>
        <w:t>1</w:t>
      </w:r>
      <w:r>
        <w:rPr/>
        <w:t xml:space="preserve"> должны быть проверены по условиям ограничения короны.</w:t>
      </w:r>
    </w:p>
    <w:p>
      <w:pPr>
        <w:pStyle w:val="Normal"/>
        <w:ind w:firstLine="284"/>
        <w:jc w:val="both"/>
        <w:rPr/>
      </w:pPr>
      <w:r>
        <w:rPr/>
        <w:t xml:space="preserve">4. Для напряжения 750 кВ в таблице даны расстояния </w:t>
      </w:r>
      <w:r>
        <w:rPr>
          <w:i/>
          <w:iCs/>
        </w:rPr>
        <w:t>А</w:t>
      </w:r>
      <w:r>
        <w:rPr>
          <w:i/>
          <w:iCs/>
          <w:vertAlign w:val="subscript"/>
        </w:rPr>
        <w:t>ф-ф</w:t>
      </w:r>
      <w:r>
        <w:rPr/>
        <w:t xml:space="preserve"> между параллельными проводами длиной более 20 м; расстояния </w:t>
      </w:r>
      <w:r>
        <w:rPr>
          <w:i/>
          <w:iCs/>
        </w:rPr>
        <w:t>А</w:t>
      </w:r>
      <w:r>
        <w:rPr>
          <w:i/>
          <w:iCs/>
          <w:vertAlign w:val="subscript"/>
        </w:rPr>
        <w:t>ф-ф</w:t>
      </w:r>
      <w:r>
        <w:rPr/>
        <w:t>, между экранами, скрещивающимися проводами, параллельными проводами длиной до 20 м для ОРУ 750 кВ с разрядниками равны 7000 мм, а для ОРУ 750 кВ с ОПН - 5500 мм.</w:t>
      </w:r>
    </w:p>
    <w:p>
      <w:pPr>
        <w:pStyle w:val="Normal"/>
        <w:ind w:firstLine="284"/>
        <w:jc w:val="both"/>
        <w:rPr/>
      </w:pPr>
      <w:r>
        <w:rPr/>
        <w:t xml:space="preserve">5. Ограничители перенапряжений имеют защитный уровень ограничения коммутационных перенапряжений фаза-земля 1,8 </w:t>
      </w:r>
      <w:r>
        <w:rPr>
          <w:i/>
          <w:iCs/>
        </w:rPr>
        <w:t>U</w:t>
      </w:r>
      <w:r>
        <w:rPr>
          <w:i/>
          <w:iCs/>
          <w:vertAlign w:val="subscript"/>
        </w:rPr>
        <w:t>ф</w:t>
      </w:r>
      <w:r>
        <w:rPr/>
        <w:t>.</w:t>
      </w:r>
    </w:p>
    <w:p>
      <w:pPr>
        <w:pStyle w:val="Normal"/>
        <w:spacing w:before="120" w:after="0"/>
        <w:ind w:firstLine="284"/>
        <w:jc w:val="both"/>
        <w:rPr/>
      </w:pPr>
      <w:r>
        <w:rPr/>
        <w:t>4.2.56.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быть не менее приведенных в табл. 2.5.17, принимаемым по наибольшему рабочему напряжению.</w:t>
      </w:r>
    </w:p>
    <w:p>
      <w:pPr>
        <w:pStyle w:val="Normal"/>
        <w:ind w:firstLine="284"/>
        <w:jc w:val="both"/>
        <w:rPr/>
      </w:pPr>
      <w:r>
        <w:rPr/>
        <w:t>В гибкой ошиновке, выполненной из нескольких проводов в фазе, следует устанавливать внутрифазовые дистанционные распорки.</w:t>
      </w:r>
    </w:p>
    <w:p>
      <w:pPr>
        <w:pStyle w:val="Normal"/>
        <w:ind w:firstLine="284"/>
        <w:jc w:val="both"/>
        <w:rPr/>
      </w:pPr>
      <w:r>
        <w:rPr/>
        <w:t>4.2.57. Наименьшие расстояния от токоведущих частей и изоляторов, находящихся под напряжением, до постоянных внутренних ограждений должны быть (табл. 4.2.5, рис. 4.2.5);</w:t>
      </w:r>
    </w:p>
    <w:p>
      <w:pPr>
        <w:pStyle w:val="Normal"/>
        <w:ind w:firstLine="284"/>
        <w:jc w:val="both"/>
        <w:rPr/>
      </w:pPr>
      <w:r>
        <w:rPr>
          <w:i/>
          <w:iCs/>
        </w:rPr>
        <w:t>по горизонтали</w:t>
      </w:r>
      <w:r>
        <w:rPr/>
        <w:t xml:space="preserve"> - не менее размера </w:t>
      </w:r>
      <w:r>
        <w:rPr>
          <w:i/>
          <w:iCs/>
        </w:rPr>
        <w:t>Б</w:t>
      </w:r>
      <w:r>
        <w:rPr/>
        <w:t xml:space="preserve"> при высоте ограждения 1,6 м и не менее размера </w:t>
      </w:r>
      <w:r>
        <w:rPr>
          <w:i/>
          <w:iCs/>
        </w:rPr>
        <w:t>А</w:t>
      </w:r>
      <w:r>
        <w:rPr>
          <w:i/>
          <w:iCs/>
          <w:vertAlign w:val="subscript"/>
        </w:rPr>
        <w:t>ф-з</w:t>
      </w:r>
      <w:r>
        <w:rPr/>
        <w:t xml:space="preserve"> при высоте ограждения 2,0 м. Второй вариант рекомендуется для применения в стесненных условиях площадки ПС;</w:t>
      </w:r>
    </w:p>
    <w:p>
      <w:pPr>
        <w:pStyle w:val="Normal"/>
        <w:ind w:firstLine="284"/>
        <w:jc w:val="both"/>
        <w:rPr/>
      </w:pPr>
      <w:r>
        <w:rPr>
          <w:i/>
          <w:iCs/>
        </w:rPr>
        <w:t>по вертикали</w:t>
      </w:r>
      <w:r>
        <w:rPr/>
        <w:t xml:space="preserve"> - не менее размера </w:t>
      </w:r>
      <w:r>
        <w:rPr>
          <w:i/>
          <w:iCs/>
        </w:rPr>
        <w:t>А</w:t>
      </w:r>
      <w:r>
        <w:rPr>
          <w:i/>
          <w:iCs/>
          <w:vertAlign w:val="subscript"/>
        </w:rPr>
        <w:t>ф-з</w:t>
      </w:r>
      <w:r>
        <w:rPr/>
        <w:t>, отмеряемого в плоскости ограждения от точки, расположенной на высоте 2,7 м от земли.</w:t>
      </w:r>
    </w:p>
    <w:p>
      <w:pPr>
        <w:pStyle w:val="Normal"/>
        <w:ind w:firstLine="284"/>
        <w:jc w:val="both"/>
        <w:rPr/>
      </w:pPr>
      <w:r>
        <w:rPr/>
        <w:t xml:space="preserve">4.2.58. Токоведущие части (выводы, шины, спуски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w:t>
      </w:r>
      <w:r>
        <w:rPr>
          <w:i/>
          <w:iCs/>
        </w:rPr>
        <w:t>Г</w:t>
      </w:r>
      <w:r>
        <w:rPr/>
        <w:t xml:space="preserve"> по табл. 4.2.5 (рис. 4.2.6).</w:t>
      </w:r>
    </w:p>
    <w:p>
      <w:pPr>
        <w:pStyle w:val="Normal"/>
        <w:ind w:firstLine="284"/>
        <w:jc w:val="both"/>
        <w:rPr/>
      </w:pPr>
      <w:r>
        <w:rPr/>
        <w:t>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pPr>
        <w:pStyle w:val="Normal"/>
        <w:ind w:firstLine="284"/>
        <w:jc w:val="both"/>
        <w:rPr/>
      </w:pPr>
      <w:r>
        <w:rPr/>
        <w:t>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2,5 м, разрешается не ограждать (см. рис. 4.2.6). При меньшей высоте оборудование должно иметь постоянные ограждения, удовлетворяющие требованиям 4.2.29, располагаемые от трансформаторов и аппаратов на расстояниях не менее приведенных в 4.2.57.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3352800" cy="2238375"/>
            <wp:effectExtent l="0" t="0" r="0" b="0"/>
            <wp:docPr id="81" name="image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073" descr=""/>
                    <pic:cNvPicPr>
                      <a:picLocks noChangeAspect="1" noChangeArrowheads="1"/>
                    </pic:cNvPicPr>
                  </pic:nvPicPr>
                  <pic:blipFill>
                    <a:blip r:embed="rId89"/>
                    <a:srcRect l="-10" t="-16" r="-10" b="-16"/>
                    <a:stretch>
                      <a:fillRect/>
                    </a:stretch>
                  </pic:blipFill>
                  <pic:spPr bwMode="auto">
                    <a:xfrm>
                      <a:off x="0" y="0"/>
                      <a:ext cx="3352800" cy="2238375"/>
                    </a:xfrm>
                    <a:prstGeom prst="rect">
                      <a:avLst/>
                    </a:prstGeom>
                  </pic:spPr>
                </pic:pic>
              </a:graphicData>
            </a:graphic>
          </wp:inline>
        </w:drawing>
      </w:r>
    </w:p>
    <w:p>
      <w:pPr>
        <w:pStyle w:val="Normal"/>
        <w:spacing w:before="0" w:after="120"/>
        <w:jc w:val="center"/>
        <w:rPr/>
      </w:pPr>
      <w:r>
        <w:rPr/>
        <w:t>Рис. 4.2.5. Наименьшие расстояния от токоведущих частей и элементов изоляции, находящихся под напряжением, до постоянных внутренних ограждений</w:t>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2200275" cy="1390650"/>
            <wp:effectExtent l="0" t="0" r="0" b="0"/>
            <wp:docPr id="82" name="image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074" descr=""/>
                    <pic:cNvPicPr>
                      <a:picLocks noChangeAspect="1" noChangeArrowheads="1"/>
                    </pic:cNvPicPr>
                  </pic:nvPicPr>
                  <pic:blipFill>
                    <a:blip r:embed="rId90"/>
                    <a:srcRect l="-16" t="-25" r="-16" b="-25"/>
                    <a:stretch>
                      <a:fillRect/>
                    </a:stretch>
                  </pic:blipFill>
                  <pic:spPr bwMode="auto">
                    <a:xfrm>
                      <a:off x="0" y="0"/>
                      <a:ext cx="2200275" cy="1390650"/>
                    </a:xfrm>
                    <a:prstGeom prst="rect">
                      <a:avLst/>
                    </a:prstGeom>
                  </pic:spPr>
                </pic:pic>
              </a:graphicData>
            </a:graphic>
          </wp:inline>
        </w:drawing>
      </w:r>
    </w:p>
    <w:p>
      <w:pPr>
        <w:pStyle w:val="Normal"/>
        <w:spacing w:before="0" w:after="120"/>
        <w:jc w:val="center"/>
        <w:rPr/>
      </w:pPr>
      <w:r>
        <w:rPr/>
        <w:t>Рис. 4.2.6. Наименьшие расстояния от неогражденных токоведущих частей и от нижней кромки фарфора изоляторов до земли</w:t>
      </w:r>
    </w:p>
    <w:p>
      <w:pPr>
        <w:pStyle w:val="Normal"/>
        <w:ind w:firstLine="284"/>
        <w:jc w:val="both"/>
        <w:rPr/>
      </w:pPr>
      <w:r>
        <w:rPr/>
        <w:t xml:space="preserve">4.2.59. Расстояния от неогражденных токоведущих частей до габаритов машин, механизмов и транспортируемого оборудования должны быть не менее размера </w:t>
      </w:r>
      <w:r>
        <w:rPr>
          <w:i/>
          <w:iCs/>
        </w:rPr>
        <w:t>Б</w:t>
      </w:r>
      <w:r>
        <w:rPr/>
        <w:t xml:space="preserve"> по табл. 4.2.5 (рис. 4.2.7).</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266950" cy="2552065"/>
            <wp:effectExtent l="0" t="0" r="0" b="0"/>
            <wp:docPr id="83" name="image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075" descr=""/>
                    <pic:cNvPicPr>
                      <a:picLocks noChangeAspect="1" noChangeArrowheads="1"/>
                    </pic:cNvPicPr>
                  </pic:nvPicPr>
                  <pic:blipFill>
                    <a:blip r:embed="rId91"/>
                    <a:srcRect l="-15" t="-14" r="-15" b="-14"/>
                    <a:stretch>
                      <a:fillRect/>
                    </a:stretch>
                  </pic:blipFill>
                  <pic:spPr bwMode="auto">
                    <a:xfrm>
                      <a:off x="0" y="0"/>
                      <a:ext cx="2266950" cy="2552065"/>
                    </a:xfrm>
                    <a:prstGeom prst="rect">
                      <a:avLst/>
                    </a:prstGeom>
                  </pic:spPr>
                </pic:pic>
              </a:graphicData>
            </a:graphic>
          </wp:inline>
        </w:drawing>
      </w:r>
    </w:p>
    <w:p>
      <w:pPr>
        <w:pStyle w:val="Normal"/>
        <w:spacing w:before="0" w:after="120"/>
        <w:jc w:val="center"/>
        <w:rPr/>
      </w:pPr>
      <w:r>
        <w:rPr/>
        <w:t>Рис. 4.2.7. Наименьшие расстояния от токоведущих частей до транспортируемого оборудования</w:t>
      </w:r>
    </w:p>
    <w:p>
      <w:pPr>
        <w:pStyle w:val="Normal"/>
        <w:ind w:firstLine="284"/>
        <w:jc w:val="both"/>
        <w:rPr/>
      </w:pPr>
      <w:r>
        <w:rPr/>
        <w:t xml:space="preserve">4.2.60. Расстояния между ближайшими неогражденными токоведущими частями разных цепей должны выбираться из условия безопасного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 должны быть не менее размера </w:t>
      </w:r>
      <w:r>
        <w:rPr>
          <w:i/>
          <w:iCs/>
        </w:rPr>
        <w:t>В</w:t>
      </w:r>
      <w:r>
        <w:rPr/>
        <w:t xml:space="preserve">, а по горизонтали - размера </w:t>
      </w:r>
      <w:r>
        <w:rPr>
          <w:i/>
          <w:iCs/>
        </w:rPr>
        <w:t>Д</w:t>
      </w:r>
      <w:r>
        <w:rPr>
          <w:vertAlign w:val="superscript"/>
        </w:rPr>
        <w:t>1</w:t>
      </w:r>
      <w:r>
        <w:rPr/>
        <w:t xml:space="preserve"> по табл. 4.2.5 (рис. 4.2.8). При наличии разных напряжений размеры </w:t>
      </w:r>
      <w:r>
        <w:rPr>
          <w:i/>
          <w:iCs/>
        </w:rPr>
        <w:t>В</w:t>
      </w:r>
      <w:r>
        <w:rPr/>
        <w:t xml:space="preserve"> и </w:t>
      </w:r>
      <w:r>
        <w:rPr>
          <w:i/>
          <w:iCs/>
        </w:rPr>
        <w:t>Д</w:t>
      </w:r>
      <w:r>
        <w:rPr>
          <w:vertAlign w:val="superscript"/>
        </w:rPr>
        <w:t>1</w:t>
      </w:r>
      <w:r>
        <w:rPr/>
        <w:t xml:space="preserve"> принимаются по более высокому напряжению.</w:t>
      </w:r>
    </w:p>
    <w:p>
      <w:pPr>
        <w:pStyle w:val="Normal"/>
        <w:ind w:firstLine="284"/>
        <w:jc w:val="both"/>
        <w:rPr/>
      </w:pPr>
      <w:r>
        <w:rPr/>
        <w:t xml:space="preserve">Размер </w:t>
      </w:r>
      <w:r>
        <w:rPr>
          <w:i/>
          <w:iCs/>
        </w:rPr>
        <w:t>В</w:t>
      </w:r>
      <w:r>
        <w:rPr/>
        <w:t xml:space="preserve"> определен из условия обслуживания нижней цепи при неотключенной верхней, а размер </w:t>
      </w:r>
      <w:r>
        <w:rPr>
          <w:i/>
          <w:iCs/>
        </w:rPr>
        <w:t>Д</w:t>
      </w:r>
      <w:r>
        <w:rPr>
          <w:vertAlign w:val="superscript"/>
        </w:rPr>
        <w:t>1</w:t>
      </w:r>
      <w:r>
        <w:rPr/>
        <w:t xml:space="preserve"> - обслуживания одной цепи при неотключенной другой. Если такое обслуживание не предусматривается, расстояние между токоведущими частями разных цепей в разных плоскостях должно приниматься в соответствии с 4.2.53; при этом должна быть учтена возможность сближения проводов в условиях эксплуатации (под влиянием ветра, гололеда, температуры).</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713990" cy="1323975"/>
            <wp:effectExtent l="0" t="0" r="0" b="0"/>
            <wp:docPr id="84" name="image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076" descr=""/>
                    <pic:cNvPicPr>
                      <a:picLocks noChangeAspect="1" noChangeArrowheads="1"/>
                    </pic:cNvPicPr>
                  </pic:nvPicPr>
                  <pic:blipFill>
                    <a:blip r:embed="rId92"/>
                    <a:srcRect l="-13" t="-27" r="-13" b="-27"/>
                    <a:stretch>
                      <a:fillRect/>
                    </a:stretch>
                  </pic:blipFill>
                  <pic:spPr bwMode="auto">
                    <a:xfrm>
                      <a:off x="0" y="0"/>
                      <a:ext cx="2713990" cy="1323975"/>
                    </a:xfrm>
                    <a:prstGeom prst="rect">
                      <a:avLst/>
                    </a:prstGeom>
                  </pic:spPr>
                </pic:pic>
              </a:graphicData>
            </a:graphic>
          </wp:inline>
        </w:drawing>
      </w:r>
    </w:p>
    <w:p>
      <w:pPr>
        <w:pStyle w:val="Normal"/>
        <w:spacing w:before="0" w:after="120"/>
        <w:jc w:val="center"/>
        <w:rPr/>
      </w:pPr>
      <w:r>
        <w:rPr/>
        <w:t>Рис. 4.2.8. Наименьшие расстояния между токоведущими частями разных цепей, расположенными в различных плоскостях с обслуживанием нижней цепи при неотключенной верхней</w:t>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3733800" cy="885825"/>
            <wp:effectExtent l="0" t="0" r="0" b="0"/>
            <wp:docPr id="85" name="image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077" descr=""/>
                    <pic:cNvPicPr>
                      <a:picLocks noChangeAspect="1" noChangeArrowheads="1"/>
                    </pic:cNvPicPr>
                  </pic:nvPicPr>
                  <pic:blipFill>
                    <a:blip r:embed="rId93"/>
                    <a:srcRect l="-9" t="-40" r="-9" b="-40"/>
                    <a:stretch>
                      <a:fillRect/>
                    </a:stretch>
                  </pic:blipFill>
                  <pic:spPr bwMode="auto">
                    <a:xfrm>
                      <a:off x="0" y="0"/>
                      <a:ext cx="3733800" cy="885825"/>
                    </a:xfrm>
                    <a:prstGeom prst="rect">
                      <a:avLst/>
                    </a:prstGeom>
                  </pic:spPr>
                </pic:pic>
              </a:graphicData>
            </a:graphic>
          </wp:inline>
        </w:drawing>
      </w:r>
    </w:p>
    <w:p>
      <w:pPr>
        <w:pStyle w:val="Normal"/>
        <w:spacing w:before="0" w:after="120"/>
        <w:jc w:val="center"/>
        <w:rPr/>
      </w:pPr>
      <w:r>
        <w:rPr/>
        <w:t>Рис. 4.2.9. Наименьшие расстояния по горизонтали между токоведущими частями разных цепей с обслуживанием одной цепи при неотключенной другой</w:t>
      </w:r>
    </w:p>
    <w:p>
      <w:pPr>
        <w:pStyle w:val="Normal"/>
        <w:ind w:firstLine="284"/>
        <w:jc w:val="both"/>
        <w:rPr/>
      </w:pPr>
      <w:r>
        <w:rPr/>
        <w:t xml:space="preserve">4.2.61. Расстояния между токоведущими частями и верхней кромкой внешнего забора должны быть не менее размера </w:t>
      </w:r>
      <w:r>
        <w:rPr>
          <w:i/>
          <w:iCs/>
        </w:rPr>
        <w:t>Д</w:t>
      </w:r>
      <w:r>
        <w:rPr/>
        <w:t xml:space="preserve"> по табл. 4.2.5 (рис. 4.2.10).</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647315" cy="1733550"/>
            <wp:effectExtent l="0" t="0" r="0" b="0"/>
            <wp:docPr id="86" name="image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078" descr=""/>
                    <pic:cNvPicPr>
                      <a:picLocks noChangeAspect="1" noChangeArrowheads="1"/>
                    </pic:cNvPicPr>
                  </pic:nvPicPr>
                  <pic:blipFill>
                    <a:blip r:embed="rId94"/>
                    <a:srcRect l="-13" t="-20" r="-13" b="-20"/>
                    <a:stretch>
                      <a:fillRect/>
                    </a:stretch>
                  </pic:blipFill>
                  <pic:spPr bwMode="auto">
                    <a:xfrm>
                      <a:off x="0" y="0"/>
                      <a:ext cx="2647315" cy="1733550"/>
                    </a:xfrm>
                    <a:prstGeom prst="rect">
                      <a:avLst/>
                    </a:prstGeom>
                  </pic:spPr>
                </pic:pic>
              </a:graphicData>
            </a:graphic>
          </wp:inline>
        </w:drawing>
      </w:r>
    </w:p>
    <w:p>
      <w:pPr>
        <w:pStyle w:val="Normal"/>
        <w:spacing w:before="0" w:after="120"/>
        <w:jc w:val="center"/>
        <w:rPr/>
      </w:pPr>
      <w:r>
        <w:rPr/>
        <w:t>Рис. 4.2.10. Наименьшие расстояния от токоведущих частей до верхней кромки внешнего ограждения</w:t>
      </w:r>
    </w:p>
    <w:p>
      <w:pPr>
        <w:pStyle w:val="Normal"/>
        <w:ind w:firstLine="284"/>
        <w:jc w:val="both"/>
        <w:rPr/>
      </w:pPr>
      <w:r>
        <w:rPr/>
        <w:t xml:space="preserve">4.2.62. Расстояния от подвижных контактов разъединителей в отключенном положении до заземленных частей должны быть не менее размеров </w:t>
      </w:r>
      <w:r>
        <w:rPr>
          <w:i/>
          <w:iCs/>
        </w:rPr>
        <w:t>А</w:t>
      </w:r>
      <w:r>
        <w:rPr>
          <w:i/>
          <w:iCs/>
          <w:vertAlign w:val="subscript"/>
        </w:rPr>
        <w:t>ф-з</w:t>
      </w:r>
      <w:r>
        <w:rPr/>
        <w:t xml:space="preserve"> и </w:t>
      </w:r>
      <w:r>
        <w:rPr>
          <w:vertAlign w:val="subscript"/>
        </w:rPr>
        <w:drawing>
          <wp:inline distT="0" distB="0" distL="0" distR="0">
            <wp:extent cx="325755" cy="246380"/>
            <wp:effectExtent l="0" t="0" r="0" b="0"/>
            <wp:docPr id="8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7" descr=""/>
                    <pic:cNvPicPr>
                      <a:picLocks noChangeAspect="1" noChangeArrowheads="1"/>
                    </pic:cNvPicPr>
                  </pic:nvPicPr>
                  <pic:blipFill>
                    <a:blip r:embed="rId95"/>
                    <a:srcRect l="-111" t="-145" r="-111" b="-145"/>
                    <a:stretch>
                      <a:fillRect/>
                    </a:stretch>
                  </pic:blipFill>
                  <pic:spPr bwMode="auto">
                    <a:xfrm>
                      <a:off x="0" y="0"/>
                      <a:ext cx="325755" cy="246380"/>
                    </a:xfrm>
                    <a:prstGeom prst="rect">
                      <a:avLst/>
                    </a:prstGeom>
                  </pic:spPr>
                </pic:pic>
              </a:graphicData>
            </a:graphic>
          </wp:inline>
        </w:drawing>
      </w:r>
      <w:r>
        <w:rPr/>
        <w:t xml:space="preserve">; до ошиновки своей фазы, присоединенной ко второму контакту - не менее размера </w:t>
      </w:r>
      <w:r>
        <w:rPr>
          <w:i/>
          <w:iCs/>
        </w:rPr>
        <w:t>Ж</w:t>
      </w:r>
      <w:r>
        <w:rPr/>
        <w:t xml:space="preserve">; до ошиновки других присоединений - не менее размера </w:t>
      </w:r>
      <w:r>
        <w:rPr>
          <w:i/>
          <w:iCs/>
        </w:rPr>
        <w:t>А</w:t>
      </w:r>
      <w:r>
        <w:rPr>
          <w:i/>
          <w:iCs/>
          <w:vertAlign w:val="subscript"/>
        </w:rPr>
        <w:t>ф-ф</w:t>
      </w:r>
      <w:r>
        <w:rPr/>
        <w:t xml:space="preserve"> по табл. 4.2.5 (рис. 4.2.11).</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590165" cy="1885950"/>
            <wp:effectExtent l="0" t="0" r="0" b="0"/>
            <wp:docPr id="88" name="image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080" descr=""/>
                    <pic:cNvPicPr>
                      <a:picLocks noChangeAspect="1" noChangeArrowheads="1"/>
                    </pic:cNvPicPr>
                  </pic:nvPicPr>
                  <pic:blipFill>
                    <a:blip r:embed="rId96"/>
                    <a:srcRect l="-13" t="-19" r="-13" b="-19"/>
                    <a:stretch>
                      <a:fillRect/>
                    </a:stretch>
                  </pic:blipFill>
                  <pic:spPr bwMode="auto">
                    <a:xfrm>
                      <a:off x="0" y="0"/>
                      <a:ext cx="2590165" cy="1885950"/>
                    </a:xfrm>
                    <a:prstGeom prst="rect">
                      <a:avLst/>
                    </a:prstGeom>
                  </pic:spPr>
                </pic:pic>
              </a:graphicData>
            </a:graphic>
          </wp:inline>
        </w:drawing>
      </w:r>
    </w:p>
    <w:p>
      <w:pPr>
        <w:pStyle w:val="Normal"/>
        <w:spacing w:before="0" w:after="120"/>
        <w:jc w:val="center"/>
        <w:rPr/>
      </w:pPr>
      <w:r>
        <w:rPr/>
        <w:t>Рис. 4.2.11. Наименьшие расстояния от подвижных контактов разъединителей в отключенном положении до заземленных и токоведущих частей</w:t>
      </w:r>
    </w:p>
    <w:p>
      <w:pPr>
        <w:pStyle w:val="Normal"/>
        <w:ind w:firstLine="284"/>
        <w:jc w:val="both"/>
        <w:rPr/>
      </w:pPr>
      <w:r>
        <w:rPr/>
        <w:t xml:space="preserve">4.2.63. Расстояния между токоведущими частями ОРУ и зданиями или сооружениями (ЗРУ, помещение щита управления, трансформаторная башня и др.) по горизонтали должны быть не менее размера </w:t>
      </w:r>
      <w:r>
        <w:rPr>
          <w:i/>
          <w:iCs/>
        </w:rPr>
        <w:t>Д</w:t>
      </w:r>
      <w:r>
        <w:rPr/>
        <w:t xml:space="preserve">, а по вертикали при наибольшем провисании проводов - не менее размера </w:t>
      </w:r>
      <w:r>
        <w:rPr>
          <w:i/>
          <w:iCs/>
        </w:rPr>
        <w:t>Г</w:t>
      </w:r>
      <w:r>
        <w:rPr/>
        <w:t xml:space="preserve"> по табл. 4.2.5 (рис. 4.2.12).</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143125" cy="1552575"/>
            <wp:effectExtent l="0" t="0" r="0" b="0"/>
            <wp:docPr id="89" name="image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081" descr=""/>
                    <pic:cNvPicPr>
                      <a:picLocks noChangeAspect="1" noChangeArrowheads="1"/>
                    </pic:cNvPicPr>
                  </pic:nvPicPr>
                  <pic:blipFill>
                    <a:blip r:embed="rId97"/>
                    <a:srcRect l="-16" t="-23" r="-16" b="-23"/>
                    <a:stretch>
                      <a:fillRect/>
                    </a:stretch>
                  </pic:blipFill>
                  <pic:spPr bwMode="auto">
                    <a:xfrm>
                      <a:off x="0" y="0"/>
                      <a:ext cx="2143125" cy="1552575"/>
                    </a:xfrm>
                    <a:prstGeom prst="rect">
                      <a:avLst/>
                    </a:prstGeom>
                  </pic:spPr>
                </pic:pic>
              </a:graphicData>
            </a:graphic>
          </wp:inline>
        </w:drawing>
      </w:r>
    </w:p>
    <w:p>
      <w:pPr>
        <w:pStyle w:val="Normal"/>
        <w:spacing w:before="0" w:after="120"/>
        <w:jc w:val="center"/>
        <w:rPr/>
      </w:pPr>
      <w:r>
        <w:rPr/>
        <w:t>Рис. 4.2.12. Наименьшие расстояния между токоведущими частями и зданиями и сооружениями</w:t>
      </w:r>
    </w:p>
    <w:p>
      <w:pPr>
        <w:pStyle w:val="Normal"/>
        <w:ind w:firstLine="284"/>
        <w:jc w:val="both"/>
        <w:rPr/>
      </w:pPr>
      <w:r>
        <w:rPr/>
        <w:t>4.2.64. Прокладка воздушных осветительных линий, воздушных линий связи и цепей сигнализации над и под токоведущими частями ОРУ не допускается.</w:t>
      </w:r>
    </w:p>
    <w:p>
      <w:pPr>
        <w:pStyle w:val="Normal"/>
        <w:ind w:firstLine="284"/>
        <w:jc w:val="both"/>
        <w:rPr/>
      </w:pPr>
      <w:r>
        <w:rPr/>
        <w:t>4.2.65. Расстояния от складов водорода до ОРУ, трансформаторов, синхронных компенсаторов должны быть не менее 50 м; до опор ВЛ - не менее 1,5 высоты опоры; до зданий ПС при количестве хранимых на складе баллонов до 500 шт. - не менее 20 м, свыше 500 шт. - не менее 25 м; до внешней ограды ПС - не менее 5,5 м.</w:t>
      </w:r>
    </w:p>
    <w:p>
      <w:pPr>
        <w:pStyle w:val="Normal"/>
        <w:ind w:firstLine="284"/>
        <w:jc w:val="both"/>
        <w:rPr/>
      </w:pPr>
      <w:r>
        <w:rPr/>
        <w:t>4.2.66. Расстояния от открыто установленных электротехнических устройств до водоохладителей ПС должны быть не менее значений, приведенных в табл. 4.2.6.</w:t>
      </w:r>
    </w:p>
    <w:p>
      <w:pPr>
        <w:pStyle w:val="Normal"/>
        <w:ind w:firstLine="284"/>
        <w:jc w:val="both"/>
        <w:rPr/>
      </w:pPr>
      <w:r>
        <w:rPr/>
        <w:t>Для районов с расчетными температурами наружного воздуха ниже минус 36 °С приведенные в табл. 4.2.6. расстояния должны быть увеличены на 25 %, а с температурами выше минус 20 °С - уменьшены на 25 %. Для реконструируемых объектов приведенные в табл. 4.2.6. расстояния допускается уменьшать, но не более чем на 25 %.</w:t>
      </w:r>
    </w:p>
    <w:p>
      <w:pPr>
        <w:pStyle w:val="Normal"/>
        <w:spacing w:before="120" w:after="120"/>
        <w:jc w:val="right"/>
        <w:rPr/>
      </w:pPr>
      <w:r>
        <w:rPr>
          <w:spacing w:val="40"/>
        </w:rPr>
        <w:t>Таблица</w:t>
      </w:r>
      <w:r>
        <w:rPr/>
        <w:t xml:space="preserve"> 4.2.6</w:t>
      </w:r>
    </w:p>
    <w:p>
      <w:pPr>
        <w:pStyle w:val="Normal"/>
        <w:spacing w:before="0" w:after="120"/>
        <w:jc w:val="center"/>
        <w:rPr/>
      </w:pPr>
      <w:r>
        <w:rPr/>
        <w:t>Наименьшее расстояние от открыто установленных электротехнических устройств до водоохладителей ПС</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6596"/>
        <w:gridCol w:w="2759"/>
      </w:tblGrid>
      <w:tr>
        <w:trPr>
          <w:tblHeader w:val="true"/>
        </w:trPr>
        <w:tc>
          <w:tcPr>
            <w:tcW w:w="6596"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Водоохладитель</w:t>
            </w:r>
          </w:p>
        </w:tc>
        <w:tc>
          <w:tcPr>
            <w:tcW w:w="2759"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Расстояние, м</w:t>
            </w:r>
          </w:p>
        </w:tc>
      </w:tr>
      <w:tr>
        <w:trPr/>
        <w:tc>
          <w:tcPr>
            <w:tcW w:w="6596" w:type="dxa"/>
            <w:tcBorders>
              <w:left w:val="single" w:sz="8" w:space="0" w:color="000000"/>
              <w:bottom w:val="single" w:sz="8" w:space="0" w:color="000000"/>
              <w:insideH w:val="single" w:sz="8" w:space="0" w:color="000000"/>
            </w:tcBorders>
            <w:shd w:fill="FFFFFF" w:val="clear"/>
          </w:tcPr>
          <w:p>
            <w:pPr>
              <w:pStyle w:val="Normal"/>
              <w:jc w:val="both"/>
              <w:rPr/>
            </w:pPr>
            <w:r>
              <w:rPr/>
              <w:t>Брызгальные устройства и открытые градирни</w:t>
            </w:r>
          </w:p>
        </w:tc>
        <w:tc>
          <w:tcPr>
            <w:tcW w:w="27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80</w:t>
            </w:r>
          </w:p>
        </w:tc>
      </w:tr>
      <w:tr>
        <w:trPr/>
        <w:tc>
          <w:tcPr>
            <w:tcW w:w="6596" w:type="dxa"/>
            <w:tcBorders>
              <w:left w:val="single" w:sz="8" w:space="0" w:color="000000"/>
              <w:bottom w:val="single" w:sz="8" w:space="0" w:color="000000"/>
              <w:insideH w:val="single" w:sz="8" w:space="0" w:color="000000"/>
            </w:tcBorders>
            <w:shd w:fill="FFFFFF" w:val="clear"/>
          </w:tcPr>
          <w:p>
            <w:pPr>
              <w:pStyle w:val="Normal"/>
              <w:jc w:val="both"/>
              <w:rPr/>
            </w:pPr>
            <w:r>
              <w:rPr/>
              <w:t>Башенные и одновентиляторные градирни</w:t>
            </w:r>
          </w:p>
        </w:tc>
        <w:tc>
          <w:tcPr>
            <w:tcW w:w="27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6596" w:type="dxa"/>
            <w:tcBorders>
              <w:left w:val="single" w:sz="8" w:space="0" w:color="000000"/>
              <w:bottom w:val="single" w:sz="8" w:space="0" w:color="000000"/>
              <w:insideH w:val="single" w:sz="8" w:space="0" w:color="000000"/>
            </w:tcBorders>
            <w:shd w:fill="FFFFFF" w:val="clear"/>
          </w:tcPr>
          <w:p>
            <w:pPr>
              <w:pStyle w:val="Normal"/>
              <w:jc w:val="both"/>
              <w:rPr/>
            </w:pPr>
            <w:r>
              <w:rPr/>
              <w:t>Секционные вентиляторные градирни</w:t>
            </w:r>
          </w:p>
        </w:tc>
        <w:tc>
          <w:tcPr>
            <w:tcW w:w="275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42</w:t>
            </w:r>
          </w:p>
        </w:tc>
      </w:tr>
    </w:tbl>
    <w:p>
      <w:pPr>
        <w:pStyle w:val="Normal"/>
        <w:spacing w:before="120" w:after="0"/>
        <w:ind w:firstLine="284"/>
        <w:jc w:val="both"/>
        <w:rPr/>
      </w:pPr>
      <w:r>
        <w:rPr/>
        <w:t>4.2.67. Расстояния от оборудования РУ и ПС до зданий ЗРУ и других технологических зданий и сооружений, до КБ, СТК, СК определяются только технологическими требованиями и не должны увеличиваться по пожарным условиям.</w:t>
      </w:r>
    </w:p>
    <w:p>
      <w:pPr>
        <w:pStyle w:val="Normal"/>
        <w:ind w:firstLine="284"/>
        <w:jc w:val="both"/>
        <w:rPr/>
      </w:pPr>
      <w:r>
        <w:rPr/>
        <w:t>4.2.68. Противопожарные расстояния от маслонаполненного оборудования с массой масла в единице оборудования 60 кг и более до производственных зданий с категорией помещения В1 - В2, Г и Д, а также до жилых и общественных зданий должны быть не менее:</w:t>
      </w:r>
    </w:p>
    <w:p>
      <w:pPr>
        <w:pStyle w:val="Normal"/>
        <w:ind w:firstLine="284"/>
        <w:jc w:val="both"/>
        <w:rPr/>
      </w:pPr>
      <w:r>
        <w:rPr/>
        <w:t>16 м - при степени огнестойкости этих зданий I и II;</w:t>
      </w:r>
    </w:p>
    <w:p>
      <w:pPr>
        <w:pStyle w:val="Normal"/>
        <w:ind w:firstLine="284"/>
        <w:jc w:val="both"/>
        <w:rPr/>
      </w:pPr>
      <w:r>
        <w:rPr/>
        <w:t>20 м - при степени III;</w:t>
      </w:r>
    </w:p>
    <w:p>
      <w:pPr>
        <w:pStyle w:val="Normal"/>
        <w:ind w:firstLine="284"/>
        <w:jc w:val="both"/>
        <w:rPr/>
      </w:pPr>
      <w:r>
        <w:rPr/>
        <w:t>24 м - при степени IV и V.</w:t>
      </w:r>
    </w:p>
    <w:p>
      <w:pPr>
        <w:pStyle w:val="Normal"/>
        <w:ind w:firstLine="284"/>
        <w:jc w:val="both"/>
        <w:rPr/>
      </w:pPr>
      <w:r>
        <w:rPr/>
        <w:t xml:space="preserve">При установке у стен производственных зданий с категорией помещения Г и Д маслонаполненных трансформаторов с массой масла 60 кг и более, электрически связанных с оборудованием, установленным в этих зданиях, разрешаются расстояния менее указанных. При этом, на расстоянии от них более 10 м и вне пределов участков шириной </w:t>
      </w:r>
      <w:r>
        <w:rPr>
          <w:i/>
          <w:iCs/>
        </w:rPr>
        <w:t>Б</w:t>
      </w:r>
      <w:r>
        <w:rPr/>
        <w:t xml:space="preserve"> (рис. 4.2.13) специальных требований к стенам, окнам и дверям зданий не предъявляется.</w:t>
      </w:r>
    </w:p>
    <w:p>
      <w:pPr>
        <w:pStyle w:val="Normal"/>
        <w:ind w:firstLine="284"/>
        <w:jc w:val="both"/>
        <w:rPr/>
      </w:pPr>
      <w:r>
        <w:rPr/>
        <w:t xml:space="preserve">При расстоянии менее 10 м до трансформаторов в пределах участков шириной </w:t>
      </w:r>
      <w:r>
        <w:rPr>
          <w:i/>
          <w:iCs/>
        </w:rPr>
        <w:t>Б</w:t>
      </w:r>
      <w:r>
        <w:rPr/>
        <w:t xml:space="preserve"> должны выполняться следующие требования:</w:t>
      </w:r>
    </w:p>
    <w:p>
      <w:pPr>
        <w:pStyle w:val="Normal"/>
        <w:ind w:firstLine="284"/>
        <w:jc w:val="both"/>
        <w:rPr/>
      </w:pPr>
      <w:r>
        <w:rPr/>
        <w:t xml:space="preserve">1) до высоты </w:t>
      </w:r>
      <w:r>
        <w:rPr>
          <w:i/>
          <w:iCs/>
        </w:rPr>
        <w:t>Д</w:t>
      </w:r>
      <w:r>
        <w:rPr/>
        <w:t xml:space="preserve"> (до уровня ввода трансформаторов) окна не допускаются;</w:t>
      </w:r>
    </w:p>
    <w:p>
      <w:pPr>
        <w:pStyle w:val="Normal"/>
        <w:ind w:firstLine="284"/>
        <w:jc w:val="both"/>
        <w:rPr/>
      </w:pPr>
      <w:r>
        <w:rPr/>
        <w:t xml:space="preserve">2) при расстоянии </w:t>
      </w:r>
      <w:r>
        <w:rPr>
          <w:i/>
          <w:iCs/>
        </w:rPr>
        <w:t>г</w:t>
      </w:r>
      <w:r>
        <w:rPr/>
        <w:t xml:space="preserve"> менее 5 м и степенях огнестойкости зданий IV и V стена здания должна быть выполнена по I степени огнестойкости и возвышаться над кровлей, выполненной из сгораемого материала, не менее чем на 0,7 м;</w:t>
      </w:r>
    </w:p>
    <w:p>
      <w:pPr>
        <w:pStyle w:val="Normal"/>
        <w:ind w:firstLine="284"/>
        <w:jc w:val="both"/>
        <w:rPr/>
      </w:pPr>
      <w:r>
        <w:rPr/>
        <w:t xml:space="preserve">3) при расстоянии </w:t>
      </w:r>
      <w:r>
        <w:rPr>
          <w:i/>
          <w:iCs/>
        </w:rPr>
        <w:t>г</w:t>
      </w:r>
      <w:r>
        <w:rPr/>
        <w:t xml:space="preserve"> менее 5 м и степенях огнестойкости зданий I, II, III, а также при расстоянии </w:t>
      </w:r>
      <w:r>
        <w:rPr>
          <w:i/>
          <w:iCs/>
        </w:rPr>
        <w:t>г</w:t>
      </w:r>
      <w:r>
        <w:rPr/>
        <w:t xml:space="preserve"> 5 м и более без ограничения по огнестойкости на высоте от </w:t>
      </w:r>
      <w:r>
        <w:rPr>
          <w:i/>
          <w:iCs/>
        </w:rPr>
        <w:t>д</w:t>
      </w:r>
      <w:r>
        <w:rPr/>
        <w:t xml:space="preserve"> до </w:t>
      </w:r>
      <w:r>
        <w:rPr>
          <w:i/>
          <w:iCs/>
        </w:rPr>
        <w:t>д</w:t>
      </w:r>
      <w:r>
        <w:rPr/>
        <w:t xml:space="preserve"> + </w:t>
      </w:r>
      <w:r>
        <w:rPr>
          <w:i/>
          <w:iCs/>
        </w:rPr>
        <w:t>е</w:t>
      </w:r>
      <w:r>
        <w:rPr/>
        <w:t xml:space="preserve"> допускаются неоткрывающиеся окна с заполнением армированным стеклом или стеклоблоками с рамами из несгораемого материала; выше </w:t>
      </w:r>
      <w:r>
        <w:rPr>
          <w:i/>
          <w:iCs/>
        </w:rPr>
        <w:t>д</w:t>
      </w:r>
      <w:r>
        <w:rPr/>
        <w:t xml:space="preserve"> + </w:t>
      </w:r>
      <w:r>
        <w:rPr>
          <w:i/>
          <w:iCs/>
        </w:rPr>
        <w:t>е</w:t>
      </w:r>
      <w:r>
        <w:rPr/>
        <w:t xml:space="preserve"> - окна, открывающиеся внутрь здания, с проемами, снабженными снаружи металлическими сетками с ячейками не более 25×25 мм;</w:t>
      </w:r>
    </w:p>
    <w:p>
      <w:pPr>
        <w:pStyle w:val="Normal"/>
        <w:ind w:firstLine="284"/>
        <w:jc w:val="both"/>
        <w:rPr/>
      </w:pPr>
      <w:r>
        <w:rPr/>
        <w:t xml:space="preserve">4) при расстоянии </w:t>
      </w:r>
      <w:r>
        <w:rPr>
          <w:i/>
          <w:iCs/>
        </w:rPr>
        <w:t>г</w:t>
      </w:r>
      <w:r>
        <w:rPr/>
        <w:t xml:space="preserve"> менее 5 м на высоте менее </w:t>
      </w:r>
      <w:r>
        <w:rPr>
          <w:i/>
          <w:iCs/>
        </w:rPr>
        <w:t>д</w:t>
      </w:r>
      <w:r>
        <w:rPr/>
        <w:t xml:space="preserve">, а при </w:t>
      </w:r>
      <w:r>
        <w:rPr>
          <w:i/>
          <w:iCs/>
        </w:rPr>
        <w:t>г</w:t>
      </w:r>
      <w:r>
        <w:rPr/>
        <w:t xml:space="preserve"> 5 м и более на любой высоте допускаются двери из несгораемых или трудносгораемых материалов с пределом огнестойкости не менее 60 мин;</w:t>
      </w:r>
    </w:p>
    <w:p>
      <w:pPr>
        <w:pStyle w:val="Normal"/>
        <w:ind w:firstLine="284"/>
        <w:jc w:val="both"/>
        <w:rPr/>
      </w:pPr>
      <w:r>
        <w:rPr/>
        <w:t xml:space="preserve">5) вентиляционные приемные отверстия в стене здания при расстоянии </w:t>
      </w:r>
      <w:r>
        <w:rPr>
          <w:i/>
          <w:iCs/>
        </w:rPr>
        <w:t>г</w:t>
      </w:r>
      <w:r>
        <w:rPr/>
        <w:t xml:space="preserve"> менее 5 м не допускаются; вытяжные отверстия с выбросом незагрязненного воздуха в указанном пределе допускаются на высоте </w:t>
      </w:r>
      <w:r>
        <w:rPr>
          <w:i/>
          <w:iCs/>
        </w:rPr>
        <w:t>д</w:t>
      </w:r>
      <w:r>
        <w:rPr/>
        <w:t>;</w:t>
      </w:r>
    </w:p>
    <w:p>
      <w:pPr>
        <w:pStyle w:val="Normal"/>
        <w:ind w:firstLine="284"/>
        <w:jc w:val="both"/>
        <w:rPr/>
      </w:pPr>
      <w:r>
        <w:rPr/>
        <w:t xml:space="preserve">6) при расстоянии </w:t>
      </w:r>
      <w:r>
        <w:rPr>
          <w:i/>
          <w:iCs/>
        </w:rPr>
        <w:t>г</w:t>
      </w:r>
      <w:r>
        <w:rPr/>
        <w:t xml:space="preserve"> от 5 до 10 м вентиляционные отверстия в ограждающих конструкциях кабельных помещений со стороны трансформаторов на участке шириной </w:t>
      </w:r>
      <w:r>
        <w:rPr>
          <w:i/>
          <w:iCs/>
        </w:rPr>
        <w:t>Б</w:t>
      </w:r>
      <w:r>
        <w:rPr/>
        <w:t xml:space="preserve"> не допускаются.</w:t>
      </w:r>
    </w:p>
    <w:p>
      <w:pPr>
        <w:pStyle w:val="Normal"/>
        <w:ind w:firstLine="284"/>
        <w:jc w:val="both"/>
        <w:rPr/>
      </w:pPr>
      <w:r>
        <w:rPr/>
        <w:t xml:space="preserve">Приведенные на рис. 4.2.13 размеры </w:t>
      </w:r>
      <w:r>
        <w:rPr>
          <w:i/>
          <w:iCs/>
        </w:rPr>
        <w:t>а</w:t>
      </w:r>
      <w:r>
        <w:rPr/>
        <w:t xml:space="preserve"> - </w:t>
      </w:r>
      <w:r>
        <w:rPr>
          <w:i/>
          <w:iCs/>
        </w:rPr>
        <w:t>г</w:t>
      </w:r>
      <w:r>
        <w:rPr/>
        <w:t xml:space="preserve"> и </w:t>
      </w:r>
      <w:r>
        <w:rPr>
          <w:i/>
          <w:iCs/>
        </w:rPr>
        <w:t>А</w:t>
      </w:r>
      <w:r>
        <w:rPr/>
        <w:t xml:space="preserve"> принимаются до наиболее выступающих частей трансформаторов на высоте не более 1,9 м от поверхности земли. При единичной мощности трансформаторов до 1,6 МВ·А расстояния </w:t>
      </w:r>
      <w:r>
        <w:rPr>
          <w:i/>
          <w:iCs/>
        </w:rPr>
        <w:t>в</w:t>
      </w:r>
      <w:r>
        <w:rPr/>
        <w:t xml:space="preserve"> ≥ 1,5 м; </w:t>
      </w:r>
      <w:r>
        <w:rPr>
          <w:i/>
          <w:iCs/>
        </w:rPr>
        <w:t>е</w:t>
      </w:r>
      <w:r>
        <w:rPr/>
        <w:t xml:space="preserve"> ≥ 8 м; более 1,6 МВ·А </w:t>
      </w:r>
      <w:r>
        <w:rPr>
          <w:i/>
          <w:iCs/>
        </w:rPr>
        <w:t>в</w:t>
      </w:r>
      <w:r>
        <w:rPr/>
        <w:t xml:space="preserve"> ≥ 2 м; </w:t>
      </w:r>
      <w:r>
        <w:rPr>
          <w:i/>
          <w:iCs/>
        </w:rPr>
        <w:t>е</w:t>
      </w:r>
      <w:r>
        <w:rPr/>
        <w:t xml:space="preserve"> ≥ 10 м. Расстояние </w:t>
      </w:r>
      <w:r>
        <w:rPr>
          <w:i/>
          <w:iCs/>
        </w:rPr>
        <w:t>б</w:t>
      </w:r>
      <w:r>
        <w:rPr/>
        <w:t xml:space="preserve"> принимается по 4.2.217, расстояние </w:t>
      </w:r>
      <w:r>
        <w:rPr>
          <w:i/>
          <w:iCs/>
        </w:rPr>
        <w:t>г</w:t>
      </w:r>
      <w:r>
        <w:rPr/>
        <w:t xml:space="preserve"> должно быть не менее 0,8 м.</w:t>
      </w:r>
    </w:p>
    <w:p>
      <w:pPr>
        <w:pStyle w:val="Normal"/>
        <w:ind w:firstLine="284"/>
        <w:jc w:val="both"/>
        <w:rPr/>
      </w:pPr>
      <w:r>
        <w:rPr/>
        <w:t>Требования настоящего пункта распространяются также на КТП наружной установки.</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4705350" cy="6486525"/>
            <wp:effectExtent l="0" t="0" r="0" b="0"/>
            <wp:docPr id="90" name="image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082" descr=""/>
                    <pic:cNvPicPr>
                      <a:picLocks noChangeAspect="1" noChangeArrowheads="1"/>
                    </pic:cNvPicPr>
                  </pic:nvPicPr>
                  <pic:blipFill>
                    <a:blip r:embed="rId98"/>
                    <a:srcRect l="-7" t="-5" r="-7" b="-5"/>
                    <a:stretch>
                      <a:fillRect/>
                    </a:stretch>
                  </pic:blipFill>
                  <pic:spPr bwMode="auto">
                    <a:xfrm>
                      <a:off x="0" y="0"/>
                      <a:ext cx="4705350" cy="6486525"/>
                    </a:xfrm>
                    <a:prstGeom prst="rect">
                      <a:avLst/>
                    </a:prstGeom>
                  </pic:spPr>
                </pic:pic>
              </a:graphicData>
            </a:graphic>
          </wp:inline>
        </w:drawing>
      </w:r>
    </w:p>
    <w:p>
      <w:pPr>
        <w:pStyle w:val="Normal"/>
        <w:spacing w:before="0" w:after="120"/>
        <w:jc w:val="center"/>
        <w:rPr/>
      </w:pPr>
      <w:r>
        <w:rPr/>
        <w:t xml:space="preserve">Рис. 4.2.13. Требования к открытой установке маслонаполненных трансформаторов у зданий с производствами категорий </w:t>
      </w:r>
      <w:r>
        <w:rPr>
          <w:i/>
          <w:iCs/>
        </w:rPr>
        <w:t>Г</w:t>
      </w:r>
      <w:r>
        <w:rPr/>
        <w:t xml:space="preserve"> и </w:t>
      </w:r>
      <w:r>
        <w:rPr>
          <w:i/>
          <w:iCs/>
        </w:rPr>
        <w:t>Д</w:t>
      </w:r>
    </w:p>
    <w:p>
      <w:pPr>
        <w:pStyle w:val="Normal"/>
        <w:ind w:firstLine="284"/>
        <w:jc w:val="both"/>
        <w:rPr/>
      </w:pPr>
      <w:r>
        <w:rPr/>
        <w:t>4.2.69. 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1 т в единице должны быть выполнены маслоприемники, маслоотводы и маслосборники с соблюдением следующих требований:</w:t>
      </w:r>
    </w:p>
    <w:p>
      <w:pPr>
        <w:pStyle w:val="Normal"/>
        <w:ind w:firstLine="284"/>
        <w:jc w:val="both"/>
        <w:rPr/>
      </w:pPr>
      <w:r>
        <w:rPr/>
        <w:t>1) габариты маслоприемника должны выступать за габариты трансформатора (реактора) не менее чем на 0,6 м при массе масла до 2 т; 1 м при массе от 2 до 10 т; 1,5 м при массе от 10 до 50 т; 2 м при массе более 50 т. При этом габарит маслоприемника может быть принят меньше на 0,5 м со стороны стены или перегородки, располагаемой от трансформатора (реактора) на расстоянии менее 2 м.</w:t>
      </w:r>
    </w:p>
    <w:p>
      <w:pPr>
        <w:pStyle w:val="Normal"/>
        <w:ind w:firstLine="284"/>
        <w:jc w:val="both"/>
        <w:rPr/>
      </w:pPr>
      <w:r>
        <w:rPr/>
        <w:t>2) объем маслоприемника с отводом масла следует рассчитывать на единовременный прием 100 % масла, залитого в трансформатор (реактор).</w:t>
      </w:r>
    </w:p>
    <w:p>
      <w:pPr>
        <w:pStyle w:val="Normal"/>
        <w:ind w:firstLine="284"/>
        <w:jc w:val="both"/>
        <w:rPr/>
      </w:pPr>
      <w:r>
        <w:rP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 расчета орошения площадей маслоприемника и боковых поверхностей трансформатора (реактора) с интенсивностью 0,2 л/с·м</w:t>
      </w:r>
      <w:r>
        <w:rPr>
          <w:vertAlign w:val="superscript"/>
        </w:rPr>
        <w:t>2</w:t>
      </w:r>
      <w:r>
        <w:rPr/>
        <w:t xml:space="preserve"> в течение 30 мин;</w:t>
      </w:r>
    </w:p>
    <w:p>
      <w:pPr>
        <w:pStyle w:val="Normal"/>
        <w:ind w:firstLine="284"/>
        <w:jc w:val="both"/>
        <w:rPr/>
      </w:pPr>
      <w:r>
        <w:rPr/>
        <w:t>3) устройство маслоприемников и маслоотводов должно исключать переток масла (воды) из одного маслоприемника в другой, растекание масла по кабельным и др. подземным сооружениям, распространение пожара, засорение маслоотвода и забивку его снегом, льдом и т.п.;</w:t>
      </w:r>
    </w:p>
    <w:p>
      <w:pPr>
        <w:pStyle w:val="Normal"/>
        <w:ind w:firstLine="284"/>
        <w:jc w:val="both"/>
        <w:rPr/>
      </w:pPr>
      <w:r>
        <w:rPr/>
        <w:t>4) 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 металлической решеткой, поверх которой должен быть насыпан слой чистого гравия или промытого гранитного щебня толщиной не менее 0,25 м, либо непористого щебня другой породы с частицами от 30 до 70 мм. Уровень полного объема масла в маслоприемнике должен быть ниже решетки не менее чем на 50 мм.</w:t>
      </w:r>
    </w:p>
    <w:p>
      <w:pPr>
        <w:pStyle w:val="Normal"/>
        <w:ind w:firstLine="284"/>
        <w:jc w:val="both"/>
        <w:rPr/>
      </w:pPr>
      <w:r>
        <w:rP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маслоприемнике;</w:t>
      </w:r>
    </w:p>
    <w:p>
      <w:pPr>
        <w:pStyle w:val="Normal"/>
        <w:ind w:firstLine="284"/>
        <w:jc w:val="both"/>
        <w:rPr/>
      </w:pPr>
      <w:r>
        <w:rPr/>
        <w:t>5) 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телеприемника устройство бортовых ограждений не требуется, если при этом обеспечивается объем маслоприемника, указанный в п. 2.</w:t>
      </w:r>
    </w:p>
    <w:p>
      <w:pPr>
        <w:pStyle w:val="Normal"/>
        <w:ind w:firstLine="284"/>
        <w:jc w:val="both"/>
        <w:rPr/>
      </w:pPr>
      <w:r>
        <w:rPr/>
        <w:t>Маслоприемники с отводом масла могут выполняться:</w:t>
      </w:r>
    </w:p>
    <w:p>
      <w:pPr>
        <w:pStyle w:val="Normal"/>
        <w:ind w:firstLine="284"/>
        <w:jc w:val="both"/>
        <w:rPr/>
      </w:pPr>
      <w:r>
        <w:rPr/>
        <w:t>с установкой металлической решетки на маслоприемнике, поверх которой насыпан гравий или щебень толщиной слоя 0,25 м;</w:t>
      </w:r>
    </w:p>
    <w:p>
      <w:pPr>
        <w:pStyle w:val="Normal"/>
        <w:ind w:firstLine="284"/>
        <w:jc w:val="both"/>
        <w:rPr/>
      </w:pPr>
      <w:r>
        <w:rPr/>
        <w:t>без металлической решетки с засыпкой гравия на дно маслоприемника толщиной слоя не менее 0,25 м.</w:t>
      </w:r>
    </w:p>
    <w:p>
      <w:pPr>
        <w:pStyle w:val="Normal"/>
        <w:ind w:firstLine="284"/>
        <w:jc w:val="both"/>
        <w:rPr/>
      </w:pPr>
      <w:r>
        <w:rPr/>
        <w:t>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0,5 м над уровнем окружающей планировки.</w:t>
      </w:r>
    </w:p>
    <w:p>
      <w:pPr>
        <w:pStyle w:val="Normal"/>
        <w:ind w:firstLine="284"/>
        <w:jc w:val="both"/>
        <w:rPr/>
      </w:pPr>
      <w:r>
        <w:rPr/>
        <w:t>Дно маслоприемника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70 мм. Толщина засыпки должна быть не менее 0,25 м.</w:t>
      </w:r>
    </w:p>
    <w:p>
      <w:pPr>
        <w:pStyle w:val="Normal"/>
        <w:ind w:firstLine="284"/>
        <w:jc w:val="both"/>
        <w:rPr/>
      </w:pPr>
      <w:r>
        <w:rPr/>
        <w:t>Верхний уровень гравия (щебня) должен быть не менее чем на 75 мм ниже верхнего края борта (при устройстве маслоприемников с бортовыми ограждениями) или уровня окружающей планировки (при устройстве маслоприемников без бортовых ограждений).</w:t>
      </w:r>
    </w:p>
    <w:p>
      <w:pPr>
        <w:pStyle w:val="Normal"/>
        <w:ind w:firstLine="284"/>
        <w:jc w:val="both"/>
        <w:rPr/>
      </w:pPr>
      <w:r>
        <w:rPr/>
        <w:t>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pPr>
        <w:pStyle w:val="Normal"/>
        <w:ind w:firstLine="284"/>
        <w:jc w:val="both"/>
        <w:rPr/>
      </w:pPr>
      <w:r>
        <w:rPr/>
        <w:t>6)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pPr>
        <w:pStyle w:val="Normal"/>
        <w:ind w:firstLine="284"/>
        <w:jc w:val="both"/>
        <w:rPr/>
      </w:pPr>
      <w:r>
        <w:rPr/>
        <w:t>7) 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pPr>
        <w:pStyle w:val="Normal"/>
        <w:ind w:firstLine="284"/>
        <w:jc w:val="both"/>
        <w:rPr/>
      </w:pPr>
      <w:r>
        <w:rPr/>
        <w:t>8) маслосборники должны предусматриваться закрытого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оборудоваться сигнализацией о наличии воды с выводом сигнала на щит управления. Внутренние поверхности маслоприемника, ограждений маслоприемника и маслосборника должны быть защищены маслостойким покрытием.</w:t>
      </w:r>
    </w:p>
    <w:p>
      <w:pPr>
        <w:pStyle w:val="Normal"/>
        <w:ind w:firstLine="284"/>
        <w:jc w:val="both"/>
        <w:rPr/>
      </w:pPr>
      <w:r>
        <w:rPr/>
        <w:t>4.2.70. На ПС с трансформаторами 110 - 150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200 м от ПС с помощью передвижных средств пожарной техники.</w:t>
      </w:r>
    </w:p>
    <w:p>
      <w:pPr>
        <w:pStyle w:val="Normal"/>
        <w:ind w:firstLine="284"/>
        <w:jc w:val="both"/>
        <w:rPr/>
      </w:pPr>
      <w:r>
        <w:rPr/>
        <w:t>На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предусматривается.</w:t>
      </w:r>
    </w:p>
    <w:p>
      <w:pPr>
        <w:pStyle w:val="Normal"/>
        <w:ind w:firstLine="284"/>
        <w:jc w:val="both"/>
        <w:rPr/>
      </w:pPr>
      <w:r>
        <w:rPr/>
        <w:t>4.2.71. КРУН и КТП наружной установки должны быть расположены на спланированной площадке на высоте не менее 0,2 м от уровня планировки с выполнением около шкафов площадки для обслуживания. В районах с высотой расчетного снежного покрова 1,0 м и выше и продолжительностью его залегания не менее 1 мес. рекомендуется установка КРУН и КТП наружной установки на высоте не менее 1 м.</w:t>
      </w:r>
    </w:p>
    <w:p>
      <w:pPr>
        <w:pStyle w:val="Normal"/>
        <w:ind w:firstLine="284"/>
        <w:jc w:val="both"/>
        <w:rPr/>
      </w:pPr>
      <w:r>
        <w:rPr/>
        <w:t>Расположение устройства должно обеспечивать удобные выкатывание и транспортировку трансформаторов и выкатной части ячеек.</w:t>
      </w:r>
    </w:p>
    <w:p>
      <w:pPr>
        <w:pStyle w:val="Heading3"/>
        <w:rPr/>
      </w:pPr>
      <w:r>
        <w:rPr/>
        <w:t>БИОЛОГИЧЕСКАЯ ЗАЩИТА ОТ ВОЗДЕЙСТВИЯ ЭЛЕКТРИЧЕСКИХ И МАГНИТНЫХ ПОЛЕЙ</w:t>
      </w:r>
    </w:p>
    <w:p>
      <w:pPr>
        <w:pStyle w:val="Normal"/>
        <w:ind w:firstLine="284"/>
        <w:jc w:val="both"/>
        <w:rPr/>
      </w:pPr>
      <w:r>
        <w:rPr/>
        <w:t>4.2.72. На ПС и в ОРУ 330 кВ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p>
    <w:p>
      <w:pPr>
        <w:pStyle w:val="Normal"/>
        <w:ind w:firstLine="284"/>
        <w:jc w:val="both"/>
        <w:rPr/>
      </w:pPr>
      <w:r>
        <w:rPr/>
        <w:t>4.2.73. На ПС и в РУ напряжением 1 - 20 кВ в зонах пребывания обслуживающего персонала напряженность магнитного поля (МП) должна соответствовать требованиям санитарных правил и норм.</w:t>
      </w:r>
    </w:p>
    <w:p>
      <w:pPr>
        <w:pStyle w:val="Normal"/>
        <w:ind w:firstLine="284"/>
        <w:jc w:val="both"/>
        <w:rPr/>
      </w:pPr>
      <w:r>
        <w:rPr/>
        <w:t>4.2.74. В ОРУ 330 кВ и выше допустимые уровни напряженности ЭП в зонах пребывания обслуживающего персонала должны обеспечиваться, как правило, конструктивно-компоновочными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конструктивно-компоновочными решениями или расчетным путем.</w:t>
      </w:r>
    </w:p>
    <w:p>
      <w:pPr>
        <w:pStyle w:val="Normal"/>
        <w:ind w:firstLine="284"/>
        <w:jc w:val="both"/>
        <w:rPr/>
      </w:pPr>
      <w:r>
        <w:rPr/>
        <w:t>4.2.75. На ПС и в ОРУ напряжением 330 кВ и выше в целях снижения воздействия ЭП на персонал необходимо:</w:t>
      </w:r>
    </w:p>
    <w:p>
      <w:pPr>
        <w:pStyle w:val="Normal"/>
        <w:ind w:firstLine="284"/>
        <w:jc w:val="both"/>
        <w:rPr/>
      </w:pPr>
      <w:r>
        <w:rPr/>
        <w:t>применять металлоконструкции ОРУ из оцинкованных, алюминированных или алюминиевых элементов;</w:t>
      </w:r>
    </w:p>
    <w:p>
      <w:pPr>
        <w:pStyle w:val="Normal"/>
        <w:ind w:firstLine="284"/>
        <w:jc w:val="both"/>
        <w:rPr/>
      </w:pPr>
      <w:r>
        <w:rPr/>
        <w:t>лестницы для подъема на траверсы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pPr>
        <w:pStyle w:val="Normal"/>
        <w:ind w:firstLine="284"/>
        <w:jc w:val="both"/>
        <w:rPr/>
      </w:pPr>
      <w:r>
        <w:rPr/>
        <w:t>4.2.76. На ПС и в ОРУ 330 кВ и выше для снижения уровня напряженности ЭП следует исключать соседство одноименных фаз в смежных ячейках.</w:t>
      </w:r>
    </w:p>
    <w:p>
      <w:pPr>
        <w:pStyle w:val="Normal"/>
        <w:ind w:firstLine="284"/>
        <w:jc w:val="both"/>
        <w:rPr/>
      </w:pPr>
      <w:r>
        <w:rPr/>
        <w:t>4.2.77. 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pPr>
        <w:pStyle w:val="Normal"/>
        <w:ind w:firstLine="284"/>
        <w:jc w:val="both"/>
        <w:rPr/>
      </w:pPr>
      <w:r>
        <w:rPr/>
        <w:t>4.2.78. Производственные помещения, рассчитанные на постоянное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рассчитываемые уровни магнитных полей не превышают предельно допустимых значений.</w:t>
      </w:r>
    </w:p>
    <w:p>
      <w:pPr>
        <w:pStyle w:val="Normal"/>
        <w:ind w:firstLine="284"/>
        <w:jc w:val="both"/>
        <w:rPr/>
      </w:pPr>
      <w:r>
        <w:rP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 предельно допустимых уровней магнитного поля.</w:t>
      </w:r>
    </w:p>
    <w:p>
      <w:pPr>
        <w:pStyle w:val="Normal"/>
        <w:ind w:firstLine="284"/>
        <w:jc w:val="both"/>
        <w:rPr/>
      </w:pPr>
      <w:r>
        <w:rPr/>
        <w:t>4.2.79. Токоограничивающие реакторы и выключатели не должны располагаться в соседних ячейках распредустройств 6 - 10 кВ.</w:t>
      </w:r>
    </w:p>
    <w:p>
      <w:pPr>
        <w:pStyle w:val="Normal"/>
        <w:ind w:firstLine="284"/>
        <w:jc w:val="both"/>
        <w:rPr/>
      </w:pPr>
      <w:r>
        <w:rPr/>
        <w:t>При невозможности обеспечения этого требования между ячейками токоограничивающих реакторов и выключателей должны устанавливаться стационарные ферромагнитные экраны.</w:t>
      </w:r>
    </w:p>
    <w:p>
      <w:pPr>
        <w:pStyle w:val="Normal"/>
        <w:ind w:firstLine="284"/>
        <w:jc w:val="both"/>
        <w:rPr/>
      </w:pPr>
      <w:r>
        <w:rPr/>
        <w:t>4.2.80. Экранирование источников МП или рабочих мест при необходимости обеспечения допустимых уровней МП должно осуществляться посредством ферромагнитных экранов, толщина и геометрические размеры которых следует рассчитывать по требуемому коэффициенту экранирования:</w:t>
      </w:r>
    </w:p>
    <w:p>
      <w:pPr>
        <w:pStyle w:val="Normal"/>
        <w:spacing w:before="120" w:after="120"/>
        <w:jc w:val="center"/>
        <w:rPr>
          <w:vertAlign w:val="subscript"/>
        </w:rPr>
      </w:pPr>
      <w:r>
        <w:rPr>
          <w:vertAlign w:val="subscript"/>
        </w:rPr>
        <w:drawing>
          <wp:inline distT="0" distB="0" distL="0" distR="0">
            <wp:extent cx="970280" cy="229870"/>
            <wp:effectExtent l="0" t="0" r="0" b="0"/>
            <wp:docPr id="9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8" descr=""/>
                    <pic:cNvPicPr>
                      <a:picLocks noChangeAspect="1" noChangeArrowheads="1"/>
                    </pic:cNvPicPr>
                  </pic:nvPicPr>
                  <pic:blipFill>
                    <a:blip r:embed="rId99"/>
                    <a:srcRect l="-37" t="-157" r="-37" b="-157"/>
                    <a:stretch>
                      <a:fillRect/>
                    </a:stretch>
                  </pic:blipFill>
                  <pic:spPr bwMode="auto">
                    <a:xfrm>
                      <a:off x="0" y="0"/>
                      <a:ext cx="970280" cy="229870"/>
                    </a:xfrm>
                    <a:prstGeom prst="rect">
                      <a:avLst/>
                    </a:prstGeom>
                  </pic:spPr>
                </pic:pic>
              </a:graphicData>
            </a:graphic>
          </wp:inline>
        </w:drawing>
      </w:r>
    </w:p>
    <w:p>
      <w:pPr>
        <w:pStyle w:val="Normal"/>
        <w:ind w:firstLine="284"/>
        <w:jc w:val="both"/>
        <w:rPr/>
      </w:pPr>
      <w:r>
        <w:rPr/>
        <w:t xml:space="preserve">где </w:t>
      </w:r>
      <w:r>
        <w:rPr>
          <w:i/>
          <w:iCs/>
        </w:rPr>
        <w:t>Н</w:t>
      </w:r>
      <w:r>
        <w:rPr>
          <w:i/>
          <w:iCs/>
          <w:vertAlign w:val="subscript"/>
        </w:rPr>
        <w:t>в</w:t>
      </w:r>
      <w:r>
        <w:rPr/>
        <w:t xml:space="preserve"> - наибольшее возможное значение напряженности МП на экранируемом рабочем месте, А/м; </w:t>
      </w:r>
      <w:r>
        <w:rPr>
          <w:i/>
          <w:iCs/>
        </w:rPr>
        <w:t>Н</w:t>
      </w:r>
      <w:r>
        <w:rPr>
          <w:i/>
          <w:iCs/>
          <w:vertAlign w:val="subscript"/>
        </w:rPr>
        <w:t>доп</w:t>
      </w:r>
      <w:r>
        <w:rPr/>
        <w:t xml:space="preserve"> = 80 А/м - допустимое значение напряженности МП. Для рабочих мест, где пребывание персонала по характеру и условиям выполнения работ является непродолжительным, </w:t>
      </w:r>
      <w:r>
        <w:rPr>
          <w:i/>
          <w:iCs/>
        </w:rPr>
        <w:t>Н</w:t>
      </w:r>
      <w:r>
        <w:rPr>
          <w:i/>
          <w:iCs/>
          <w:vertAlign w:val="subscript"/>
        </w:rPr>
        <w:t>доп</w:t>
      </w:r>
      <w:r>
        <w:rPr/>
        <w:t xml:space="preserve"> определяется исходя из требований санитарных правил и норм.</w:t>
      </w:r>
    </w:p>
    <w:p>
      <w:pPr>
        <w:pStyle w:val="Heading3"/>
        <w:rPr/>
      </w:pPr>
      <w:r>
        <w:rPr/>
        <w:t>ЗАКРЫТЫЕ РАСПРЕДЕЛИТЕЛЬНЫЕ УСТРОЙСТВА И ПОДСТАНЦИИ</w:t>
      </w:r>
    </w:p>
    <w:p>
      <w:pPr>
        <w:pStyle w:val="Normal"/>
        <w:ind w:firstLine="284"/>
        <w:jc w:val="both"/>
        <w:rPr/>
      </w:pPr>
      <w:r>
        <w:rPr/>
        <w:t>4.2.81. Закрытые распределительные устройства и подстанции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pPr>
        <w:pStyle w:val="Normal"/>
        <w:ind w:firstLine="284"/>
        <w:jc w:val="both"/>
        <w:rPr/>
      </w:pPr>
      <w:r>
        <w:rPr/>
        <w:t>Дополнительные требования к сооружению встроенных и пристроенных ПС в жилых и общественных зданиях см. в гл. 7.1.</w:t>
      </w:r>
    </w:p>
    <w:p>
      <w:pPr>
        <w:pStyle w:val="Normal"/>
        <w:ind w:firstLine="284"/>
        <w:jc w:val="both"/>
        <w:rPr/>
      </w:pPr>
      <w:r>
        <w:rPr/>
        <w:t>4.2.82. В помещениях ЗРУ 35 - 220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обслуживания оборудования.</w:t>
      </w:r>
    </w:p>
    <w:p>
      <w:pPr>
        <w:pStyle w:val="Normal"/>
        <w:ind w:firstLine="284"/>
        <w:jc w:val="both"/>
        <w:rPr/>
      </w:pPr>
      <w:r>
        <w:rP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pPr>
        <w:pStyle w:val="Normal"/>
        <w:ind w:firstLine="284"/>
        <w:jc w:val="both"/>
        <w:rPr/>
      </w:pPr>
      <w:r>
        <w:rPr/>
        <w:t>4.2.83. Закрытые РУ разных классов напряжений, как правило, следует размещать в отдельных помещениях. Это требование не распространяется на КТП 35 кВ и ниже, а также на КРУЭ.</w:t>
      </w:r>
    </w:p>
    <w:p>
      <w:pPr>
        <w:pStyle w:val="Normal"/>
        <w:ind w:firstLine="284"/>
        <w:jc w:val="both"/>
        <w:rPr/>
      </w:pPr>
      <w:r>
        <w:rPr/>
        <w:t>Допускается размещать РУ до 1 кВ в одном помещении с РУ выше 1 кВ при условии, что части РУ или ПС до 1 кВ и выше будут эксплуатироваться одной организацией.</w:t>
      </w:r>
    </w:p>
    <w:p>
      <w:pPr>
        <w:pStyle w:val="Normal"/>
        <w:ind w:firstLine="284"/>
        <w:jc w:val="both"/>
        <w:rPr/>
      </w:pPr>
      <w:r>
        <w:rPr/>
        <w:t>Помещения РУ, трансформаторов, преобразователей и т.п. должны быть отделены от служебных и других вспомогательных помещений (исключения см. в гл. 4.3, 5.1 и 7.5).</w:t>
      </w:r>
    </w:p>
    <w:p>
      <w:pPr>
        <w:pStyle w:val="Normal"/>
        <w:ind w:firstLine="284"/>
        <w:jc w:val="both"/>
        <w:rPr/>
      </w:pPr>
      <w:r>
        <w:rPr/>
        <w:t>4.2.84. При компоновке КРУЭ в ЗРУ должны предусматриваться площадки обслуживания на разных уровнях в случае, если они не поставляются заводом-изготовителем.</w:t>
      </w:r>
    </w:p>
    <w:p>
      <w:pPr>
        <w:pStyle w:val="Normal"/>
        <w:ind w:firstLine="284"/>
        <w:jc w:val="both"/>
        <w:rPr/>
      </w:pPr>
      <w:r>
        <w:rPr/>
        <w:t>4.2.85. Трансформаторные помещения и ЗРУ не допускается размещать:</w:t>
      </w:r>
    </w:p>
    <w:p>
      <w:pPr>
        <w:pStyle w:val="Normal"/>
        <w:ind w:firstLine="284"/>
        <w:jc w:val="both"/>
        <w:rPr/>
      </w:pPr>
      <w:r>
        <w:rPr/>
        <w:t>1) под помещением производств с мокрым технологическим процессом, под душевыми, ванными и т.п.;</w:t>
      </w:r>
    </w:p>
    <w:p>
      <w:pPr>
        <w:pStyle w:val="Normal"/>
        <w:ind w:firstLine="284"/>
        <w:jc w:val="both"/>
        <w:rPr/>
      </w:pPr>
      <w:r>
        <w:rPr/>
        <w:t>2) 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трансформаторами сухими или с негорючим наполнением, а также РУ для промышленных предприятий.</w:t>
      </w:r>
    </w:p>
    <w:p>
      <w:pPr>
        <w:pStyle w:val="Normal"/>
        <w:ind w:firstLine="284"/>
        <w:jc w:val="both"/>
        <w:rPr/>
      </w:pPr>
      <w:r>
        <w:rPr/>
        <w:t>4.2.86.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должно быть не менее значений, приведенных в табл. 4.2.7 (рис. 4.2.14 - 4.2.17).</w:t>
      </w:r>
    </w:p>
    <w:p>
      <w:pPr>
        <w:pStyle w:val="Normal"/>
        <w:ind w:firstLine="284"/>
        <w:jc w:val="both"/>
        <w:rPr/>
      </w:pPr>
      <w:r>
        <w:rPr/>
        <w:t>Гибкие шины в ЗРУ следует проверять на их сближение под действием токов КЗ в соответствии с требованиями 4.2.56.</w:t>
      </w:r>
    </w:p>
    <w:p>
      <w:pPr>
        <w:pStyle w:val="Normal"/>
        <w:ind w:firstLine="284"/>
        <w:jc w:val="both"/>
        <w:rPr/>
      </w:pPr>
      <w:r>
        <w:rPr/>
        <w:t xml:space="preserve">4.2.87. Расстояния от подвижных контактов разъединителей в отключенном положении до ошиновки своей фазы, присоединенной ко второму контакту, должно быть не менее размера </w:t>
      </w:r>
      <w:r>
        <w:rPr>
          <w:i/>
          <w:iCs/>
        </w:rPr>
        <w:t>Ж</w:t>
      </w:r>
      <w:r>
        <w:rPr/>
        <w:t xml:space="preserve"> по табл. 4.2.7 (см. рис. 4.2.16).</w:t>
      </w:r>
    </w:p>
    <w:p>
      <w:pPr>
        <w:pStyle w:val="Normal"/>
        <w:ind w:firstLine="284"/>
        <w:jc w:val="both"/>
        <w:rPr/>
      </w:pPr>
      <w:r>
        <w:rPr/>
        <w:t>4.2.88. Неизолированные токоведущие части должны быть защищены от случайных прикосновений (помещены в камеры, ограждены сетками и т.п.).</w:t>
      </w:r>
    </w:p>
    <w:p>
      <w:pPr>
        <w:pStyle w:val="Normal"/>
        <w:ind w:firstLine="284"/>
        <w:jc w:val="both"/>
        <w:rPr/>
      </w:pPr>
      <w:r>
        <w:rPr/>
        <w:t xml:space="preserve">При размещении неизолированных токоведущих частей вне камер и расположении их ниже размера </w:t>
      </w:r>
      <w:r>
        <w:rPr>
          <w:i/>
          <w:iCs/>
        </w:rPr>
        <w:t>Д</w:t>
      </w:r>
      <w:r>
        <w:rPr/>
        <w:t xml:space="preserve"> по табл. 4.2.7 от пола они должны быть ограждены. Высота прохода под ограждением должна быть не менее 1,9 м (рис. 4.2.17).</w:t>
      </w:r>
    </w:p>
    <w:p>
      <w:pPr>
        <w:pStyle w:val="Normal"/>
        <w:ind w:firstLine="284"/>
        <w:jc w:val="both"/>
        <w:rPr/>
      </w:pPr>
      <w:r>
        <w:rPr/>
        <w:t xml:space="preserve">Токоведущие части, расположенные выше ограждений до высоты 2,3 м от пола, должны располагаться от плоскости ограждения на расстояниях, приведенных в табл. 4.2.7 для размера </w:t>
      </w:r>
      <w:r>
        <w:rPr>
          <w:i/>
          <w:iCs/>
        </w:rPr>
        <w:t>В</w:t>
      </w:r>
      <w:r>
        <w:rPr/>
        <w:t xml:space="preserve"> (см. рис. 4.2.16).</w:t>
      </w:r>
    </w:p>
    <w:p>
      <w:pPr>
        <w:pStyle w:val="Normal"/>
        <w:ind w:firstLine="284"/>
        <w:jc w:val="both"/>
        <w:rPr/>
      </w:pPr>
      <w:r>
        <w:rPr/>
        <w:t>Аппараты, у которых нижняя кромка фарфора (полимерного материала) изоляторов расположена над уровнем пола на высоте 2,2 м и более, разрешается не ограждать, если при этом выполнены приведенные выше требования.</w:t>
      </w:r>
    </w:p>
    <w:p>
      <w:pPr>
        <w:pStyle w:val="Normal"/>
        <w:ind w:firstLine="284"/>
        <w:jc w:val="both"/>
        <w:rPr/>
      </w:pPr>
      <w:r>
        <w:rPr/>
        <w:t>Применение барьеров в огражденных камерах не допускается.</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981325" cy="1169035"/>
            <wp:effectExtent l="0" t="0" r="0" b="0"/>
            <wp:docPr id="9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 descr=""/>
                    <pic:cNvPicPr>
                      <a:picLocks noChangeAspect="1" noChangeArrowheads="1"/>
                    </pic:cNvPicPr>
                  </pic:nvPicPr>
                  <pic:blipFill>
                    <a:blip r:embed="rId100"/>
                    <a:srcRect l="-12" t="-30" r="-12" b="-30"/>
                    <a:stretch>
                      <a:fillRect/>
                    </a:stretch>
                  </pic:blipFill>
                  <pic:spPr bwMode="auto">
                    <a:xfrm>
                      <a:off x="0" y="0"/>
                      <a:ext cx="2981325" cy="1169035"/>
                    </a:xfrm>
                    <a:prstGeom prst="rect">
                      <a:avLst/>
                    </a:prstGeom>
                  </pic:spPr>
                </pic:pic>
              </a:graphicData>
            </a:graphic>
          </wp:inline>
        </w:drawing>
      </w:r>
    </w:p>
    <w:p>
      <w:pPr>
        <w:pStyle w:val="Normal"/>
        <w:spacing w:before="0" w:after="120"/>
        <w:jc w:val="center"/>
        <w:rPr/>
      </w:pPr>
      <w:r>
        <w:rPr/>
        <w:t>Рис. 4.2.14. Наименьшие расстояния в свету между неизолированными токоведущими частями разных фаз в ЗРУ и между ними и заземленными частями (по табл. 4.2.9)</w:t>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2685415" cy="3847465"/>
            <wp:effectExtent l="0" t="0" r="0" b="0"/>
            <wp:docPr id="93" name="image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085" descr=""/>
                    <pic:cNvPicPr>
                      <a:picLocks noChangeAspect="1" noChangeArrowheads="1"/>
                    </pic:cNvPicPr>
                  </pic:nvPicPr>
                  <pic:blipFill>
                    <a:blip r:embed="rId101"/>
                    <a:srcRect l="-13" t="-9" r="-13" b="-9"/>
                    <a:stretch>
                      <a:fillRect/>
                    </a:stretch>
                  </pic:blipFill>
                  <pic:spPr bwMode="auto">
                    <a:xfrm>
                      <a:off x="0" y="0"/>
                      <a:ext cx="2685415" cy="3847465"/>
                    </a:xfrm>
                    <a:prstGeom prst="rect">
                      <a:avLst/>
                    </a:prstGeom>
                  </pic:spPr>
                </pic:pic>
              </a:graphicData>
            </a:graphic>
          </wp:inline>
        </w:drawing>
      </w:r>
    </w:p>
    <w:p>
      <w:pPr>
        <w:pStyle w:val="Normal"/>
        <w:spacing w:before="0" w:after="120"/>
        <w:jc w:val="center"/>
        <w:rPr/>
      </w:pPr>
      <w:r>
        <w:rPr/>
        <w:t>Рис. 4.2.15. Наименьшие расстояния между неизолированными токоведущими частями в ЗРУ и сплошными ограждениями (по табл. 4.2.9)</w:t>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4029075" cy="3981450"/>
            <wp:effectExtent l="0" t="0" r="0" b="0"/>
            <wp:docPr id="94" name="image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086" descr=""/>
                    <pic:cNvPicPr>
                      <a:picLocks noChangeAspect="1" noChangeArrowheads="1"/>
                    </pic:cNvPicPr>
                  </pic:nvPicPr>
                  <pic:blipFill>
                    <a:blip r:embed="rId102"/>
                    <a:srcRect l="-8" t="-9" r="-8" b="-9"/>
                    <a:stretch>
                      <a:fillRect/>
                    </a:stretch>
                  </pic:blipFill>
                  <pic:spPr bwMode="auto">
                    <a:xfrm>
                      <a:off x="0" y="0"/>
                      <a:ext cx="4029075" cy="3981450"/>
                    </a:xfrm>
                    <a:prstGeom prst="rect">
                      <a:avLst/>
                    </a:prstGeom>
                  </pic:spPr>
                </pic:pic>
              </a:graphicData>
            </a:graphic>
          </wp:inline>
        </w:drawing>
      </w:r>
    </w:p>
    <w:p>
      <w:pPr>
        <w:pStyle w:val="Normal"/>
        <w:spacing w:before="0" w:after="120"/>
        <w:jc w:val="center"/>
        <w:rPr/>
      </w:pPr>
      <w:r>
        <w:rPr/>
        <w:t>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 4.2.9)</w:t>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2409825" cy="3695700"/>
            <wp:effectExtent l="0" t="0" r="0" b="0"/>
            <wp:docPr id="95" name="image0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087" descr=""/>
                    <pic:cNvPicPr>
                      <a:picLocks noChangeAspect="1" noChangeArrowheads="1"/>
                    </pic:cNvPicPr>
                  </pic:nvPicPr>
                  <pic:blipFill>
                    <a:blip r:embed="rId103"/>
                    <a:srcRect l="-14" t="-9" r="-14" b="-9"/>
                    <a:stretch>
                      <a:fillRect/>
                    </a:stretch>
                  </pic:blipFill>
                  <pic:spPr bwMode="auto">
                    <a:xfrm>
                      <a:off x="0" y="0"/>
                      <a:ext cx="2409825" cy="3695700"/>
                    </a:xfrm>
                    <a:prstGeom prst="rect">
                      <a:avLst/>
                    </a:prstGeom>
                  </pic:spPr>
                </pic:pic>
              </a:graphicData>
            </a:graphic>
          </wp:inline>
        </w:drawing>
      </w:r>
    </w:p>
    <w:p>
      <w:pPr>
        <w:pStyle w:val="Normal"/>
        <w:spacing w:before="0" w:after="120"/>
        <w:jc w:val="center"/>
        <w:rPr/>
      </w:pPr>
      <w:r>
        <w:rP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Наименьшее расстояние от земли до неогражденных линейных выводов из ЗРУ вне территории ОРУ и при отсутствии проезда транспорта под выводами</w:t>
      </w:r>
    </w:p>
    <w:p>
      <w:pPr>
        <w:pStyle w:val="Normal"/>
        <w:ind w:firstLine="284"/>
        <w:jc w:val="both"/>
        <w:rPr/>
      </w:pPr>
      <w:r>
        <w:rPr/>
        <w:t xml:space="preserve">4.2.89. Неогражденные неизолированные ведущие части различных цепей, находящиеся на высоте, превышающей размер </w:t>
      </w:r>
      <w:r>
        <w:rPr>
          <w:i/>
          <w:iCs/>
        </w:rPr>
        <w:t>Д</w:t>
      </w:r>
      <w:r>
        <w:rPr/>
        <w:t xml:space="preserve"> по табл. 4.2.7 должны быть расположены на таком расстоянии одна от другой, чтобы после отключения какой либо цепи (например, секции шин) было обеспечено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w:t>
      </w:r>
      <w:r>
        <w:rPr>
          <w:i/>
          <w:iCs/>
        </w:rPr>
        <w:t>Г</w:t>
      </w:r>
      <w:r>
        <w:rPr/>
        <w:t xml:space="preserve"> по табл. 4.2.7 (см. рис. 4.2.16).</w:t>
      </w:r>
    </w:p>
    <w:p>
      <w:pPr>
        <w:pStyle w:val="Normal"/>
        <w:ind w:firstLine="284"/>
        <w:jc w:val="both"/>
        <w:rPr/>
      </w:pPr>
      <w:r>
        <w:rPr/>
        <w:t>4.2.90.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 при одностороннем расположении оборудования; 1,2 м - при двустороннем расположении оборудования.</w:t>
      </w:r>
    </w:p>
    <w:p>
      <w:pPr>
        <w:pStyle w:val="Normal"/>
        <w:ind w:firstLine="284"/>
        <w:jc w:val="both"/>
        <w:rPr/>
      </w:pPr>
      <w:r>
        <w:rPr/>
        <w:t>В коридоре обслуживания, где находятся приводы выключателей или разъединителей, указанные выше размеры должны быть увеличены соответственно до 1,5 и 2 м. При длине коридора до 7 м допускается уменьшение ширины коридора при двустороннем обслуживании до 1,8 м.</w:t>
      </w:r>
    </w:p>
    <w:p>
      <w:pPr>
        <w:pStyle w:val="Normal"/>
        <w:spacing w:before="120" w:after="120"/>
        <w:jc w:val="right"/>
        <w:rPr/>
      </w:pPr>
      <w:r>
        <w:rPr>
          <w:spacing w:val="40"/>
        </w:rPr>
        <w:t>Таблица</w:t>
      </w:r>
      <w:r>
        <w:rPr/>
        <w:t xml:space="preserve"> 4.2.7</w:t>
      </w:r>
    </w:p>
    <w:p>
      <w:pPr>
        <w:pStyle w:val="Normal"/>
        <w:spacing w:before="0" w:after="120"/>
        <w:jc w:val="center"/>
        <w:rPr/>
      </w:pPr>
      <w:r>
        <w:rPr>
          <w:b/>
          <w:bCs/>
        </w:rPr>
        <w:t>Наименьшие расстояния в свету от токоведущих частей до различных элементов ЗРУ (подстанций) 3 - 330 кВ, защищенных разрядниками, и ЗРУ 110 - 330 кВ, защищенных ограничителями перенапряжений</w:t>
      </w:r>
      <w:r>
        <w:rPr>
          <w:b/>
          <w:bCs/>
          <w:vertAlign w:val="superscript"/>
        </w:rPr>
        <w:t>1</w:t>
      </w:r>
      <w:r>
        <w:rPr>
          <w:b/>
          <w:bCs/>
        </w:rPr>
        <w:t xml:space="preserve">, (в знаменателе) (рис. </w:t>
      </w:r>
      <w:r>
        <w:rPr>
          <w:bCs/>
        </w:rPr>
        <w:t>4.2.14</w:t>
      </w:r>
      <w:r>
        <w:rPr>
          <w:b/>
          <w:bCs/>
        </w:rPr>
        <w:t xml:space="preserve"> - </w:t>
      </w:r>
      <w:r>
        <w:rPr>
          <w:bCs/>
        </w:rPr>
        <w:t>4.2.17</w:t>
      </w:r>
      <w:r>
        <w:rPr>
          <w:b/>
          <w:bCs/>
        </w:rPr>
        <w:t>)</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875"/>
        <w:gridCol w:w="2126"/>
        <w:gridCol w:w="1381"/>
        <w:gridCol w:w="554"/>
        <w:gridCol w:w="552"/>
        <w:gridCol w:w="551"/>
        <w:gridCol w:w="550"/>
        <w:gridCol w:w="551"/>
        <w:gridCol w:w="552"/>
        <w:gridCol w:w="550"/>
        <w:gridCol w:w="551"/>
        <w:gridCol w:w="562"/>
      </w:tblGrid>
      <w:tr>
        <w:trPr>
          <w:tblHeader w:val="true"/>
        </w:trPr>
        <w:tc>
          <w:tcPr>
            <w:tcW w:w="87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Номер рисунка</w:t>
            </w:r>
          </w:p>
        </w:tc>
        <w:tc>
          <w:tcPr>
            <w:tcW w:w="212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Наименование расстояния</w:t>
            </w:r>
          </w:p>
        </w:tc>
        <w:tc>
          <w:tcPr>
            <w:tcW w:w="138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Обозначение</w:t>
            </w:r>
          </w:p>
        </w:tc>
        <w:tc>
          <w:tcPr>
            <w:tcW w:w="4973" w:type="dxa"/>
            <w:gridSpan w:val="9"/>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Изоляционное расстояние, мм, для номинального напряжения, кВ</w:t>
            </w:r>
          </w:p>
        </w:tc>
      </w:tr>
      <w:tr>
        <w:trPr>
          <w:tblHeader w:val="true"/>
        </w:trPr>
        <w:tc>
          <w:tcPr>
            <w:tcW w:w="87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212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38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54"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3</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6</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35</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110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150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220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330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4.2.14</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до заземленных конструкций и частей зданий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А</w:t>
            </w:r>
            <w:r>
              <w:rPr>
                <w:i/>
                <w:iCs/>
                <w:vertAlign w:val="subscript"/>
              </w:rPr>
              <w:t>ф-з</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290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700</w:t>
            </w:r>
          </w:p>
          <w:p>
            <w:pPr>
              <w:pStyle w:val="Normal"/>
              <w:jc w:val="center"/>
              <w:rPr/>
            </w:pPr>
            <w:r>
              <w:rPr/>
              <w:t>600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1100</w:t>
            </w:r>
          </w:p>
          <w:p>
            <w:pPr>
              <w:pStyle w:val="Normal"/>
              <w:jc w:val="center"/>
              <w:rPr/>
            </w:pPr>
            <w:r>
              <w:rPr/>
              <w:t>800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1700</w:t>
            </w:r>
          </w:p>
          <w:p>
            <w:pPr>
              <w:pStyle w:val="Normal"/>
              <w:jc w:val="center"/>
              <w:rPr/>
            </w:pPr>
            <w:r>
              <w:rPr/>
              <w:t>1200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2400</w:t>
            </w:r>
          </w:p>
          <w:p>
            <w:pPr>
              <w:pStyle w:val="Normal"/>
              <w:jc w:val="center"/>
              <w:rPr/>
            </w:pPr>
            <w:r>
              <w:rPr/>
              <w:t>2000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4.2.14</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Между проводниками разных фаз</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i/>
                <w:iCs/>
              </w:rPr>
              <w:t>А</w:t>
            </w:r>
            <w:r>
              <w:rPr>
                <w:i/>
                <w:iCs/>
                <w:vertAlign w:val="subscript"/>
              </w:rPr>
              <w:t>ф-ф</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70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320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800</w:t>
            </w:r>
          </w:p>
          <w:p>
            <w:pPr>
              <w:pStyle w:val="Normal"/>
              <w:jc w:val="center"/>
              <w:rPr/>
            </w:pPr>
            <w:r>
              <w:rPr/>
              <w:t>750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1200</w:t>
            </w:r>
          </w:p>
          <w:p>
            <w:pPr>
              <w:pStyle w:val="Normal"/>
              <w:jc w:val="center"/>
              <w:rPr/>
            </w:pPr>
            <w:r>
              <w:rPr/>
              <w:t>1050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1800</w:t>
            </w:r>
          </w:p>
          <w:p>
            <w:pPr>
              <w:pStyle w:val="Normal"/>
              <w:jc w:val="center"/>
              <w:rPr/>
            </w:pPr>
            <w:r>
              <w:rPr/>
              <w:t>1600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2600</w:t>
            </w:r>
          </w:p>
          <w:p>
            <w:pPr>
              <w:pStyle w:val="Normal"/>
              <w:jc w:val="center"/>
              <w:rPr/>
            </w:pPr>
            <w:r>
              <w:rPr/>
              <w:t>2200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4.2.15</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до сплошных ограждений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Б</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95</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210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320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730</w:t>
            </w:r>
          </w:p>
          <w:p>
            <w:pPr>
              <w:pStyle w:val="Normal"/>
              <w:jc w:val="center"/>
              <w:rPr/>
            </w:pPr>
            <w:r>
              <w:rPr/>
              <w:t>630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1130</w:t>
            </w:r>
          </w:p>
          <w:p>
            <w:pPr>
              <w:pStyle w:val="Normal"/>
              <w:jc w:val="center"/>
              <w:rPr/>
            </w:pPr>
            <w:r>
              <w:rPr/>
              <w:t>830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1730</w:t>
            </w:r>
          </w:p>
          <w:p>
            <w:pPr>
              <w:pStyle w:val="Normal"/>
              <w:jc w:val="center"/>
              <w:rPr/>
            </w:pPr>
            <w:r>
              <w:rPr/>
              <w:t>1230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2430</w:t>
            </w:r>
          </w:p>
          <w:p>
            <w:pPr>
              <w:pStyle w:val="Normal"/>
              <w:jc w:val="center"/>
              <w:rPr/>
            </w:pPr>
            <w:r>
              <w:rPr/>
              <w:t>2030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4.2.16</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токоведущих частей до сетчатых ограждений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В</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165</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190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280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390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800</w:t>
            </w:r>
          </w:p>
          <w:p>
            <w:pPr>
              <w:pStyle w:val="Normal"/>
              <w:jc w:val="center"/>
              <w:rPr/>
            </w:pPr>
            <w:r>
              <w:rPr/>
              <w:t>700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1200</w:t>
            </w:r>
          </w:p>
          <w:p>
            <w:pPr>
              <w:pStyle w:val="Normal"/>
              <w:jc w:val="center"/>
              <w:rPr/>
            </w:pPr>
            <w:r>
              <w:rPr/>
              <w:t>900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1800</w:t>
            </w:r>
          </w:p>
          <w:p>
            <w:pPr>
              <w:pStyle w:val="Normal"/>
              <w:jc w:val="center"/>
              <w:rPr/>
            </w:pPr>
            <w:r>
              <w:rPr/>
              <w:t>1300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2500</w:t>
            </w:r>
          </w:p>
          <w:p>
            <w:pPr>
              <w:pStyle w:val="Normal"/>
              <w:jc w:val="center"/>
              <w:rPr/>
            </w:pPr>
            <w:r>
              <w:rPr/>
              <w:t>2100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4.2.16</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Между неогражденными токоведущими частями разных цепей</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Г</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2900</w:t>
            </w:r>
          </w:p>
          <w:p>
            <w:pPr>
              <w:pStyle w:val="Normal"/>
              <w:jc w:val="center"/>
              <w:rPr/>
            </w:pPr>
            <w:r>
              <w:rPr/>
              <w:t>2800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3300</w:t>
            </w:r>
          </w:p>
          <w:p>
            <w:pPr>
              <w:pStyle w:val="Normal"/>
              <w:jc w:val="center"/>
              <w:rPr/>
            </w:pPr>
            <w:r>
              <w:rPr/>
              <w:t>3000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3800</w:t>
            </w:r>
          </w:p>
          <w:p>
            <w:pPr>
              <w:pStyle w:val="Normal"/>
              <w:jc w:val="center"/>
              <w:rPr/>
            </w:pPr>
            <w:r>
              <w:rPr/>
              <w:t>3400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4600</w:t>
            </w:r>
          </w:p>
          <w:p>
            <w:pPr>
              <w:pStyle w:val="Normal"/>
              <w:jc w:val="center"/>
              <w:rPr/>
            </w:pPr>
            <w:r>
              <w:rPr/>
              <w:t>4200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4.2.17</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неогражденных токоведущих частей до пола</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Д</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2700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2700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3400</w:t>
            </w:r>
          </w:p>
          <w:p>
            <w:pPr>
              <w:pStyle w:val="Normal"/>
              <w:jc w:val="center"/>
              <w:rPr/>
            </w:pPr>
            <w:r>
              <w:rPr/>
              <w:t>3300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3700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4200</w:t>
            </w:r>
          </w:p>
          <w:p>
            <w:pPr>
              <w:pStyle w:val="Normal"/>
              <w:jc w:val="center"/>
              <w:rPr/>
            </w:pPr>
            <w:r>
              <w:rPr/>
              <w:t>3700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5000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4.2.17</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неогражденных выводов из ЗРУ до земли при выходе их не на территорию ОРУ и при отсутствии проезда транспорта под выводами</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Е</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4750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4750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5500</w:t>
            </w:r>
          </w:p>
          <w:p>
            <w:pPr>
              <w:pStyle w:val="Normal"/>
              <w:jc w:val="center"/>
              <w:rPr/>
            </w:pPr>
            <w:r>
              <w:rPr/>
              <w:t>5400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6000</w:t>
            </w:r>
          </w:p>
          <w:p>
            <w:pPr>
              <w:pStyle w:val="Normal"/>
              <w:jc w:val="center"/>
              <w:rPr/>
            </w:pPr>
            <w:r>
              <w:rPr/>
              <w:t>5700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6500</w:t>
            </w:r>
          </w:p>
          <w:p>
            <w:pPr>
              <w:pStyle w:val="Normal"/>
              <w:jc w:val="center"/>
              <w:rPr/>
            </w:pPr>
            <w:r>
              <w:rPr/>
              <w:t>6000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7200</w:t>
            </w:r>
          </w:p>
          <w:p>
            <w:pPr>
              <w:pStyle w:val="Normal"/>
              <w:jc w:val="center"/>
              <w:rPr/>
            </w:pPr>
            <w:r>
              <w:rPr/>
              <w:t>6800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4.2.16</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контакта и ножа разъединителя в отключенном положении до ошиновки, присоединенной к второму контакту</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i/>
                <w:i/>
                <w:iCs/>
              </w:rPr>
            </w:pPr>
            <w:r>
              <w:rPr>
                <w:i/>
                <w:iCs/>
              </w:rPr>
              <w:t>Ж</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80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110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220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350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900</w:t>
            </w:r>
          </w:p>
          <w:p>
            <w:pPr>
              <w:pStyle w:val="Normal"/>
              <w:jc w:val="center"/>
              <w:rPr/>
            </w:pPr>
            <w:r>
              <w:rPr/>
              <w:t>850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1300</w:t>
            </w:r>
          </w:p>
          <w:p>
            <w:pPr>
              <w:pStyle w:val="Normal"/>
              <w:jc w:val="center"/>
              <w:rPr/>
            </w:pPr>
            <w:r>
              <w:rPr/>
              <w:t>1150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2000</w:t>
            </w:r>
          </w:p>
          <w:p>
            <w:pPr>
              <w:pStyle w:val="Normal"/>
              <w:jc w:val="center"/>
              <w:rPr/>
            </w:pPr>
            <w:r>
              <w:rPr/>
              <w:t>1800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3000</w:t>
            </w:r>
          </w:p>
          <w:p>
            <w:pPr>
              <w:pStyle w:val="Normal"/>
              <w:jc w:val="center"/>
              <w:rPr/>
            </w:pPr>
            <w:r>
              <w:rPr/>
              <w:t>2500</w:t>
            </w:r>
          </w:p>
        </w:tc>
      </w:tr>
      <w:tr>
        <w:trPr/>
        <w:tc>
          <w:tcPr>
            <w:tcW w:w="875" w:type="dxa"/>
            <w:tcBorders>
              <w:left w:val="single" w:sz="8" w:space="0" w:color="000000"/>
              <w:bottom w:val="single" w:sz="8" w:space="0" w:color="000000"/>
              <w:insideH w:val="single" w:sz="8" w:space="0" w:color="000000"/>
            </w:tcBorders>
            <w:shd w:fill="FFFFFF" w:val="clear"/>
          </w:tcPr>
          <w:p>
            <w:pPr>
              <w:pStyle w:val="Normal"/>
              <w:jc w:val="center"/>
              <w:rPr/>
            </w:pPr>
            <w:r>
              <w:rPr/>
              <w:t>-</w:t>
            </w:r>
          </w:p>
        </w:tc>
        <w:tc>
          <w:tcPr>
            <w:tcW w:w="2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both"/>
              <w:rPr/>
            </w:pPr>
            <w:r>
              <w:rPr/>
              <w:t>От неогражденных кабельных выводов из ЗРУ до земли при выходе кабелей на опору или портал не на территории ОРУ и при отсутствии проезда транспорта под выводами</w:t>
            </w:r>
          </w:p>
        </w:tc>
        <w:tc>
          <w:tcPr>
            <w:tcW w:w="138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5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2500</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55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3800</w:t>
            </w:r>
          </w:p>
          <w:p>
            <w:pPr>
              <w:pStyle w:val="Normal"/>
              <w:jc w:val="center"/>
              <w:rPr/>
            </w:pPr>
            <w:r>
              <w:rPr/>
              <w:t>3200</w:t>
            </w:r>
          </w:p>
        </w:tc>
        <w:tc>
          <w:tcPr>
            <w:tcW w:w="55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4500</w:t>
            </w:r>
          </w:p>
          <w:p>
            <w:pPr>
              <w:pStyle w:val="Normal"/>
              <w:jc w:val="center"/>
              <w:rPr/>
            </w:pPr>
            <w:r>
              <w:rPr/>
              <w:t>4000</w:t>
            </w:r>
          </w:p>
        </w:tc>
        <w:tc>
          <w:tcPr>
            <w:tcW w:w="55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u w:val="single"/>
              </w:rPr>
            </w:pPr>
            <w:r>
              <w:rPr>
                <w:u w:val="single"/>
              </w:rPr>
              <w:t>5750</w:t>
            </w:r>
          </w:p>
          <w:p>
            <w:pPr>
              <w:pStyle w:val="Normal"/>
              <w:jc w:val="center"/>
              <w:rPr/>
            </w:pPr>
            <w:r>
              <w:rPr/>
              <w:t>5300</w:t>
            </w:r>
          </w:p>
        </w:tc>
        <w:tc>
          <w:tcPr>
            <w:tcW w:w="56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u w:val="single"/>
              </w:rPr>
            </w:pPr>
            <w:r>
              <w:rPr>
                <w:u w:val="single"/>
              </w:rPr>
              <w:t>7500</w:t>
            </w:r>
          </w:p>
          <w:p>
            <w:pPr>
              <w:pStyle w:val="Normal"/>
              <w:jc w:val="center"/>
              <w:rPr/>
            </w:pPr>
            <w:r>
              <w:rPr/>
              <w:t>6500</w:t>
            </w:r>
          </w:p>
        </w:tc>
      </w:tr>
    </w:tbl>
    <w:p>
      <w:pPr>
        <w:pStyle w:val="Normal"/>
        <w:spacing w:before="120" w:after="0"/>
        <w:ind w:firstLine="284"/>
        <w:jc w:val="both"/>
        <w:rPr/>
      </w:pPr>
      <w:r>
        <w:rPr>
          <w:vertAlign w:val="superscript"/>
        </w:rPr>
        <w:t>1</w:t>
      </w:r>
      <w:r>
        <w:rPr/>
        <w:t xml:space="preserve"> Ограничители перенапряжений имеют защитный уровень коммутационных перенапряжений фаза-земля 1,8 </w:t>
      </w:r>
      <w:r>
        <w:rPr>
          <w:i/>
          <w:iCs/>
        </w:rPr>
        <w:t>U</w:t>
      </w:r>
      <w:r>
        <w:rPr>
          <w:i/>
          <w:iCs/>
          <w:vertAlign w:val="subscript"/>
        </w:rPr>
        <w:t>ф</w:t>
      </w:r>
      <w:r>
        <w:rPr/>
        <w:t>.</w:t>
      </w:r>
    </w:p>
    <w:p>
      <w:pPr>
        <w:pStyle w:val="Normal"/>
        <w:spacing w:before="120" w:after="0"/>
        <w:ind w:firstLine="284"/>
        <w:jc w:val="both"/>
        <w:rPr/>
      </w:pPr>
      <w:r>
        <w:rPr/>
        <w:t>4.2.91. 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ремонта.</w:t>
      </w:r>
    </w:p>
    <w:p>
      <w:pPr>
        <w:pStyle w:val="Normal"/>
        <w:ind w:firstLine="284"/>
        <w:jc w:val="both"/>
        <w:rPr/>
      </w:pPr>
      <w:r>
        <w:rPr/>
        <w:t>При установке КРУ и КТП в отдельных помещениях ширину коридора обслуживания следует определять, исходя из следующих требований:</w:t>
      </w:r>
    </w:p>
    <w:p>
      <w:pPr>
        <w:pStyle w:val="Normal"/>
        <w:ind w:firstLine="284"/>
        <w:jc w:val="both"/>
        <w:rPr/>
      </w:pPr>
      <w:r>
        <w:rPr/>
        <w:t>при однорядной установке - длина наибольшей из тележек КРУ (со всеми выступающими частями) плюс не менее 0,6 м;</w:t>
      </w:r>
    </w:p>
    <w:p>
      <w:pPr>
        <w:pStyle w:val="Normal"/>
        <w:ind w:firstLine="284"/>
        <w:jc w:val="both"/>
        <w:rPr/>
      </w:pPr>
      <w:r>
        <w:rPr/>
        <w:t>при двухрядной установке - длина наибольшей из тележек КРУ (со всеми выступающими частями) плюс не менее 0,8 м.</w:t>
      </w:r>
    </w:p>
    <w:p>
      <w:pPr>
        <w:pStyle w:val="Normal"/>
        <w:ind w:firstLine="284"/>
        <w:jc w:val="both"/>
        <w:rPr/>
      </w:pPr>
      <w:r>
        <w:rPr/>
        <w:t>При наличии коридора с задней стороны КРУ и КТП для их осмотра ширина его должна быть не менее 0,8 м; допускаются отдельные местные сужения не более чем на 0,2 м.</w:t>
      </w:r>
    </w:p>
    <w:p>
      <w:pPr>
        <w:pStyle w:val="Normal"/>
        <w:ind w:firstLine="284"/>
        <w:jc w:val="both"/>
        <w:rPr/>
      </w:pPr>
      <w:r>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случае она должна быть не менее 1 м.</w:t>
      </w:r>
    </w:p>
    <w:p>
      <w:pPr>
        <w:pStyle w:val="Normal"/>
        <w:ind w:firstLine="284"/>
        <w:jc w:val="both"/>
        <w:rPr/>
      </w:pPr>
      <w:r>
        <w:rPr/>
        <w:t>Высота помещения должна быть не менее высоты КРУ, КТП, считая от шинных вводов, перемычек или выступающих частей шкафов, плюс 0,8 м до потолка или 0,3 м до балок.</w:t>
      </w:r>
    </w:p>
    <w:p>
      <w:pPr>
        <w:pStyle w:val="Normal"/>
        <w:ind w:firstLine="284"/>
        <w:jc w:val="both"/>
        <w:rPr/>
      </w:pPr>
      <w:r>
        <w:rPr/>
        <w:t>Допускается меньшая высота помещения, если при этом обеспечиваются удобство и безопасность замены, ремонта и наладки оборудования КРУ, КТП, шинных вводов и перемычек.</w:t>
      </w:r>
    </w:p>
    <w:p>
      <w:pPr>
        <w:pStyle w:val="Normal"/>
        <w:ind w:firstLine="284"/>
        <w:jc w:val="both"/>
        <w:rPr/>
      </w:pPr>
      <w:r>
        <w:rPr/>
        <w:t>4.2.92. 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оборудования (например, трансформатора), а проемы должны соответствовать их габаритам.</w:t>
      </w:r>
    </w:p>
    <w:p>
      <w:pPr>
        <w:pStyle w:val="Normal"/>
        <w:ind w:firstLine="284"/>
        <w:jc w:val="both"/>
        <w:rPr/>
      </w:pPr>
      <w:r>
        <w:rPr/>
        <w:t xml:space="preserve">4.2.93. 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должны быть не менее размера </w:t>
      </w:r>
      <w:r>
        <w:rPr>
          <w:i/>
          <w:iCs/>
        </w:rPr>
        <w:t>Е</w:t>
      </w:r>
      <w:r>
        <w:rPr/>
        <w:t xml:space="preserve"> (табл. 4.2.7 и рис. 4.2.17).</w:t>
      </w:r>
    </w:p>
    <w:p>
      <w:pPr>
        <w:pStyle w:val="Normal"/>
        <w:ind w:firstLine="284"/>
        <w:jc w:val="both"/>
        <w:rPr/>
      </w:pPr>
      <w:r>
        <w:rPr/>
        <w:t xml:space="preserve">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1,6 м, либо горизонтальное ограждение под вводом. При этом расстояние от земли до провода в плоскости забора должно быть не менее размера </w:t>
      </w:r>
      <w:r>
        <w:rPr>
          <w:i/>
          <w:iCs/>
        </w:rPr>
        <w:t>Е</w:t>
      </w:r>
      <w:r>
        <w:rPr/>
        <w:t>.</w:t>
      </w:r>
    </w:p>
    <w:p>
      <w:pPr>
        <w:pStyle w:val="Normal"/>
        <w:ind w:firstLine="284"/>
        <w:jc w:val="both"/>
        <w:rPr/>
      </w:pPr>
      <w:r>
        <w:rPr/>
        <w:t>При воздушных вводах, пересекающих проезды или места, где возможно движение транспорта и т.п., расстояния от низшей точки провода до земли следует принимать в соответствии с 2.5.212 и 2.5.213.</w:t>
      </w:r>
    </w:p>
    <w:p>
      <w:pPr>
        <w:pStyle w:val="Normal"/>
        <w:ind w:firstLine="284"/>
        <w:jc w:val="both"/>
        <w:rPr/>
      </w:pPr>
      <w:r>
        <w:rPr/>
        <w:t xml:space="preserve">При воздушных выводах из ЗРУ на территорию ОРУ указанные расстояния должны приниматься по табл. 4.2.5 для размера </w:t>
      </w:r>
      <w:r>
        <w:rPr>
          <w:i/>
          <w:iCs/>
        </w:rPr>
        <w:t>Г</w:t>
      </w:r>
      <w:r>
        <w:rPr/>
        <w:t xml:space="preserve"> (см. рис. 4.2.6).</w:t>
      </w:r>
    </w:p>
    <w:p>
      <w:pPr>
        <w:pStyle w:val="Normal"/>
        <w:ind w:firstLine="284"/>
        <w:jc w:val="both"/>
        <w:rPr/>
      </w:pPr>
      <w:r>
        <w:rPr/>
        <w:t xml:space="preserve">Расстояния между смежными линейными выводами двух цепей должны быть не менее значений, приведенных в табл. 4.2.3 для размера </w:t>
      </w:r>
      <w:r>
        <w:rPr>
          <w:i/>
          <w:iCs/>
        </w:rPr>
        <w:t>Д</w:t>
      </w:r>
      <w:r>
        <w:rPr/>
        <w:t>, если не предусмотрены перегородки между выводами соседних цепей.</w:t>
      </w:r>
    </w:p>
    <w:p>
      <w:pPr>
        <w:pStyle w:val="Normal"/>
        <w:ind w:firstLine="284"/>
        <w:jc w:val="both"/>
        <w:rPr/>
      </w:pPr>
      <w:r>
        <w:rPr/>
        <w:t>На кровле здания ЗРУ в случае неорганизованного водостока над воздушными вводами следует предусматривать козырьки.</w:t>
      </w:r>
    </w:p>
    <w:p>
      <w:pPr>
        <w:pStyle w:val="Normal"/>
        <w:ind w:firstLine="284"/>
        <w:jc w:val="both"/>
        <w:rPr/>
      </w:pPr>
      <w:r>
        <w:rPr/>
        <w:t>4.2.94. Выходы из РУ следует выполнять исходя: из следующих требований:</w:t>
      </w:r>
    </w:p>
    <w:p>
      <w:pPr>
        <w:pStyle w:val="Normal"/>
        <w:ind w:firstLine="284"/>
        <w:jc w:val="both"/>
        <w:rPr/>
      </w:pPr>
      <w:r>
        <w:rPr/>
        <w:t>1) при длине РУ до 7 м допускается один выход;</w:t>
      </w:r>
    </w:p>
    <w:p>
      <w:pPr>
        <w:pStyle w:val="Normal"/>
        <w:ind w:firstLine="284"/>
        <w:jc w:val="both"/>
        <w:rPr/>
      </w:pPr>
      <w:r>
        <w:rPr/>
        <w:t>2) при длине РУ более 7 до 60 м должны быть предусмотрены два выхода по его концам; допускается располагать выходы из РУ на расстоянии до 7 м от его торцов;</w:t>
      </w:r>
    </w:p>
    <w:p>
      <w:pPr>
        <w:pStyle w:val="Normal"/>
        <w:ind w:firstLine="284"/>
        <w:jc w:val="both"/>
        <w:rPr/>
      </w:pPr>
      <w:r>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30 м.</w:t>
      </w:r>
    </w:p>
    <w:p>
      <w:pPr>
        <w:pStyle w:val="Normal"/>
        <w:ind w:firstLine="284"/>
        <w:jc w:val="both"/>
        <w:rPr/>
      </w:pPr>
      <w:r>
        <w:rPr/>
        <w:t>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огнестойкости. В многоэтажных РУ второй и дополнительные выходы могут быть предусмотрены также на балкон с наружной пожарной лестницей.</w:t>
      </w:r>
    </w:p>
    <w:p>
      <w:pPr>
        <w:pStyle w:val="Normal"/>
        <w:ind w:firstLine="284"/>
        <w:jc w:val="both"/>
        <w:rPr/>
      </w:pPr>
      <w:r>
        <w:rPr/>
        <w:t>Ворота камер с шириной створки более 1,5 м должны иметь калитку, если они используются для выхода персонала.</w:t>
      </w:r>
    </w:p>
    <w:p>
      <w:pPr>
        <w:pStyle w:val="Normal"/>
        <w:ind w:firstLine="284"/>
        <w:jc w:val="both"/>
        <w:rPr/>
      </w:pPr>
      <w:r>
        <w:rPr/>
        <w:t>4.2.95.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 в 4.2.100 и 4.2.103).</w:t>
      </w:r>
    </w:p>
    <w:p>
      <w:pPr>
        <w:pStyle w:val="Normal"/>
        <w:ind w:firstLine="284"/>
        <w:jc w:val="both"/>
        <w:rPr/>
      </w:pPr>
      <w:r>
        <w:rPr/>
        <w:t>4.2.96. Двери из РУ должны открываться в направлении других помещений или наружу и иметь самозапирающиеся замки, открываемые без ключа со стороны РУ.</w:t>
      </w:r>
    </w:p>
    <w:p>
      <w:pPr>
        <w:pStyle w:val="Normal"/>
        <w:ind w:firstLine="284"/>
        <w:jc w:val="both"/>
        <w:rPr/>
      </w:pPr>
      <w:r>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дверей в обоих направлениях.</w:t>
      </w:r>
    </w:p>
    <w:p>
      <w:pPr>
        <w:pStyle w:val="Normal"/>
        <w:ind w:firstLine="284"/>
        <w:jc w:val="both"/>
        <w:rPr/>
      </w:pPr>
      <w:r>
        <w:rPr/>
        <w:t>Двери между помещениями (отсеками) РУ разных напряжений должны открываться в сторону РУ с низшим напряжением.</w:t>
      </w:r>
    </w:p>
    <w:p>
      <w:pPr>
        <w:pStyle w:val="Normal"/>
        <w:ind w:firstLine="284"/>
        <w:jc w:val="both"/>
        <w:rPr/>
      </w:pPr>
      <w:r>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pPr>
        <w:pStyle w:val="Normal"/>
        <w:ind w:firstLine="284"/>
        <w:jc w:val="both"/>
        <w:rPr/>
      </w:pPr>
      <w:r>
        <w:rP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p>
    <w:p>
      <w:pPr>
        <w:pStyle w:val="Normal"/>
        <w:ind w:firstLine="284"/>
        <w:jc w:val="both"/>
        <w:rPr/>
      </w:pPr>
      <w:r>
        <w:rPr/>
        <w:t>4.2.97. Ограждающие конструкции и перегородки КРУ и КТП собственных нужд электростанции следует выполнять из негорючих материалов.</w:t>
      </w:r>
    </w:p>
    <w:p>
      <w:pPr>
        <w:pStyle w:val="Normal"/>
        <w:ind w:firstLine="284"/>
        <w:jc w:val="both"/>
        <w:rPr/>
      </w:pPr>
      <w:r>
        <w:rPr/>
        <w:t>Допускается установка КРУ и КТП собственных нужд в технологических помещениях ПС и электростанций в соответствии с требованиями 4.2.121.</w:t>
      </w:r>
    </w:p>
    <w:p>
      <w:pPr>
        <w:pStyle w:val="Normal"/>
        <w:ind w:firstLine="284"/>
        <w:jc w:val="both"/>
        <w:rPr/>
      </w:pPr>
      <w:r>
        <w:rPr/>
        <w:t>4.2.98. В одном помещении РУ напряжением от 0,4 кВ и выше допускается установка до двух масляных трансформаторов мощностью каждый до 0,63 МВ·А, отделенных друг от 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pPr>
        <w:pStyle w:val="Normal"/>
        <w:ind w:firstLine="284"/>
        <w:jc w:val="both"/>
        <w:rPr/>
      </w:pPr>
      <w:r>
        <w:rPr/>
        <w:t>4.2.99. Аппараты, относящиеся к пусковым устройствам электродвигателей, синхронных компенсаторов и т.п. (выключатели, пусковые реакторы, трансформаторы и т.п.) допускается устанавливать в общей камере без перегородок между ними.</w:t>
      </w:r>
    </w:p>
    <w:p>
      <w:pPr>
        <w:pStyle w:val="Normal"/>
        <w:ind w:firstLine="284"/>
        <w:jc w:val="both"/>
        <w:rPr/>
      </w:pPr>
      <w:r>
        <w:rPr/>
        <w:t>4.2.100. Трансформаторы напряжения независимо от массы масла в них допускается устанавливать в огражденных камерах РУ.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pPr>
        <w:pStyle w:val="Normal"/>
        <w:ind w:firstLine="284"/>
        <w:jc w:val="both"/>
        <w:rPr/>
      </w:pPr>
      <w:r>
        <w:rPr/>
        <w:t>4.2.101. Ячейки выключателей следует отделять от коридора обслуживания сплошными или сетчатыми ограждениями, а 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pPr>
        <w:pStyle w:val="Normal"/>
        <w:ind w:firstLine="284"/>
        <w:jc w:val="both"/>
        <w:rPr/>
      </w:pPr>
      <w:r>
        <w:rPr/>
        <w:t>Под каждым масляным выключателем с массой масла 60 кг и более в одном полюсе требуется устройство маслоприемника на полный объем масла в одном полюсе.</w:t>
      </w:r>
    </w:p>
    <w:p>
      <w:pPr>
        <w:pStyle w:val="Normal"/>
        <w:ind w:firstLine="284"/>
        <w:jc w:val="both"/>
        <w:rPr/>
      </w:pPr>
      <w:r>
        <w:rPr/>
        <w:t>4.2.102. 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p>
      <w:pPr>
        <w:pStyle w:val="Normal"/>
        <w:ind w:firstLine="284"/>
        <w:jc w:val="both"/>
        <w:rPr/>
      </w:pPr>
      <w:r>
        <w:rPr/>
        <w:t>При массе масла или негорючего экологически безопасного диэлектрика в одном баке более 600 кг должен быть устроен маслоприемник, рассчитанный на полный объем масла, или на удержание 20 % масла с отводом в маслосборник.</w:t>
      </w:r>
    </w:p>
    <w:p>
      <w:pPr>
        <w:pStyle w:val="Normal"/>
        <w:ind w:firstLine="284"/>
        <w:jc w:val="both"/>
        <w:rPr/>
      </w:pPr>
      <w:r>
        <w:rPr/>
        <w:t>4.2.103. При сооружении камер над подвалом, на втором этаже и выше (см. также 4.2.118), а также при устройстве выхода из камер в коридор под трансформаторами и другими маслонаполненными аппаратами должны выполняться маслоприемники по одному из следующих способов:</w:t>
      </w:r>
    </w:p>
    <w:p>
      <w:pPr>
        <w:pStyle w:val="Normal"/>
        <w:ind w:firstLine="284"/>
        <w:jc w:val="both"/>
        <w:rPr/>
      </w:pPr>
      <w:r>
        <w:rPr/>
        <w:t>1) при массе масла в одном баке (полюсе) до 60 кг выполняется порог или пандус для удержания полного объема масла;</w:t>
      </w:r>
    </w:p>
    <w:p>
      <w:pPr>
        <w:pStyle w:val="Normal"/>
        <w:ind w:firstLine="284"/>
        <w:jc w:val="both"/>
        <w:rPr/>
      </w:pPr>
      <w:r>
        <w:rPr/>
        <w:t>2) при массе масла от 60 до 600 кг под трансформатором (аппаратом) выполняется маслоприемник, рассчитанный на полный объем масла, либо у выхода из камеры - порог или пандус для удержания полного объема масла;</w:t>
      </w:r>
    </w:p>
    <w:p>
      <w:pPr>
        <w:pStyle w:val="Normal"/>
        <w:ind w:firstLine="284"/>
        <w:jc w:val="both"/>
        <w:rPr/>
      </w:pPr>
      <w:r>
        <w:rPr/>
        <w:t>3) при массе масла более 600 кг:</w:t>
      </w:r>
    </w:p>
    <w:p>
      <w:pPr>
        <w:pStyle w:val="Normal"/>
        <w:ind w:firstLine="284"/>
        <w:jc w:val="both"/>
        <w:rPr/>
      </w:pPr>
      <w:r>
        <w:rPr/>
        <w:t>маслоприемник, вмещающий не менее 20 % полного объема масла трансформатора или аппарата, с отводом масла в маслосборник.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 Дно маслоприемника должно иметь уклон 2 % в сторону приямка;</w:t>
      </w:r>
    </w:p>
    <w:p>
      <w:pPr>
        <w:pStyle w:val="Normal"/>
        <w:ind w:firstLine="284"/>
        <w:jc w:val="both"/>
        <w:rPr/>
      </w:pPr>
      <w:r>
        <w:rPr/>
        <w:t>маслоприемник без отвода масла в маслосборник. В этом случае маслоприемник должен быть перекрыт решеткой со слоем толщиной 25 см чистого промытого гранитного (либо другой непористой породы) гравия или щебня фракцией от 30 до 70 мм и должен быть рассчитан на полный объем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Площадь маслоприемника должна быть более площади основания трансформатора или аппарата.</w:t>
      </w:r>
    </w:p>
    <w:p>
      <w:pPr>
        <w:pStyle w:val="Normal"/>
        <w:ind w:firstLine="284"/>
        <w:jc w:val="both"/>
        <w:rPr/>
      </w:pPr>
      <w:r>
        <w:rPr/>
        <w:t>4.2.104. 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 для них значения.</w:t>
      </w:r>
    </w:p>
    <w:p>
      <w:pPr>
        <w:pStyle w:val="Normal"/>
        <w:ind w:firstLine="284"/>
        <w:jc w:val="both"/>
        <w:rPr/>
      </w:pPr>
      <w:r>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p>
    <w:p>
      <w:pPr>
        <w:pStyle w:val="Normal"/>
        <w:ind w:firstLine="284"/>
        <w:jc w:val="both"/>
        <w:rPr/>
      </w:pPr>
      <w:r>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pPr>
        <w:pStyle w:val="Normal"/>
        <w:ind w:firstLine="284"/>
        <w:jc w:val="both"/>
        <w:rPr/>
      </w:pPr>
      <w:r>
        <w:rPr/>
        <w:t>4.2.105. 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pPr>
        <w:pStyle w:val="Normal"/>
        <w:ind w:firstLine="284"/>
        <w:jc w:val="both"/>
        <w:rPr/>
      </w:pPr>
      <w:r>
        <w:rPr/>
        <w:t>4.2.106. Помещения РУ, содержащие оборудование, заполненное маслом, элегазом или компаундом, должны быть оборудованы вытяжной вентиляцией, включаемой извне и не связанной с другими вентиляционными устройствами.</w:t>
      </w:r>
    </w:p>
    <w:p>
      <w:pPr>
        <w:pStyle w:val="Normal"/>
        <w:ind w:firstLine="284"/>
        <w:jc w:val="both"/>
        <w:rPr/>
      </w:pPr>
      <w:r>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p>
      <w:pPr>
        <w:pStyle w:val="Normal"/>
        <w:ind w:firstLine="284"/>
        <w:jc w:val="both"/>
        <w:rPr/>
      </w:pPr>
      <w:r>
        <w:rPr/>
        <w:t>4.2.107. В помещениях, в которых дежурный персонал находится 6 ч и более, должна быть обеспечена температура воздуха не ниже + 18 °С и не выше + 28 °С.</w:t>
      </w:r>
    </w:p>
    <w:p>
      <w:pPr>
        <w:pStyle w:val="Normal"/>
        <w:ind w:firstLine="284"/>
        <w:jc w:val="both"/>
        <w:rPr/>
      </w:pPr>
      <w:r>
        <w:rPr/>
        <w:t>В ремонтной зоне ЗРУ на время проведения ремонтных работ должна быть обеспечена температура не ниже + 5 °С.</w:t>
      </w:r>
    </w:p>
    <w:p>
      <w:pPr>
        <w:pStyle w:val="Normal"/>
        <w:ind w:firstLine="284"/>
        <w:jc w:val="both"/>
        <w:rPr/>
      </w:pPr>
      <w:r>
        <w:rP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превышающей 250 °С (например, нагреватели типа ТЭН).</w:t>
      </w:r>
    </w:p>
    <w:p>
      <w:pPr>
        <w:pStyle w:val="Normal"/>
        <w:ind w:firstLine="284"/>
        <w:jc w:val="both"/>
        <w:rPr/>
      </w:pPr>
      <w:r>
        <w:rPr/>
        <w:t>4.2.108. 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конструкции, но не менее 45 мин.</w:t>
      </w:r>
    </w:p>
    <w:p>
      <w:pPr>
        <w:pStyle w:val="Normal"/>
        <w:ind w:firstLine="284"/>
        <w:jc w:val="both"/>
        <w:rPr/>
      </w:pPr>
      <w:r>
        <w:rPr/>
        <w:t>4.2.109. Прочие отверстия в наружных стенах для предотвращения проникновения животных и птиц должны быть защищены сетками или решетками с ячейками размером 10×10 мм.</w:t>
      </w:r>
    </w:p>
    <w:p>
      <w:pPr>
        <w:pStyle w:val="Normal"/>
        <w:ind w:firstLine="284"/>
        <w:jc w:val="both"/>
        <w:rPr/>
      </w:pPr>
      <w:r>
        <w:rPr/>
        <w:t>4.2.110. Перекрытия кабельных каналов и двойных полов должны быть выполнены съемными плитами из несгораемых материалов вровень с чистым полом помещения. Масса отдельной плиты перекрытия должна быть не более 50 кг.</w:t>
      </w:r>
    </w:p>
    <w:p>
      <w:pPr>
        <w:pStyle w:val="Normal"/>
        <w:ind w:firstLine="284"/>
        <w:jc w:val="both"/>
        <w:rPr/>
      </w:pPr>
      <w:r>
        <w:rPr/>
        <w:t>4.2.111. Прокладка в камерах аппаратов и трансформаторов транзитных кабелей и проводов, как правило, не допускается. В исключительных случаях допускается прокладка их в трубах.</w:t>
      </w:r>
    </w:p>
    <w:p>
      <w:pPr>
        <w:pStyle w:val="Normal"/>
        <w:ind w:firstLine="284"/>
        <w:jc w:val="both"/>
        <w:rPr/>
      </w:pPr>
      <w:r>
        <w:rPr/>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для осуществления присоединений (например, к измерительным трансформаторам).</w:t>
      </w:r>
    </w:p>
    <w:p>
      <w:pPr>
        <w:pStyle w:val="Normal"/>
        <w:ind w:firstLine="284"/>
        <w:jc w:val="both"/>
        <w:rPr/>
      </w:pPr>
      <w:r>
        <w:rPr/>
        <w:t>4.2.112. 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pPr>
        <w:pStyle w:val="Normal"/>
        <w:ind w:firstLine="284"/>
        <w:jc w:val="both"/>
        <w:rPr/>
      </w:pPr>
      <w:r>
        <w:rPr/>
        <w:t>4.2.113. При выборе схемы РУ, содержащего элегазовые аппараты, следует применять более простые схемы, чем в РУ с воздушной изоляцией.</w:t>
      </w:r>
    </w:p>
    <w:p>
      <w:pPr>
        <w:pStyle w:val="Heading3"/>
        <w:rPr/>
      </w:pPr>
      <w:r>
        <w:rPr/>
        <w:t>ВНУТРИЦЕХОВЫЕ РАСПРЕДЕЛИТЕЛЬНЫЕ УСТРОЙСТВА И ТРАНСФОРМАТОРНЫЕ ПОДСТАНЦИИ</w:t>
      </w:r>
    </w:p>
    <w:p>
      <w:pPr>
        <w:pStyle w:val="Normal"/>
        <w:ind w:firstLine="284"/>
        <w:jc w:val="both"/>
        <w:rPr/>
      </w:pPr>
      <w:r>
        <w:rPr/>
        <w:t>4.2.114. Требования, приведенные в 4.2.115 - 4.2.121, учитывают особенности внутрицеховых РУ и ПС напряжением до 35 кВ промышленных предприятий, которые должны также отвечать другим требованиям настоящей главы в той мере, в какой они не изменены.</w:t>
      </w:r>
    </w:p>
    <w:p>
      <w:pPr>
        <w:pStyle w:val="Normal"/>
        <w:ind w:firstLine="284"/>
        <w:jc w:val="both"/>
        <w:rPr/>
      </w:pPr>
      <w:r>
        <w:rPr/>
        <w:t>Распределительные устройства и подстанции, специальные электроустановки промышленных предприятий, в том числе во взрывоопасных и пожароопасных зонах, электротермические установки должны также отвечать требованиям соответствующих глав разд. 7.</w:t>
      </w:r>
    </w:p>
    <w:p>
      <w:pPr>
        <w:pStyle w:val="Normal"/>
        <w:ind w:firstLine="284"/>
        <w:jc w:val="both"/>
        <w:rPr/>
      </w:pPr>
      <w:r>
        <w:rPr/>
        <w:t>4.2.115. Внутрицеховые РУ и ПС с маслонаполненным оборудованием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4.2.118 и 4.2.119).</w:t>
      </w:r>
    </w:p>
    <w:p>
      <w:pPr>
        <w:pStyle w:val="Normal"/>
        <w:ind w:firstLine="284"/>
        <w:jc w:val="both"/>
        <w:rPr/>
      </w:pPr>
      <w:r>
        <w:rPr/>
        <w:t>Распределительные устройства и подстанции без маслонаполненного оборудования могут размешаться в помещениях с производствами категории В по противопожарным требованиям.</w:t>
      </w:r>
    </w:p>
    <w:p>
      <w:pPr>
        <w:pStyle w:val="Normal"/>
        <w:ind w:firstLine="284"/>
        <w:jc w:val="both"/>
        <w:rPr/>
      </w:pPr>
      <w:r>
        <w:rPr/>
        <w:t>На ПС могут быть установлены сухие, с негорючим экологически чистым диэлектриком или масляные трансформаторы.</w:t>
      </w:r>
    </w:p>
    <w:p>
      <w:pPr>
        <w:pStyle w:val="Normal"/>
        <w:ind w:firstLine="284"/>
        <w:jc w:val="both"/>
        <w:rPr/>
      </w:pPr>
      <w:r>
        <w:rPr/>
        <w:t>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трансформаторов до ворот цеха предприятия не через взрывоопасные или пожароопасные зоны.</w:t>
      </w:r>
    </w:p>
    <w:p>
      <w:pPr>
        <w:pStyle w:val="Normal"/>
        <w:ind w:firstLine="284"/>
        <w:jc w:val="both"/>
        <w:rPr/>
      </w:pPr>
      <w:r>
        <w:rPr/>
        <w:t>4.2.116. Под каждым трансформатором и аппаратом с массой масла или жидкого диэлектрика 60 кг и более должен быть устроен маслоприемник в соответствии с требованиями 4.2.103 п. 3, как для трансформаторов и аппаратов с массой масла более 600 кг.</w:t>
      </w:r>
    </w:p>
    <w:p>
      <w:pPr>
        <w:pStyle w:val="Normal"/>
        <w:ind w:firstLine="284"/>
        <w:jc w:val="both"/>
        <w:rPr/>
      </w:pPr>
      <w:r>
        <w:rPr/>
        <w:t>4.2.117. Ограждающие конструкции помещений ПС и закрытых камер с масляными трансформаторами и аппаратами, а также РУ с масляными выключателями с массой масла в одном полюсе (баке) 60 кг и более, должны иметь предел огнестойкости не менее 0,75 ч, а сами помещения и камеры могут быть пристроены или встроены в здании I или II степени огнестойкости.</w:t>
      </w:r>
    </w:p>
    <w:p>
      <w:pPr>
        <w:pStyle w:val="Normal"/>
        <w:ind w:firstLine="284"/>
        <w:jc w:val="both"/>
        <w:rPr/>
      </w:pPr>
      <w:r>
        <w:rPr/>
        <w:t>Строительные конструкции помещений РУ с масляными выключателями в одном полюсе (баке) менее 60 кг должны иметь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IIIа такие помещения допускается пристраивать или встраивать, если эти помещения имеют непосредственный выход наружу и если наружные стены этого помещения на высоту 4 м или до покрытия здания выполнены из негорючего материала или отделены негорючим козырьком, выступающим за плоскость стены не менее чем на 1 м.</w:t>
      </w:r>
    </w:p>
    <w:p>
      <w:pPr>
        <w:pStyle w:val="Normal"/>
        <w:ind w:firstLine="284"/>
        <w:jc w:val="both"/>
        <w:rPr/>
      </w:pPr>
      <w:r>
        <w:rPr/>
        <w:t>Ограждающие конструкции помещений ПС с трансформаторами сухими или с 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IIIа.</w:t>
      </w:r>
    </w:p>
    <w:p>
      <w:pPr>
        <w:pStyle w:val="Normal"/>
        <w:ind w:firstLine="284"/>
        <w:jc w:val="both"/>
        <w:rPr/>
      </w:pPr>
      <w:r>
        <w:rPr/>
        <w:t>4.2.118. 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p>
      <w:pPr>
        <w:pStyle w:val="Normal"/>
        <w:ind w:firstLine="284"/>
        <w:jc w:val="both"/>
        <w:rPr/>
      </w:pPr>
      <w:r>
        <w:rPr/>
        <w:t>а)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p>
      <w:pPr>
        <w:pStyle w:val="Normal"/>
        <w:ind w:firstLine="284"/>
        <w:jc w:val="both"/>
        <w:rPr/>
      </w:pPr>
      <w:r>
        <w:rPr/>
        <w:t>б) расстояния между отдельными помещениями разных ПС или между закрытыми камерами масляных трансформаторов не нормируются;</w:t>
      </w:r>
    </w:p>
    <w:p>
      <w:pPr>
        <w:pStyle w:val="Normal"/>
        <w:ind w:firstLine="284"/>
        <w:jc w:val="both"/>
        <w:rPr/>
      </w:pPr>
      <w:r>
        <w:rPr/>
        <w:t>в)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pPr>
        <w:pStyle w:val="Normal"/>
        <w:ind w:firstLine="284"/>
        <w:jc w:val="both"/>
        <w:rPr/>
      </w:pPr>
      <w:r>
        <w:rPr/>
        <w:t>г)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pPr>
        <w:pStyle w:val="Normal"/>
        <w:ind w:firstLine="284"/>
        <w:jc w:val="both"/>
        <w:rPr/>
      </w:pPr>
      <w:r>
        <w:rPr/>
        <w:t>4.2.119. Вентиляция ПС, размещаемых в отдельных помещениях, должна отвечать требованиям 4.2.104 - 4.2.106.</w:t>
      </w:r>
    </w:p>
    <w:p>
      <w:pPr>
        <w:pStyle w:val="Normal"/>
        <w:ind w:firstLine="284"/>
        <w:jc w:val="both"/>
        <w:rPr/>
      </w:pPr>
      <w:r>
        <w:rP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p>
    <w:p>
      <w:pPr>
        <w:pStyle w:val="Normal"/>
        <w:ind w:firstLine="284"/>
        <w:jc w:val="both"/>
        <w:rPr/>
      </w:pPr>
      <w:r>
        <w:rP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подсос неочищенного воздуха из производственного помещения.</w:t>
      </w:r>
    </w:p>
    <w:p>
      <w:pPr>
        <w:pStyle w:val="Normal"/>
        <w:ind w:firstLine="284"/>
        <w:jc w:val="both"/>
        <w:rPr/>
      </w:pPr>
      <w:r>
        <w:rP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pPr>
        <w:pStyle w:val="Normal"/>
        <w:ind w:firstLine="284"/>
        <w:jc w:val="both"/>
        <w:rPr/>
      </w:pPr>
      <w:r>
        <w:rPr/>
        <w:t>В зданиях с трудногорючими перекрытиями отвод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1 м.</w:t>
      </w:r>
    </w:p>
    <w:p>
      <w:pPr>
        <w:pStyle w:val="Normal"/>
        <w:ind w:firstLine="284"/>
        <w:jc w:val="both"/>
        <w:rPr/>
      </w:pPr>
      <w:r>
        <w:rPr/>
        <w:t>4.2.120. Полы внутрицеховых, встроенных и пристроенных ПС должны быть не ниже уровня пола цеха.</w:t>
      </w:r>
    </w:p>
    <w:p>
      <w:pPr>
        <w:pStyle w:val="Normal"/>
        <w:ind w:firstLine="284"/>
        <w:jc w:val="both"/>
        <w:rPr/>
      </w:pPr>
      <w:r>
        <w:rPr/>
        <w:t>4.2.121. Открыто размещенные в цеху КТП и КРУ должны иметь сетчатые ограждающие конструкции. Внутри ограждений должны быть предусмотрены проходы не менее указанных в 4.2.91.</w:t>
      </w:r>
    </w:p>
    <w:p>
      <w:pPr>
        <w:pStyle w:val="Normal"/>
        <w:ind w:firstLine="284"/>
        <w:jc w:val="both"/>
        <w:rPr/>
      </w:pPr>
      <w:r>
        <w:rPr/>
        <w:t>Как правило, КТП и КРУ следует размещать в пределах «мертвой зоны» работы цеховых 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устройства, световая сигнализация и т.п.).</w:t>
      </w:r>
    </w:p>
    <w:p>
      <w:pPr>
        <w:pStyle w:val="Heading3"/>
        <w:rPr/>
      </w:pPr>
      <w:r>
        <w:rPr/>
        <w:t>КОМПЛЕКТНЫЕ, СТОЛБОВЫЕ, МАЧТОВЫЕ ТРАНСФОРМАТОРНЫЕ ПОДСТАНЦИИ И СЕТЕВЫЕ СЕКЦИОНИРУЮЩИЕ ПУНКТЫ</w:t>
      </w:r>
    </w:p>
    <w:p>
      <w:pPr>
        <w:pStyle w:val="Normal"/>
        <w:ind w:firstLine="284"/>
        <w:jc w:val="both"/>
        <w:rPr/>
      </w:pPr>
      <w:r>
        <w:rPr/>
        <w:t>4.2.122. Требования, приведенные в 4.2.123 - 4.2.132, отражают особенности трансформаторных подстанций наружной установки комплектных (КТП),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pPr>
        <w:pStyle w:val="Normal"/>
        <w:ind w:firstLine="284"/>
        <w:jc w:val="both"/>
        <w:rPr/>
      </w:pPr>
      <w:r>
        <w:rPr/>
        <w:t>Во всем остальном, не оговоренном в 4.2.123 - 4.2.132 следует руководствоваться требованиями других параграфов данной главы.</w:t>
      </w:r>
    </w:p>
    <w:p>
      <w:pPr>
        <w:pStyle w:val="Normal"/>
        <w:ind w:firstLine="284"/>
        <w:jc w:val="both"/>
        <w:rPr/>
      </w:pPr>
      <w:r>
        <w:rPr/>
        <w:t>4.2.123. Присоединение трансформатора к сети высшего напряжения должно осуществляться при помощи предохранителей и разъединителя (выключателя нагрузки) или комбинированного аппарата «предохранитель - разъединитель» с видимым разрывом цепи.</w:t>
      </w:r>
    </w:p>
    <w:p>
      <w:pPr>
        <w:pStyle w:val="Normal"/>
        <w:ind w:firstLine="284"/>
        <w:jc w:val="both"/>
        <w:rPr/>
      </w:pPr>
      <w:r>
        <w:rP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pPr>
        <w:pStyle w:val="Normal"/>
        <w:ind w:firstLine="284"/>
        <w:jc w:val="both"/>
        <w:rPr/>
      </w:pPr>
      <w:r>
        <w:rPr/>
        <w:t>4.2.124. Коммутационный аппарат МТП и СТП, как правило, должен устанавливаться на концевой (или ответвительной) опоре ВЛ.</w:t>
      </w:r>
    </w:p>
    <w:p>
      <w:pPr>
        <w:pStyle w:val="Normal"/>
        <w:ind w:firstLine="284"/>
        <w:jc w:val="both"/>
        <w:rPr/>
      </w:pPr>
      <w:r>
        <w:rPr/>
        <w:t>Коммутационный аппарат КТП и ССП может устанавливаться как на концевой (ответвительной) опоре ВЛ, так и внутри КТП и ССП.</w:t>
      </w:r>
    </w:p>
    <w:p>
      <w:pPr>
        <w:pStyle w:val="Normal"/>
        <w:ind w:firstLine="284"/>
        <w:jc w:val="both"/>
        <w:rPr/>
      </w:pPr>
      <w:r>
        <w:rPr/>
        <w:t xml:space="preserve">4.2.125. На подстанциях и ССП без ограждения расстояние по вертикали от поверхности земли до неизолированных токоведущих частей при отсутствии движения транспорта под выводами должно быть не менее 3,5 м для напряжений до 1 кВ, а для напряжений 10 (6) и 35 кВ -по табл. 4.2.7 размер </w:t>
      </w:r>
      <w:r>
        <w:rPr>
          <w:i/>
          <w:iCs/>
        </w:rPr>
        <w:t>Е</w:t>
      </w:r>
      <w:r>
        <w:rPr/>
        <w:t>.</w:t>
      </w:r>
    </w:p>
    <w:p>
      <w:pPr>
        <w:pStyle w:val="Normal"/>
        <w:ind w:firstLine="284"/>
        <w:jc w:val="both"/>
        <w:rPr/>
      </w:pPr>
      <w:r>
        <w:rPr/>
        <w:t>На подстанциях и ССП с ограждением высотой не менее 1,8 м указанные расстояния до неизолированных токоведущих частей напряжением 10 (6) и 35 кВ могут быть уменьшены до размера Г, указанного в табл. 4.2.5. При этом в плоскости ограждения расстояние от ошиновки до кромки внешнего забора должно быть не менее размера Д, указанного в той же таблице.</w:t>
      </w:r>
    </w:p>
    <w:p>
      <w:pPr>
        <w:pStyle w:val="Normal"/>
        <w:ind w:firstLine="284"/>
        <w:jc w:val="both"/>
        <w:rPr/>
      </w:pPr>
      <w:r>
        <w:rP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2.5.111 и 2.5.112.</w:t>
      </w:r>
    </w:p>
    <w:p>
      <w:pPr>
        <w:pStyle w:val="Normal"/>
        <w:ind w:firstLine="284"/>
        <w:jc w:val="both"/>
        <w:rPr/>
      </w:pPr>
      <w:r>
        <w:rPr/>
        <w:t>4.2.126. Для обслуживания МТП на высоте не менее 3 м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pPr>
        <w:pStyle w:val="Normal"/>
        <w:ind w:firstLine="284"/>
        <w:jc w:val="both"/>
        <w:rPr/>
      </w:pPr>
      <w:r>
        <w:rPr/>
        <w:t>Для СТП устройство площадок и лестниц не обязательно.</w:t>
      </w:r>
    </w:p>
    <w:p>
      <w:pPr>
        <w:pStyle w:val="Normal"/>
        <w:ind w:firstLine="284"/>
        <w:jc w:val="both"/>
        <w:rPr/>
      </w:pPr>
      <w:r>
        <w:rPr/>
        <w:t>4.2.127. 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pPr>
        <w:pStyle w:val="Normal"/>
        <w:ind w:firstLine="284"/>
        <w:jc w:val="both"/>
        <w:rPr/>
      </w:pPr>
      <w:r>
        <w:rPr/>
        <w:t>4.2.128. Со стороны низшего напряжения трансформатора рекомендуется устанавливать аппарат, обеспечивающий видимый разрыв.</w:t>
      </w:r>
    </w:p>
    <w:p>
      <w:pPr>
        <w:pStyle w:val="Normal"/>
        <w:ind w:firstLine="284"/>
        <w:jc w:val="both"/>
        <w:rPr/>
      </w:pPr>
      <w:r>
        <w:rPr/>
        <w:t>4.2.129. Электропроводка в МТП и СТО между трансформатором и низковольтным шитом, а также между щитом и ВЛ низшего напряжения должна быть защищена от механических повреждений и выполняться в соответствии с требованиями, приведенными в гл. 2.1.</w:t>
      </w:r>
    </w:p>
    <w:p>
      <w:pPr>
        <w:pStyle w:val="Normal"/>
        <w:ind w:firstLine="284"/>
        <w:jc w:val="both"/>
        <w:rPr/>
      </w:pPr>
      <w:r>
        <w:rPr/>
        <w:t>4.2.130. 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мощностью более 0,25 МВ·А должны иметь питание напряжением не выше 25 В.</w:t>
      </w:r>
    </w:p>
    <w:p>
      <w:pPr>
        <w:pStyle w:val="Normal"/>
        <w:ind w:firstLine="284"/>
        <w:jc w:val="both"/>
        <w:rPr/>
      </w:pPr>
      <w:r>
        <w:rPr/>
        <w:t>4.2.131. По условию пожарной безопасности подстанции должны быть расположены на расстоянии не менее 3 м от зданий I, II, III степеней огнестойкости и 5 м от зданий IV и V степеней огнестойкости.</w:t>
      </w:r>
    </w:p>
    <w:p>
      <w:pPr>
        <w:pStyle w:val="Normal"/>
        <w:ind w:firstLine="284"/>
        <w:jc w:val="both"/>
        <w:rPr/>
      </w:pPr>
      <w:r>
        <w:rPr/>
        <w:t>Также необходимо руководствоваться требованиями, приведенными в 4.2.68.</w:t>
      </w:r>
    </w:p>
    <w:p>
      <w:pPr>
        <w:pStyle w:val="Normal"/>
        <w:ind w:firstLine="284"/>
        <w:jc w:val="both"/>
        <w:rPr/>
      </w:pPr>
      <w:r>
        <w:rPr/>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pPr>
        <w:pStyle w:val="Normal"/>
        <w:ind w:firstLine="284"/>
        <w:jc w:val="both"/>
        <w:rPr/>
      </w:pPr>
      <w:r>
        <w:rPr/>
        <w:t>4.2.132. В местах возможного наезда транспорта подстанции должны быть защищены отбойными тумбами.</w:t>
      </w:r>
    </w:p>
    <w:p>
      <w:pPr>
        <w:pStyle w:val="Heading3"/>
        <w:rPr/>
      </w:pPr>
      <w:bookmarkStart w:id="18" w:name="_%D0%97%D0%90%D0%A9%D0%98%D0%A2%D0%90_%D"/>
      <w:bookmarkEnd w:id="18"/>
      <w:r>
        <w:rPr/>
        <w:t>ЗАЩИТА ОТ ГРОЗОВЫХ ПЕРЕНАПРЯЖЕНИЙ</w:t>
      </w:r>
    </w:p>
    <w:p>
      <w:pPr>
        <w:pStyle w:val="Normal"/>
        <w:ind w:firstLine="284"/>
        <w:jc w:val="both"/>
        <w:rPr/>
      </w:pPr>
      <w:r>
        <w:rPr/>
        <w:t>4.2.133. Защита от грозовых перенапряжений РУ и ПС осуществляется:</w:t>
      </w:r>
    </w:p>
    <w:p>
      <w:pPr>
        <w:pStyle w:val="Normal"/>
        <w:ind w:firstLine="284"/>
        <w:jc w:val="both"/>
        <w:rPr/>
      </w:pPr>
      <w:r>
        <w:rPr/>
        <w:t>от прямых ударов молнии - стержневыми и тросовыми молниеотводами;</w:t>
      </w:r>
    </w:p>
    <w:p>
      <w:pPr>
        <w:pStyle w:val="Normal"/>
        <w:ind w:firstLine="284"/>
        <w:jc w:val="both"/>
        <w:rPr/>
      </w:pPr>
      <w:r>
        <w:rPr/>
        <w:t>от набегающих волн с отходящих линий - молниеотводами от прямых ударов молнии на определенной длине этих линий защитными аппаратами, устанавливаемыми на подходах и в РУ, к которым относятся разрядники вентильные (РВ), ограничители перенапряжений (ОПН), разрядники трубчатые (РТ) и защитные искровые промежутки (ИП).</w:t>
      </w:r>
    </w:p>
    <w:p>
      <w:pPr>
        <w:pStyle w:val="Normal"/>
        <w:ind w:firstLine="284"/>
        <w:jc w:val="both"/>
        <w:rPr/>
      </w:pPr>
      <w:r>
        <w:rPr/>
        <w:t>Ограничители перенапряжений, остающиеся напряжения которых при номинальном разрядном токе не более чем на 10 % ниже остающегося напряжения РВ или среднего пробивного напряжения РТ или ИП, называются далее соответствующими.</w:t>
      </w:r>
    </w:p>
    <w:p>
      <w:pPr>
        <w:pStyle w:val="Normal"/>
        <w:ind w:firstLine="284"/>
        <w:jc w:val="both"/>
        <w:rPr/>
      </w:pPr>
      <w:r>
        <w:rPr/>
        <w:t>4.2.134. Открытые РУ и ПС 20 - 750 кВ должны быть защищены от прямых ударов молнии. Выполнение защиты от прямых ударов молнии не требуется для ПС 20 и 35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p>
    <w:p>
      <w:pPr>
        <w:pStyle w:val="Normal"/>
        <w:ind w:firstLine="284"/>
        <w:jc w:val="both"/>
        <w:rPr/>
      </w:pPr>
      <w:r>
        <w:rPr/>
        <w:t>Здания закрытых РУ и ПС следует защищать от прямых ударов молнии в районах с числом грозовых часов в году более 20.</w:t>
      </w:r>
    </w:p>
    <w:p>
      <w:pPr>
        <w:pStyle w:val="Normal"/>
        <w:ind w:firstLine="284"/>
        <w:jc w:val="both"/>
        <w:rPr/>
      </w:pPr>
      <w:r>
        <w:rPr/>
        <w:t>Защиту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pPr>
        <w:pStyle w:val="Normal"/>
        <w:ind w:firstLine="284"/>
        <w:jc w:val="both"/>
        <w:rPr/>
      </w:pPr>
      <w:r>
        <w:rPr/>
        <w:t>Защиту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зданий.</w:t>
      </w:r>
    </w:p>
    <w:p>
      <w:pPr>
        <w:pStyle w:val="Normal"/>
        <w:ind w:firstLine="284"/>
        <w:jc w:val="both"/>
        <w:rPr/>
      </w:pPr>
      <w:r>
        <w:rP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pPr>
        <w:pStyle w:val="Normal"/>
        <w:ind w:firstLine="284"/>
        <w:jc w:val="both"/>
        <w:rPr/>
      </w:pPr>
      <w:r>
        <w:rPr/>
        <w:t>Молниеприемная сетка должна быть выполнена из стальной проволоки диаметром 6 - 8 мм и уложена на кровлю непосредственно или под слой негорючих утеплителя, или гидроизоляции. Сетка должна иметь ячейки площадью не более 150 м</w:t>
      </w:r>
      <w:r>
        <w:rPr>
          <w:vertAlign w:val="superscript"/>
        </w:rPr>
        <w:t>2</w:t>
      </w:r>
      <w:r>
        <w:rPr/>
        <w:t xml:space="preserve"> (например, ячейка 12×12 м). Узлы сетки должны быть соединены сваркой. Токоотводы, соединяющие молниеприемную сетку с заземляющим устройством, должны быть проложены не реже чем через каждые 25 м по периметру здания.</w:t>
      </w:r>
    </w:p>
    <w:p>
      <w:pPr>
        <w:pStyle w:val="Normal"/>
        <w:ind w:firstLine="284"/>
        <w:jc w:val="both"/>
        <w:rPr/>
      </w:pPr>
      <w:r>
        <w:rP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pPr>
        <w:pStyle w:val="Normal"/>
        <w:ind w:firstLine="284"/>
        <w:jc w:val="both"/>
        <w:rPr/>
      </w:pPr>
      <w:r>
        <w:rPr/>
        <w:t>При расчете числа обратных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pPr>
        <w:pStyle w:val="Normal"/>
        <w:ind w:firstLine="284"/>
        <w:jc w:val="both"/>
        <w:rPr/>
      </w:pPr>
      <w:r>
        <w:rPr/>
        <w:t>При вводе в закрытые РУ и ПС ВЛ через проходные изоляторы, расположенные на расстоянии менее 10 м от токопроводов и других связанных с ним токоведущих частей, указанные вводы должны быть защищены РВ или соответствующими ОПН. При присоединении к магистралям заземления ПС на расстоянии менее 15 м от силовых трансформаторов необходимо выполнение условий 4.2.136.</w:t>
      </w:r>
    </w:p>
    <w:p>
      <w:pPr>
        <w:pStyle w:val="Normal"/>
        <w:ind w:firstLine="284"/>
        <w:jc w:val="both"/>
        <w:rPr/>
      </w:pPr>
      <w:r>
        <w:rPr/>
        <w:t>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36 м</w:t>
      </w:r>
      <w:r>
        <w:rPr>
          <w:vertAlign w:val="superscript"/>
        </w:rPr>
        <w:t>2</w:t>
      </w:r>
      <w:r>
        <w:rPr/>
        <w:t xml:space="preserve"> (например, 6×6 м).</w:t>
      </w:r>
    </w:p>
    <w:p>
      <w:pPr>
        <w:pStyle w:val="Normal"/>
        <w:ind w:firstLine="284"/>
        <w:jc w:val="both"/>
        <w:rPr/>
      </w:pPr>
      <w:r>
        <w:rPr/>
        <w:t>Защита зданий и сооружений, в том числе взрывоопасных и пожароопасных, а также труб, расположенных на территории электростанции, осуществляется в соответствии с технической документацией, утвержденной в установленном порядке.</w:t>
      </w:r>
    </w:p>
    <w:p>
      <w:pPr>
        <w:pStyle w:val="Normal"/>
        <w:ind w:firstLine="284"/>
        <w:jc w:val="both"/>
        <w:rPr/>
      </w:pPr>
      <w:r>
        <w:rPr/>
        <w:t>4.2.135. Защита ОРУ 35 кВ и выше от прямых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радиомачты и т.п.).</w:t>
      </w:r>
    </w:p>
    <w:p>
      <w:pPr>
        <w:pStyle w:val="Normal"/>
        <w:ind w:firstLine="284"/>
        <w:jc w:val="both"/>
        <w:rPr/>
      </w:pPr>
      <w:r>
        <w:rPr/>
        <w:t>На конструкциях ОРУ 110 кВ и выше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устройства ПС; более 1000 до 2000 Ом·м - при площади заземляющего устройства ПС 10000 м</w:t>
      </w:r>
      <w:r>
        <w:rPr>
          <w:vertAlign w:val="superscript"/>
        </w:rPr>
        <w:t>2</w:t>
      </w:r>
      <w:r>
        <w:rPr/>
        <w:t xml:space="preserve"> и более.</w:t>
      </w:r>
    </w:p>
    <w:p>
      <w:pPr>
        <w:pStyle w:val="Normal"/>
        <w:ind w:firstLine="284"/>
        <w:jc w:val="both"/>
        <w:rPr/>
      </w:pPr>
      <w:r>
        <w:rPr/>
        <w:t>Установка молниеотводов на конструкциях ОРУ 35 кВ допускается при эквивалентном удельном сопротивлении земли в грозовой сезон: до 500 Ом·м - независимо от площади заземляющего контура ПС, более 500 Ом·м - при площади заземляющего контура ПС 10000 м</w:t>
      </w:r>
      <w:r>
        <w:rPr>
          <w:vertAlign w:val="superscript"/>
        </w:rPr>
        <w:t>2</w:t>
      </w:r>
      <w:r>
        <w:rPr/>
        <w:t xml:space="preserve"> и более.</w:t>
      </w:r>
    </w:p>
    <w:p>
      <w:pPr>
        <w:pStyle w:val="Normal"/>
        <w:ind w:firstLine="284"/>
        <w:jc w:val="both"/>
        <w:rPr/>
      </w:pPr>
      <w:r>
        <w:rPr/>
        <w:t>От стоек конструкций ОРУ 35 кВ и выше с молниеотводами должно быть обеспечено растекание тока молнии по магистралям заземления не менее чем в двух направлениях с углом не менее 90° между соседними. Кроме того, должно быть установлено не менее одного вертикального электрода длиной 3 - 5 м на каждом направлении, на расстоянии не менее длины электрода от места присоединения к магистрали заземления стойки с молниеотводом.</w:t>
      </w:r>
    </w:p>
    <w:p>
      <w:pPr>
        <w:pStyle w:val="Normal"/>
        <w:ind w:firstLine="284"/>
        <w:jc w:val="both"/>
        <w:rPr/>
      </w:pPr>
      <w:r>
        <w:rP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pPr>
        <w:pStyle w:val="Normal"/>
        <w:ind w:firstLine="284"/>
        <w:jc w:val="both"/>
        <w:rPr/>
      </w:pPr>
      <w:r>
        <w:rPr/>
        <w:t>Гирлянды подвесной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pPr>
        <w:pStyle w:val="Normal"/>
        <w:ind w:firstLine="284"/>
        <w:jc w:val="both"/>
        <w:rPr/>
      </w:pPr>
      <w:r>
        <w:rPr/>
        <w:t>1) на порталах ОРУ с молниеотводами:</w:t>
      </w:r>
    </w:p>
    <w:p>
      <w:pPr>
        <w:pStyle w:val="Normal"/>
        <w:ind w:firstLine="284"/>
        <w:jc w:val="both"/>
        <w:rPr/>
      </w:pPr>
      <w:r>
        <w:rPr/>
        <w:t>не менее шести изоляторов при расположении вентильных разрядников или соответствующих им по уровню остающихся напряжений ОПН не далее 15 м по магистралям заземляющего устройства от места присоединения к нему;</w:t>
      </w:r>
    </w:p>
    <w:p>
      <w:pPr>
        <w:pStyle w:val="Normal"/>
        <w:ind w:firstLine="284"/>
        <w:jc w:val="both"/>
        <w:rPr/>
      </w:pPr>
      <w:r>
        <w:rPr/>
        <w:t>не менее семи изоляторов в остальных случаях;</w:t>
      </w:r>
    </w:p>
    <w:p>
      <w:pPr>
        <w:pStyle w:val="Normal"/>
        <w:ind w:firstLine="284"/>
        <w:jc w:val="both"/>
        <w:rPr/>
      </w:pPr>
      <w:r>
        <w:rPr/>
        <w:t>2) на концевых опорах:</w:t>
      </w:r>
    </w:p>
    <w:p>
      <w:pPr>
        <w:pStyle w:val="Normal"/>
        <w:ind w:firstLine="284"/>
        <w:jc w:val="both"/>
        <w:rPr/>
      </w:pPr>
      <w:r>
        <w:rPr/>
        <w:t>не менее семи изоляторов при подсоединении к порталам троса ПС;</w:t>
      </w:r>
    </w:p>
    <w:p>
      <w:pPr>
        <w:pStyle w:val="Normal"/>
        <w:ind w:firstLine="284"/>
        <w:jc w:val="both"/>
        <w:rPr/>
      </w:pPr>
      <w:r>
        <w:rPr/>
        <w:t>не менее восьми изоляторов, если трос не заходит на конструкции ПС и при установке на концевой опоре стержневого молниеотвода.</w:t>
      </w:r>
    </w:p>
    <w:p>
      <w:pPr>
        <w:pStyle w:val="Normal"/>
        <w:ind w:firstLine="284"/>
        <w:jc w:val="both"/>
        <w:rPr/>
      </w:pPr>
      <w:r>
        <w:rPr/>
        <w:t>Число изоляторов на ОРУ 20 и 35 кВ и концевых опорах должно быть увеличено, если это требуется по условиям гл. 1.9.</w:t>
      </w:r>
    </w:p>
    <w:p>
      <w:pPr>
        <w:pStyle w:val="Normal"/>
        <w:ind w:firstLine="284"/>
        <w:jc w:val="both"/>
        <w:rPr/>
      </w:pPr>
      <w:r>
        <w:rP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pPr>
        <w:pStyle w:val="Normal"/>
        <w:ind w:firstLine="284"/>
        <w:jc w:val="both"/>
        <w:rPr/>
      </w:pPr>
      <w:r>
        <w:rPr/>
        <w:t>Расстояние по воздуху от конструкций ОРУ, на которых установлены молниеотводы, до токоведущих частей должно быть не менее длины гирлянды.</w:t>
      </w:r>
    </w:p>
    <w:p>
      <w:pPr>
        <w:pStyle w:val="Normal"/>
        <w:ind w:firstLine="284"/>
        <w:jc w:val="both"/>
        <w:rPr/>
      </w:pPr>
      <w:r>
        <w:rPr/>
        <w:t>Место присоединения конструкции со стержневым или тросовым молниеотводом к заземляющему устройству ПС должно быть расположено на расстоянии не менее 15 м по магистралям заземления от места присоединения к нему трансформаторов (реакторов) и конструкций КРУН 6 - 10 кВ.</w:t>
      </w:r>
    </w:p>
    <w:p>
      <w:pPr>
        <w:pStyle w:val="Normal"/>
        <w:ind w:firstLine="284"/>
        <w:jc w:val="both"/>
        <w:rPr/>
      </w:pPr>
      <w:r>
        <w:rPr/>
        <w:t>Расстояние в земле между точкой заземления молниеотвода и точкой заземления нейтрали или бака трансформатора должно быть не менее 3 м.</w:t>
      </w:r>
    </w:p>
    <w:p>
      <w:pPr>
        <w:pStyle w:val="Normal"/>
        <w:ind w:firstLine="284"/>
        <w:jc w:val="both"/>
        <w:rPr/>
      </w:pPr>
      <w:r>
        <w:rPr/>
        <w:t>4.2.136.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расстоянии менее 15 м,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pPr>
        <w:pStyle w:val="Normal"/>
        <w:ind w:firstLine="284"/>
        <w:jc w:val="both"/>
        <w:rPr/>
      </w:pPr>
      <w:r>
        <w:rPr/>
        <w:t>1) непосредственно на всех выводах обмоток 3 - 35 кВ трансформаторов или на расстоянии не более 5 м от них по ошиновке, включая ответвления к защитным аппаратам, должны быть установлены соответствующие ОПН 3 - 35 кВ или РВ;</w:t>
      </w:r>
    </w:p>
    <w:p>
      <w:pPr>
        <w:pStyle w:val="Normal"/>
        <w:ind w:firstLine="284"/>
        <w:jc w:val="both"/>
        <w:rPr/>
      </w:pPr>
      <w:r>
        <w:rPr/>
        <w:t>2) должно быть обеспечено растекание тока молнии от стойки конструкции с молниеотводом по трем-четырем направлениям с углом не менее 90° между ними;</w:t>
      </w:r>
    </w:p>
    <w:p>
      <w:pPr>
        <w:pStyle w:val="Normal"/>
        <w:ind w:firstLine="284"/>
        <w:jc w:val="both"/>
        <w:rPr/>
      </w:pPr>
      <w:r>
        <w:rPr/>
        <w:t>3) на каждом направлении, на расстоянии 3 - 5 м от стойки с молниеотводом, должно быть установлено по одному вертикальному электроду длиной 5 м;</w:t>
      </w:r>
    </w:p>
    <w:p>
      <w:pPr>
        <w:pStyle w:val="Normal"/>
        <w:ind w:firstLine="284"/>
        <w:jc w:val="both"/>
        <w:rPr/>
      </w:pPr>
      <w:r>
        <w:rP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pPr>
        <w:pStyle w:val="Normal"/>
        <w:ind w:firstLine="284"/>
        <w:jc w:val="both"/>
        <w:rPr/>
      </w:pPr>
      <w:r>
        <w:rPr/>
        <w:t>5) заземляющие проводники РВ или ОПН и силовых трансформаторов рекомендуется присоединять к заземляющему устройству ПС поблизости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трансформаторов тока необходимо присоединить к заземляющему устройству РУ в наиболее удаленных от заземления РВ или ОПН местах.</w:t>
      </w:r>
    </w:p>
    <w:p>
      <w:pPr>
        <w:pStyle w:val="Normal"/>
        <w:ind w:firstLine="284"/>
        <w:jc w:val="both"/>
        <w:rPr/>
      </w:pPr>
      <w:r>
        <w:rPr/>
        <w:t>4.2.137.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pPr>
        <w:pStyle w:val="Normal"/>
        <w:ind w:firstLine="284"/>
        <w:jc w:val="both"/>
        <w:rPr/>
      </w:pPr>
      <w:r>
        <w:rPr/>
        <w:t xml:space="preserve">Расстояние </w:t>
      </w:r>
      <w:r>
        <w:rPr>
          <w:i/>
          <w:iCs/>
        </w:rPr>
        <w:t>S</w:t>
      </w:r>
      <w:r>
        <w:rPr>
          <w:vertAlign w:val="subscript"/>
        </w:rPr>
        <w:t>3</w:t>
      </w:r>
      <w:r>
        <w:rPr/>
        <w:t>, м, между обособленным заземлителем молниеотвода и заземляющим устройством ОРУ (ПС) должно быть равным (но не менее 3 м):</w:t>
      </w:r>
    </w:p>
    <w:p>
      <w:pPr>
        <w:pStyle w:val="Normal"/>
        <w:spacing w:before="120" w:after="120"/>
        <w:jc w:val="center"/>
        <w:rPr>
          <w:vertAlign w:val="subscript"/>
        </w:rPr>
      </w:pPr>
      <w:r>
        <w:rPr>
          <w:vertAlign w:val="subscript"/>
        </w:rPr>
        <w:drawing>
          <wp:inline distT="0" distB="0" distL="0" distR="0">
            <wp:extent cx="803275" cy="229870"/>
            <wp:effectExtent l="0" t="0" r="0" b="0"/>
            <wp:docPr id="9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0" descr=""/>
                    <pic:cNvPicPr>
                      <a:picLocks noChangeAspect="1" noChangeArrowheads="1"/>
                    </pic:cNvPicPr>
                  </pic:nvPicPr>
                  <pic:blipFill>
                    <a:blip r:embed="rId104"/>
                    <a:srcRect l="-45" t="-157" r="-45" b="-157"/>
                    <a:stretch>
                      <a:fillRect/>
                    </a:stretch>
                  </pic:blipFill>
                  <pic:spPr bwMode="auto">
                    <a:xfrm>
                      <a:off x="0" y="0"/>
                      <a:ext cx="803275" cy="229870"/>
                    </a:xfrm>
                    <a:prstGeom prst="rect">
                      <a:avLst/>
                    </a:prstGeom>
                  </pic:spPr>
                </pic:pic>
              </a:graphicData>
            </a:graphic>
          </wp:inline>
        </w:drawing>
      </w:r>
    </w:p>
    <w:p>
      <w:pPr>
        <w:pStyle w:val="Normal"/>
        <w:ind w:firstLine="284"/>
        <w:jc w:val="both"/>
        <w:rPr/>
      </w:pPr>
      <w:r>
        <w:rPr/>
        <w:t xml:space="preserve">где </w:t>
      </w:r>
      <w:r>
        <w:rPr>
          <w:i/>
          <w:iCs/>
        </w:rPr>
        <w:t>R</w:t>
      </w:r>
      <w:r>
        <w:rPr>
          <w:i/>
          <w:iCs/>
          <w:vertAlign w:val="subscript"/>
        </w:rPr>
        <w:t>u</w:t>
      </w:r>
      <w:r>
        <w:rPr/>
        <w:t xml:space="preserve"> - импульсное сопротивление заземления, Ом, отдельно стоящего молниеотвода.</w:t>
      </w:r>
    </w:p>
    <w:p>
      <w:pPr>
        <w:pStyle w:val="Normal"/>
        <w:ind w:firstLine="284"/>
        <w:jc w:val="both"/>
        <w:rPr/>
      </w:pPr>
      <w:r>
        <w:rPr/>
        <w:t xml:space="preserve">Расстояние по воздуху </w:t>
      </w:r>
      <w:r>
        <w:rPr>
          <w:i/>
          <w:iCs/>
        </w:rPr>
        <w:t>S</w:t>
      </w:r>
      <w:r>
        <w:rPr>
          <w:i/>
          <w:iCs/>
          <w:vertAlign w:val="subscript"/>
        </w:rPr>
        <w:t>в.о</w:t>
      </w:r>
      <w:r>
        <w:rPr/>
        <w:t>, м, от отдельностоящего молниеотвода с обособленным заземлителем до токоведущих частей, заземленных конструкций и оборудования ОРУ (ПС) должно быть равным (но не менее 5 м):</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1485900" cy="228600"/>
            <wp:effectExtent l="0" t="0" r="0" b="0"/>
            <wp:docPr id="97" name="image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089" descr=""/>
                    <pic:cNvPicPr>
                      <a:picLocks noChangeAspect="1" noChangeArrowheads="1"/>
                    </pic:cNvPicPr>
                  </pic:nvPicPr>
                  <pic:blipFill>
                    <a:blip r:embed="rId105"/>
                    <a:srcRect l="-24" t="-157" r="-24" b="-157"/>
                    <a:stretch>
                      <a:fillRect/>
                    </a:stretch>
                  </pic:blipFill>
                  <pic:spPr bwMode="auto">
                    <a:xfrm>
                      <a:off x="0" y="0"/>
                      <a:ext cx="1485900" cy="228600"/>
                    </a:xfrm>
                    <a:prstGeom prst="rect">
                      <a:avLst/>
                    </a:prstGeom>
                  </pic:spPr>
                </pic:pic>
              </a:graphicData>
            </a:graphic>
          </wp:inline>
        </w:drawing>
      </w:r>
    </w:p>
    <w:p>
      <w:pPr>
        <w:pStyle w:val="Normal"/>
        <w:ind w:firstLine="284"/>
        <w:jc w:val="both"/>
        <w:rPr/>
      </w:pPr>
      <w:r>
        <w:rPr/>
        <w:t xml:space="preserve">где </w:t>
      </w:r>
      <w:r>
        <w:rPr>
          <w:i/>
          <w:iCs/>
        </w:rPr>
        <w:t>Н</w:t>
      </w:r>
      <w:r>
        <w:rPr/>
        <w:t xml:space="preserve"> - высота рассматриваемой точки на токоведущей части или оборудовании над уровнем земли, м.</w:t>
      </w:r>
    </w:p>
    <w:p>
      <w:pPr>
        <w:pStyle w:val="Normal"/>
        <w:ind w:firstLine="284"/>
        <w:jc w:val="both"/>
        <w:rPr/>
      </w:pPr>
      <w:r>
        <w:rPr/>
        <w:t>Заземлители отдельно стоящих молниеотводов в ОРУ могут быть присоединены к заземляющему устройству ОРУ (ПС) при соблюдении указанных в 4.2.135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35 - 150 кВ магистрали заземления должны быть выполнены по двум-трем направлениям с углом не менее 90° между ними.</w:t>
      </w:r>
    </w:p>
    <w:p>
      <w:pPr>
        <w:pStyle w:val="Normal"/>
        <w:ind w:firstLine="284"/>
        <w:jc w:val="both"/>
        <w:rPr/>
      </w:pPr>
      <w:r>
        <w:rPr/>
        <w:t>Заземлители молниеотводов, установленных на прожекторных мачтах, должны быть присоединены к заземляющему устройству ПС. В случае несоблюдения условий, указанных в 4.2.135 дополнительно к общим требованиям присоединения заземлителей отдельно стоящих молниеотводов должны быть соблюдены следующие требования:</w:t>
      </w:r>
    </w:p>
    <w:p>
      <w:pPr>
        <w:pStyle w:val="Normal"/>
        <w:ind w:firstLine="284"/>
        <w:jc w:val="both"/>
        <w:rPr/>
      </w:pPr>
      <w:r>
        <w:rPr/>
        <w:t>1) в радиусе 5 м от молниеотвода следует установить три вертикальных электрода длиной 3 - 5 м;</w:t>
      </w:r>
    </w:p>
    <w:p>
      <w:pPr>
        <w:pStyle w:val="Normal"/>
        <w:ind w:firstLine="284"/>
        <w:jc w:val="both"/>
        <w:rPr/>
      </w:pPr>
      <w:r>
        <w:rPr/>
        <w:t>2) 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на выводах обмоток напряжением до 35 кВ трансформатора должны быть установлены РВ или ОПН.</w:t>
      </w:r>
    </w:p>
    <w:p>
      <w:pPr>
        <w:pStyle w:val="Normal"/>
        <w:ind w:firstLine="284"/>
        <w:jc w:val="both"/>
        <w:rPr/>
      </w:pPr>
      <w:r>
        <w:rPr/>
        <w:t>Расстояние по воздуху 5В с отдельно стоящего молниеотвода, заземлитель которого соединен с заземляющим устройством ОРУ (ПС), до токоведущих частей должно составлять:</w:t>
      </w:r>
    </w:p>
    <w:p>
      <w:pPr>
        <w:pStyle w:val="Normal"/>
        <w:spacing w:before="120" w:after="120"/>
        <w:jc w:val="center"/>
        <w:rPr>
          <w:vertAlign w:val="subscript"/>
        </w:rPr>
      </w:pPr>
      <w:r>
        <w:rPr>
          <w:vertAlign w:val="subscript"/>
        </w:rPr>
        <w:drawing>
          <wp:inline distT="0" distB="0" distL="0" distR="0">
            <wp:extent cx="1085850" cy="228600"/>
            <wp:effectExtent l="0" t="0" r="0" b="0"/>
            <wp:docPr id="98" name="image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090" descr=""/>
                    <pic:cNvPicPr>
                      <a:picLocks noChangeAspect="1" noChangeArrowheads="1"/>
                    </pic:cNvPicPr>
                  </pic:nvPicPr>
                  <pic:blipFill>
                    <a:blip r:embed="rId106"/>
                    <a:srcRect l="-33" t="-157" r="-33" b="-157"/>
                    <a:stretch>
                      <a:fillRect/>
                    </a:stretch>
                  </pic:blipFill>
                  <pic:spPr bwMode="auto">
                    <a:xfrm>
                      <a:off x="0" y="0"/>
                      <a:ext cx="1085850" cy="228600"/>
                    </a:xfrm>
                    <a:prstGeom prst="rect">
                      <a:avLst/>
                    </a:prstGeom>
                  </pic:spPr>
                </pic:pic>
              </a:graphicData>
            </a:graphic>
          </wp:inline>
        </w:drawing>
      </w:r>
    </w:p>
    <w:p>
      <w:pPr>
        <w:pStyle w:val="Normal"/>
        <w:ind w:firstLine="284"/>
        <w:jc w:val="both"/>
        <w:rPr/>
      </w:pPr>
      <w:r>
        <w:rPr/>
        <w:t xml:space="preserve">где </w:t>
      </w:r>
      <w:r>
        <w:rPr>
          <w:i/>
          <w:iCs/>
        </w:rPr>
        <w:t>Н</w:t>
      </w:r>
      <w:r>
        <w:rPr/>
        <w:t xml:space="preserve"> - высота токоведущих частей над уровнем земли, м; </w:t>
      </w:r>
      <w:r>
        <w:rPr>
          <w:i/>
          <w:iCs/>
        </w:rPr>
        <w:t>m</w:t>
      </w:r>
      <w:r>
        <w:rPr/>
        <w:t xml:space="preserve"> - длина гирлянды изоляторов, м.</w:t>
      </w:r>
    </w:p>
    <w:p>
      <w:pPr>
        <w:pStyle w:val="Normal"/>
        <w:ind w:firstLine="284"/>
        <w:jc w:val="both"/>
        <w:rPr/>
      </w:pPr>
      <w:r>
        <w:rPr/>
        <w:t>4.2.138. Тросовые молниеотводы ВЛ 110 кВ и выше, как правило, следует присоединять к заземленным конструкциям ОРУ (ПС).</w:t>
      </w:r>
    </w:p>
    <w:p>
      <w:pPr>
        <w:pStyle w:val="Normal"/>
        <w:ind w:firstLine="284"/>
        <w:jc w:val="both"/>
        <w:rPr/>
      </w:pPr>
      <w:r>
        <w:rPr/>
        <w:t>От стоек конструкций ОРУ 110 - 220 кВ, к которым присоединены тросовые молниеотводы, должны быть выполнены магистрали заземления не менее чем по двум-трем направлениям с углом не менее 90° между ними.</w:t>
      </w:r>
    </w:p>
    <w:p>
      <w:pPr>
        <w:pStyle w:val="Normal"/>
        <w:ind w:firstLine="284"/>
        <w:jc w:val="both"/>
        <w:rPr/>
      </w:pPr>
      <w:r>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более 750 Ом·м - при площади заземляющего контура ПС 10000 м</w:t>
      </w:r>
      <w:r>
        <w:rPr>
          <w:vertAlign w:val="superscript"/>
        </w:rPr>
        <w:t>2</w:t>
      </w:r>
      <w:r>
        <w:rPr/>
        <w:t xml:space="preserve"> и более.</w:t>
      </w:r>
    </w:p>
    <w:p>
      <w:pPr>
        <w:pStyle w:val="Normal"/>
        <w:ind w:firstLine="284"/>
        <w:jc w:val="both"/>
        <w:rPr/>
      </w:pPr>
      <w:r>
        <w:rPr/>
        <w:t>От стоек конструкций ОРУ 35 кВ, к которым присоединены тросовые молниеотводы, магистрали заземления должны быть выполнены не менее чем по двум-трем направлениям с углом не менее 90° между ними. Кроме того, на каждом направлении должно быть установлено по одному вертикальному электроду длиной 3 - 5 м на расстоянии не менее 5 м.</w:t>
      </w:r>
    </w:p>
    <w:p>
      <w:pPr>
        <w:pStyle w:val="Normal"/>
        <w:ind w:firstLine="284"/>
        <w:jc w:val="both"/>
        <w:rPr/>
      </w:pPr>
      <w:r>
        <w:rPr/>
        <w:t>Сопротивление заземлителей ближайших к ОРУ опор ВЛ напряжением 35 кВ не должно превышать 10 Ом.</w:t>
      </w:r>
    </w:p>
    <w:p>
      <w:pPr>
        <w:pStyle w:val="Normal"/>
        <w:ind w:firstLine="284"/>
        <w:jc w:val="both"/>
        <w:rPr/>
      </w:pPr>
      <w:r>
        <w:rP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p>
    <w:p>
      <w:pPr>
        <w:pStyle w:val="Normal"/>
        <w:ind w:firstLine="284"/>
        <w:jc w:val="both"/>
        <w:rPr/>
      </w:pPr>
      <w:r>
        <w:rPr/>
        <w:t>Гирлянды изоляторов на порталах ОРУ 35 кВ и на концевых опорах ВЛ 35 кВ следует выбирать в соответствии с 4.2.135.</w:t>
      </w:r>
    </w:p>
    <w:p>
      <w:pPr>
        <w:pStyle w:val="Normal"/>
        <w:ind w:firstLine="284"/>
        <w:jc w:val="both"/>
        <w:rPr/>
      </w:pPr>
      <w:r>
        <w:rPr/>
        <w:t>4.2.139. Устройство и защита подходов ВЛ к ОРУ и ПС должны отвечать требованиям, приведенным в 4.2.138, 4.2.142 - 4.2.146, 4.2.153 - 4.2.157.</w:t>
      </w:r>
    </w:p>
    <w:p>
      <w:pPr>
        <w:pStyle w:val="Normal"/>
        <w:ind w:firstLine="284"/>
        <w:jc w:val="both"/>
        <w:rPr/>
      </w:pPr>
      <w:r>
        <w:rPr/>
        <w:t>4.2.140. Не допускается установка молниеотводов на конструкциях:</w:t>
      </w:r>
    </w:p>
    <w:p>
      <w:pPr>
        <w:pStyle w:val="Normal"/>
        <w:ind w:firstLine="284"/>
        <w:jc w:val="both"/>
        <w:rPr/>
      </w:pPr>
      <w:r>
        <w:rPr/>
        <w:t>трансформаторов, к которым открытыми токопроводами присоединены вращающиеся машины;</w:t>
      </w:r>
    </w:p>
    <w:p>
      <w:pPr>
        <w:pStyle w:val="Normal"/>
        <w:ind w:firstLine="284"/>
        <w:jc w:val="both"/>
        <w:rPr/>
      </w:pPr>
      <w:r>
        <w:rPr/>
        <w:t>опор открытых токопроводов, если к ним присоединены вращающиеся машины.</w:t>
      </w:r>
    </w:p>
    <w:p>
      <w:pPr>
        <w:pStyle w:val="Normal"/>
        <w:ind w:firstLine="284"/>
        <w:jc w:val="both"/>
        <w:rPr/>
      </w:pPr>
      <w:r>
        <w:rP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pPr>
        <w:pStyle w:val="Normal"/>
        <w:ind w:firstLine="284"/>
        <w:jc w:val="both"/>
        <w:rPr/>
      </w:pPr>
      <w:r>
        <w:rPr/>
        <w:t>Указанные требования относятся и к случаям соединения открытых токопроводов с шинами РУ, к которым присоединены вращающиеся машины.</w:t>
      </w:r>
    </w:p>
    <w:p>
      <w:pPr>
        <w:pStyle w:val="Normal"/>
        <w:ind w:firstLine="284"/>
        <w:jc w:val="both"/>
        <w:rPr/>
      </w:pPr>
      <w:r>
        <w:rPr/>
        <w:t>4.2.141. При использовании прожекторных мачт в качестве молниеотводов электропроводку к ним на участке от точки выхода из кабельного сооружения до мачты и далее по ней следует выполнять кабелями с металлической оболочкой либо кабелями без металлической оболочкой в трубах. Около конструкции с молниеотводом эти кабели должны быть проложены непосредственно в земле на протяжении не менее 10 м.</w:t>
      </w:r>
    </w:p>
    <w:p>
      <w:pPr>
        <w:pStyle w:val="Normal"/>
        <w:ind w:firstLine="284"/>
        <w:jc w:val="both"/>
        <w:rPr/>
      </w:pPr>
      <w:r>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pPr>
        <w:pStyle w:val="Normal"/>
        <w:ind w:firstLine="284"/>
        <w:jc w:val="both"/>
        <w:rPr/>
      </w:pPr>
      <w:r>
        <w:rPr/>
        <w:t>4.2.142. Защита ВЛ 35 кВ и выше от прямых ударов молнии на подходах к РУ (ПС) должна быть выполнена тросовыми молниеотводами в соответствии с табл. 4.2.8.</w:t>
      </w:r>
    </w:p>
    <w:p>
      <w:pPr>
        <w:pStyle w:val="Normal"/>
        <w:ind w:firstLine="284"/>
        <w:jc w:val="both"/>
        <w:rPr/>
      </w:pPr>
      <w:r>
        <w:rPr/>
        <w:t>На каждой опоре подхода, за исключением случаев, предусмотренных в 2.5.122, трос должен быть присоединен к заземлителю опоры.</w:t>
      </w:r>
    </w:p>
    <w:p>
      <w:pPr>
        <w:pStyle w:val="Normal"/>
        <w:ind w:firstLine="284"/>
        <w:jc w:val="both"/>
        <w:rPr/>
      </w:pPr>
      <w:r>
        <w:rPr/>
        <w:t>Допускается увеличение по сравнению с приведенными в табл. 4.2.8 сопротивлений заземляющих устройств опор на подходах ВЛ 35 кВ и выше к ПС при числе грозовых часов в году не менее 20 - в 1,5 раза; менее 10 - в 3 раза.</w:t>
      </w:r>
    </w:p>
    <w:p>
      <w:pPr>
        <w:pStyle w:val="Normal"/>
        <w:ind w:firstLine="284"/>
        <w:jc w:val="both"/>
        <w:rPr/>
      </w:pPr>
      <w:r>
        <w:rPr/>
        <w:t>Если выполнение заземлителей с требуемыми сопротивлениями заземления оказывается невозможным, должны быть применены горизонтальные заземлители, прокладываемые вдоль оси ВЛ от опоры к опоре (заземлители-противовесы) и соединяемые с заземлителями опор.</w:t>
      </w:r>
    </w:p>
    <w:p>
      <w:pPr>
        <w:pStyle w:val="Normal"/>
        <w:ind w:firstLine="284"/>
        <w:jc w:val="both"/>
        <w:rPr/>
      </w:pPr>
      <w:r>
        <w:rP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p>
    <w:p>
      <w:pPr>
        <w:pStyle w:val="Normal"/>
        <w:spacing w:before="120" w:after="120"/>
        <w:jc w:val="right"/>
        <w:rPr/>
      </w:pPr>
      <w:r>
        <w:rPr>
          <w:spacing w:val="40"/>
        </w:rPr>
        <w:t>Таблица</w:t>
      </w:r>
      <w:r>
        <w:rPr/>
        <w:t xml:space="preserve"> 4.2.8</w:t>
      </w:r>
    </w:p>
    <w:p>
      <w:pPr>
        <w:pStyle w:val="Normal"/>
        <w:spacing w:before="0" w:after="120"/>
        <w:jc w:val="center"/>
        <w:rPr>
          <w:b/>
          <w:b/>
          <w:bCs/>
        </w:rPr>
      </w:pPr>
      <w:r>
        <w:rPr>
          <w:b/>
          <w:bCs/>
        </w:rPr>
        <w:t>Защита ВЛ от прямых ударов молнии на подходах к РУ и подстанциям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62"/>
        <w:gridCol w:w="1371"/>
        <w:gridCol w:w="755"/>
        <w:gridCol w:w="1054"/>
        <w:gridCol w:w="1370"/>
        <w:gridCol w:w="755"/>
        <w:gridCol w:w="1054"/>
        <w:gridCol w:w="394"/>
        <w:gridCol w:w="610"/>
        <w:gridCol w:w="630"/>
      </w:tblGrid>
      <w:tr>
        <w:trPr>
          <w:tblHeader w:val="true"/>
        </w:trPr>
        <w:tc>
          <w:tcPr>
            <w:tcW w:w="136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ВЛ, кВ</w:t>
            </w:r>
          </w:p>
        </w:tc>
        <w:tc>
          <w:tcPr>
            <w:tcW w:w="3180" w:type="dxa"/>
            <w:gridSpan w:val="3"/>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Подходы ВЛ на опорах с горизонтальным расположением проводов</w:t>
            </w:r>
          </w:p>
        </w:tc>
        <w:tc>
          <w:tcPr>
            <w:tcW w:w="3179" w:type="dxa"/>
            <w:gridSpan w:val="3"/>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Подходы ВЛ на опорах с негоризонтальным расположением проводов</w:t>
            </w:r>
          </w:p>
        </w:tc>
        <w:tc>
          <w:tcPr>
            <w:tcW w:w="1634"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Наибольшее допустимое сопротивление заземляющего устройства опор, Ом, при эквивалентном удельном сопротивлении земли, Ом·м</w:t>
            </w:r>
            <w:r>
              <w:rPr>
                <w:vertAlign w:val="superscript"/>
              </w:rPr>
              <w:t>**</w:t>
            </w:r>
          </w:p>
        </w:tc>
      </w:tr>
      <w:tr>
        <w:trPr>
          <w:tblHeader w:val="true"/>
        </w:trPr>
        <w:tc>
          <w:tcPr>
            <w:tcW w:w="136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371"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Длина защищенного подхода, км</w:t>
            </w:r>
            <w:r>
              <w:rPr>
                <w:vertAlign w:val="superscript"/>
              </w:rPr>
              <w:t>*</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Число тросов, шт.</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Защитный угол троса, град.</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Длина защищенного подхода, км</w:t>
            </w:r>
            <w:r>
              <w:rPr>
                <w:vertAlign w:val="superscript"/>
              </w:rPr>
              <w:t>*</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Кол-во тросов, шт.</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Защитный угол троса, град.</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До 100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Более 100 до 500</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Более 500</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110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r>
              <w:rPr>
                <w:vertAlign w:val="superscript"/>
              </w:rPr>
              <w:t>***</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r>
              <w:rPr>
                <w:vertAlign w:val="superscript"/>
              </w:rPr>
              <w:t>***</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150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r>
              <w:rPr>
                <w:vertAlign w:val="superscript"/>
              </w:rPr>
              <w:t>***</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r>
              <w:rPr>
                <w:vertAlign w:val="superscript"/>
              </w:rPr>
              <w:t>***</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220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2-3</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r>
              <w:rPr>
                <w:vertAlign w:val="superscript"/>
              </w:rPr>
              <w:t>***</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330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2-4</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500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3-4</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r>
        <w:trPr/>
        <w:tc>
          <w:tcPr>
            <w:tcW w:w="1362" w:type="dxa"/>
            <w:tcBorders>
              <w:left w:val="single" w:sz="8" w:space="0" w:color="000000"/>
              <w:bottom w:val="single" w:sz="8" w:space="0" w:color="000000"/>
              <w:insideH w:val="single" w:sz="8" w:space="0" w:color="000000"/>
            </w:tcBorders>
            <w:shd w:fill="FFFFFF" w:val="clear"/>
          </w:tcPr>
          <w:p>
            <w:pPr>
              <w:pStyle w:val="Normal"/>
              <w:jc w:val="center"/>
              <w:rPr/>
            </w:pPr>
            <w:r>
              <w:rPr/>
              <w:t>750</w:t>
            </w:r>
          </w:p>
        </w:tc>
        <w:tc>
          <w:tcPr>
            <w:tcW w:w="137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4-5</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20-22</w:t>
            </w:r>
          </w:p>
        </w:tc>
        <w:tc>
          <w:tcPr>
            <w:tcW w:w="137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75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105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w:t>
            </w:r>
          </w:p>
        </w:tc>
        <w:tc>
          <w:tcPr>
            <w:tcW w:w="3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10</w:t>
            </w:r>
          </w:p>
        </w:tc>
        <w:tc>
          <w:tcPr>
            <w:tcW w:w="6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15</w:t>
            </w:r>
          </w:p>
        </w:tc>
        <w:tc>
          <w:tcPr>
            <w:tcW w:w="63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r>
              <w:rPr>
                <w:vertAlign w:val="superscript"/>
              </w:rPr>
              <w:t>****</w:t>
            </w:r>
          </w:p>
        </w:tc>
      </w:tr>
    </w:tbl>
    <w:p>
      <w:pPr>
        <w:pStyle w:val="Normal"/>
        <w:spacing w:before="120" w:after="0"/>
        <w:ind w:firstLine="284"/>
        <w:jc w:val="both"/>
        <w:rPr/>
      </w:pPr>
      <w:r>
        <w:rPr>
          <w:vertAlign w:val="superscript"/>
        </w:rPr>
        <w:t>*</w:t>
      </w:r>
      <w:r>
        <w:rPr/>
        <w:t xml:space="preserve"> Выбор длины защищаемого подхода производится с учетом табл. 4.2.10 - 4.2.13.</w:t>
      </w:r>
    </w:p>
    <w:p>
      <w:pPr>
        <w:pStyle w:val="Normal"/>
        <w:ind w:firstLine="284"/>
        <w:jc w:val="both"/>
        <w:rPr/>
      </w:pPr>
      <w:r>
        <w:rPr>
          <w:vertAlign w:val="superscript"/>
        </w:rPr>
        <w:t>**</w:t>
      </w:r>
      <w:r>
        <w:rPr/>
        <w:t xml:space="preserve"> На подходах ВЛ 110 - 330 кВ с двухцепными опорами заземляющие устройства опор рекомендуется выполнять с сопротивлением вдвое меньшим указанного в табл. 4.2.8.</w:t>
      </w:r>
    </w:p>
    <w:p>
      <w:pPr>
        <w:pStyle w:val="Normal"/>
        <w:ind w:firstLine="284"/>
        <w:jc w:val="both"/>
        <w:rPr/>
      </w:pPr>
      <w:r>
        <w:rPr>
          <w:vertAlign w:val="superscript"/>
        </w:rPr>
        <w:t>***</w:t>
      </w:r>
      <w:r>
        <w:rPr/>
        <w:t xml:space="preserve"> На железобетонных опорах допускается угол защиты до 30°.</w:t>
      </w:r>
    </w:p>
    <w:p>
      <w:pPr>
        <w:pStyle w:val="Normal"/>
        <w:ind w:firstLine="284"/>
        <w:jc w:val="both"/>
        <w:rPr/>
      </w:pPr>
      <w:r>
        <w:rPr>
          <w:vertAlign w:val="superscript"/>
        </w:rPr>
        <w:t>****</w:t>
      </w:r>
      <w:r>
        <w:rPr/>
        <w:t xml:space="preserve"> Для опор с горизонтальным расположением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pPr>
        <w:pStyle w:val="Normal"/>
        <w:spacing w:before="120" w:after="0"/>
        <w:ind w:firstLine="284"/>
        <w:jc w:val="both"/>
        <w:rPr/>
      </w:pPr>
      <w:r>
        <w:rPr/>
        <w:t>4.2.143. В районах, имеющих не более 60 грозовых часов в году, допускается не выполнять защиту тросом 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pPr>
        <w:pStyle w:val="Normal"/>
        <w:ind w:firstLine="284"/>
        <w:jc w:val="both"/>
        <w:rPr/>
      </w:pPr>
      <w:r>
        <w:rPr/>
        <w:t>При этом опоры подхода ВЛ к ПС на длине не менее 0,5 км должны иметь заземлители с сопротивлением, указанным в табл. 4.2.8. При выполнении ВЛ на деревянных опорах, кроме того, требуется на подходе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10 м.</w:t>
      </w:r>
    </w:p>
    <w:p>
      <w:pPr>
        <w:pStyle w:val="Normal"/>
        <w:ind w:firstLine="284"/>
        <w:jc w:val="both"/>
        <w:rPr/>
      </w:pPr>
      <w:r>
        <w:rPr/>
        <w:t>При отсутствии резервного питания на ПС с одним трансформатором мощностью до 1,6 МВ·А подходы ВЛ 35 кВ к ПС должны быть защищены тросом на длине не менее 0,5 км.</w:t>
      </w:r>
    </w:p>
    <w:p>
      <w:pPr>
        <w:pStyle w:val="Normal"/>
        <w:ind w:firstLine="284"/>
        <w:jc w:val="both"/>
        <w:rPr/>
      </w:pPr>
      <w:r>
        <w:rPr/>
        <w:t>4.2.144. На первой опоре подхода ВЛ 35 - 220 кВ к ПС, считая со стороны линии, должен быть установлен комплект трубчатых разрядников (РТ1) или соответствующих защитных аппаратов в следующих случаях:</w:t>
      </w:r>
    </w:p>
    <w:p>
      <w:pPr>
        <w:pStyle w:val="Normal"/>
        <w:ind w:firstLine="284"/>
        <w:jc w:val="both"/>
        <w:rPr/>
      </w:pPr>
      <w:r>
        <w:rPr/>
        <w:t>1) линия по всей длине, включая подход, построена на деревянных опорах;</w:t>
      </w:r>
    </w:p>
    <w:p>
      <w:pPr>
        <w:pStyle w:val="Normal"/>
        <w:ind w:firstLine="284"/>
        <w:jc w:val="both"/>
        <w:rPr/>
      </w:pPr>
      <w:r>
        <w:rPr/>
        <w:t>2) линия построена на деревянных опорах, подход линии - на металлических или железобетонных опорах;</w:t>
      </w:r>
    </w:p>
    <w:p>
      <w:pPr>
        <w:pStyle w:val="Normal"/>
        <w:ind w:firstLine="284"/>
        <w:jc w:val="both"/>
        <w:rPr/>
      </w:pPr>
      <w:r>
        <w:rPr/>
        <w:t>3) на подходах ВЛ 35 кВ на деревянных опорах к ПС 35 кВ, защита выполняется в соответствии с 4.2.155.</w:t>
      </w:r>
    </w:p>
    <w:p>
      <w:pPr>
        <w:pStyle w:val="Normal"/>
        <w:ind w:firstLine="284"/>
        <w:jc w:val="both"/>
        <w:rPr/>
      </w:pPr>
      <w:r>
        <w:rPr/>
        <w:t>Установка РТ1 в начале подходов ВЛ, построенных по всей длине на металлических или железобетонных опорах, не требуется.</w:t>
      </w:r>
    </w:p>
    <w:p>
      <w:pPr>
        <w:pStyle w:val="Normal"/>
        <w:ind w:firstLine="284"/>
        <w:jc w:val="both"/>
        <w:rPr/>
      </w:pPr>
      <w:r>
        <w:rPr/>
        <w:t>Сопротивления заземляющего устройства опор с трубчатыми разрядниками должны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 стойкам или с двух сторон одной стойки.</w:t>
      </w:r>
    </w:p>
    <w:p>
      <w:pPr>
        <w:pStyle w:val="Normal"/>
        <w:ind w:firstLine="284"/>
        <w:jc w:val="both"/>
        <w:rPr/>
      </w:pPr>
      <w:r>
        <w:rP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pPr>
        <w:pStyle w:val="Normal"/>
        <w:ind w:firstLine="284"/>
        <w:jc w:val="both"/>
        <w:rPr/>
      </w:pPr>
      <w:r>
        <w:rPr/>
        <w:t>Расстояние от РТ2 до отключенного конца линии (аппарата) должно быть не более 60 м для ВЛ 110 кВ и не более 40 м для ВЛ 35 кВ.</w:t>
      </w:r>
    </w:p>
    <w:p>
      <w:pPr>
        <w:pStyle w:val="Normal"/>
        <w:ind w:firstLine="284"/>
        <w:jc w:val="both"/>
        <w:rPr/>
      </w:pPr>
      <w:r>
        <w:rPr/>
        <w:t>4.2.145. На ВЛ, работающих на пониженном относительно класса изоляции напряжении, на первой опоре защищенного подхода ее к ПС, считая со стороны линии, т.е. на расстоянии от ПС, определяемом табл. 4.2.10 - 4.2.12 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pPr>
        <w:pStyle w:val="Normal"/>
        <w:ind w:firstLine="284"/>
        <w:jc w:val="both"/>
        <w:rPr/>
      </w:pPr>
      <w:r>
        <w:rPr/>
        <w:t>Допускается устанавливать защитные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 должно соответствовать рабочему напряжению.</w:t>
      </w:r>
    </w:p>
    <w:p>
      <w:pPr>
        <w:pStyle w:val="Normal"/>
        <w:ind w:firstLine="284"/>
        <w:jc w:val="both"/>
        <w:rPr/>
      </w:pPr>
      <w:r>
        <w:rPr/>
        <w:t>На ВЛ с изоляцией, усиленной по условию загрязнения атмосферы, если начало защищенного подхода к ПС в соответствии с табл. 4.2.10 - 4.2.12 находится в зоне усиленной изоляции, на первой опоре защищенного подхода должен устанавливаться комплект защитных аппаратов, соответствующих рабочему напряжению ВЛ.</w:t>
      </w:r>
    </w:p>
    <w:p>
      <w:pPr>
        <w:pStyle w:val="Normal"/>
        <w:ind w:firstLine="284"/>
        <w:jc w:val="both"/>
        <w:rPr/>
      </w:pPr>
      <w:r>
        <w:rPr/>
        <w:t>4.2.146. Трубчатые разрядники должны быть выбраны по току КЗ в соответствии со следующими требованиями:</w:t>
      </w:r>
    </w:p>
    <w:p>
      <w:pPr>
        <w:pStyle w:val="Normal"/>
        <w:ind w:firstLine="284"/>
        <w:jc w:val="both"/>
        <w:rPr/>
      </w:pPr>
      <w:r>
        <w:rPr/>
        <w:t>1) для сетей до 35 кВ верхний предел тока, отключаемого трубчатым разрядником,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двухфазного КЗ;</w:t>
      </w:r>
    </w:p>
    <w:p>
      <w:pPr>
        <w:pStyle w:val="Normal"/>
        <w:ind w:firstLine="284"/>
        <w:jc w:val="both"/>
        <w:rPr/>
      </w:pPr>
      <w:r>
        <w:rPr/>
        <w:t>2) 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значения токов КЗ допускается применять вместо них ИП.</w:t>
      </w:r>
    </w:p>
    <w:p>
      <w:pPr>
        <w:pStyle w:val="Normal"/>
        <w:ind w:firstLine="284"/>
        <w:jc w:val="both"/>
        <w:rPr/>
      </w:pPr>
      <w:r>
        <w:rP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pPr>
        <w:pStyle w:val="Normal"/>
        <w:ind w:firstLine="284"/>
        <w:jc w:val="both"/>
        <w:rPr/>
      </w:pPr>
      <w:r>
        <w:rPr/>
        <w:t>4.2.147. 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защитных промежутков приведены в табл. 4.2.9.</w:t>
      </w:r>
    </w:p>
    <w:p>
      <w:pPr>
        <w:pStyle w:val="Normal"/>
        <w:ind w:firstLine="284"/>
        <w:jc w:val="both"/>
        <w:rPr/>
      </w:pPr>
      <w:r>
        <w:rPr/>
        <w:t>4.2.148. В РУ 35 кВ и выше, к которым присоединены ВЛ, должны быть установлены РВ или ОПН.</w:t>
      </w:r>
    </w:p>
    <w:p>
      <w:pPr>
        <w:pStyle w:val="Normal"/>
        <w:ind w:firstLine="284"/>
        <w:jc w:val="both"/>
        <w:rPr/>
      </w:pPr>
      <w:r>
        <w:rP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одностороннем включении линии или переходном резонансе на высших гармониках.</w:t>
      </w:r>
    </w:p>
    <w:p>
      <w:pPr>
        <w:pStyle w:val="Normal"/>
        <w:ind w:firstLine="284"/>
        <w:jc w:val="both"/>
        <w:rPr/>
      </w:pPr>
      <w:r>
        <w:rPr/>
        <w:t>При увеличенных расстояниях от защитных аппаратов до защищаемого оборудования с целью сокращения числа устанавливаемых аппаратов могут быть применены РВ или ОПН с более низким уровнем остающихся напряжений, чем это требуется по условиям координации изоляции.</w:t>
      </w:r>
    </w:p>
    <w:p>
      <w:pPr>
        <w:pStyle w:val="Normal"/>
        <w:spacing w:before="120" w:after="120"/>
        <w:jc w:val="right"/>
        <w:rPr/>
      </w:pPr>
      <w:r>
        <w:rPr>
          <w:spacing w:val="40"/>
        </w:rPr>
        <w:t>Таблица</w:t>
      </w:r>
      <w:r>
        <w:rPr/>
        <w:t xml:space="preserve"> 4.2.9</w:t>
      </w:r>
    </w:p>
    <w:p>
      <w:pPr>
        <w:pStyle w:val="Normal"/>
        <w:spacing w:before="0" w:after="120"/>
        <w:jc w:val="center"/>
        <w:rPr>
          <w:b/>
          <w:b/>
          <w:bCs/>
        </w:rPr>
      </w:pPr>
      <w:r>
        <w:rPr>
          <w:b/>
          <w:bCs/>
        </w:rPr>
        <w:t>Рекомендуемые размеры основных и дополнительных защитных промежутков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138"/>
        <w:gridCol w:w="3098"/>
        <w:gridCol w:w="3119"/>
      </w:tblGrid>
      <w:tr>
        <w:trPr>
          <w:tblHeader w:val="true"/>
        </w:trPr>
        <w:tc>
          <w:tcPr>
            <w:tcW w:w="3138"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кВ</w:t>
            </w:r>
          </w:p>
        </w:tc>
        <w:tc>
          <w:tcPr>
            <w:tcW w:w="6217"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Размеры защитных промежутков, м</w:t>
            </w:r>
          </w:p>
        </w:tc>
      </w:tr>
      <w:tr>
        <w:trPr>
          <w:tblHeader w:val="true"/>
        </w:trPr>
        <w:tc>
          <w:tcPr>
            <w:tcW w:w="3138"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3098" w:type="dxa"/>
            <w:tcBorders>
              <w:left w:val="single" w:sz="8" w:space="0" w:color="000000"/>
              <w:bottom w:val="single" w:sz="8" w:space="0" w:color="000000"/>
              <w:insideH w:val="single" w:sz="8" w:space="0" w:color="000000"/>
            </w:tcBorders>
            <w:shd w:fill="FFFFFF" w:val="clear"/>
            <w:vAlign w:val="center"/>
          </w:tcPr>
          <w:p>
            <w:pPr>
              <w:pStyle w:val="Normal"/>
              <w:jc w:val="center"/>
              <w:rPr/>
            </w:pPr>
            <w:r>
              <w:rPr/>
              <w:t>основных</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jc w:val="center"/>
              <w:rPr/>
            </w:pPr>
            <w:r>
              <w:rPr/>
              <w:t>дополнительных</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3</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5</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6</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40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10</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10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15</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20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140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20</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35</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250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30</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110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650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150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930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220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1350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330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1850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r>
        <w:trPr/>
        <w:tc>
          <w:tcPr>
            <w:tcW w:w="3138" w:type="dxa"/>
            <w:tcBorders>
              <w:left w:val="single" w:sz="8" w:space="0" w:color="000000"/>
              <w:bottom w:val="single" w:sz="8" w:space="0" w:color="000000"/>
              <w:insideH w:val="single" w:sz="8" w:space="0" w:color="000000"/>
            </w:tcBorders>
            <w:shd w:fill="FFFFFF" w:val="clear"/>
          </w:tcPr>
          <w:p>
            <w:pPr>
              <w:pStyle w:val="Normal"/>
              <w:jc w:val="center"/>
              <w:rPr/>
            </w:pPr>
            <w:r>
              <w:rPr/>
              <w:t>500</w:t>
            </w:r>
          </w:p>
        </w:tc>
        <w:tc>
          <w:tcPr>
            <w:tcW w:w="30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jc w:val="center"/>
              <w:rPr/>
            </w:pPr>
            <w:r>
              <w:rPr/>
              <w:t>3000</w:t>
            </w:r>
          </w:p>
        </w:tc>
        <w:tc>
          <w:tcPr>
            <w:tcW w:w="3119"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jc w:val="center"/>
              <w:rPr/>
            </w:pPr>
            <w:r>
              <w:rPr/>
              <w:t>-</w:t>
            </w:r>
          </w:p>
        </w:tc>
      </w:tr>
    </w:tbl>
    <w:p>
      <w:pPr>
        <w:pStyle w:val="Normal"/>
        <w:spacing w:before="120" w:after="0"/>
        <w:ind w:firstLine="284"/>
        <w:jc w:val="both"/>
        <w:rPr/>
      </w:pPr>
      <w:r>
        <w:rPr/>
        <w:t>Расстояния по шинам, включая ответвления, от разрядников до трансформаторов и другого оборудования должны быть не более указанных в табл. 4.2.10 - 4.2.13 (см. также 4.2.136). При превышении указанных расстояний должны быть дополнительно установлены защитные аппараты на шинах или линейных присоединениях.</w:t>
      </w:r>
    </w:p>
    <w:p>
      <w:pPr>
        <w:pStyle w:val="Normal"/>
        <w:ind w:firstLine="284"/>
        <w:jc w:val="both"/>
        <w:rPr/>
      </w:pPr>
      <w:r>
        <w:rPr/>
        <w:t>Приведенные в табл. 4.2.10 - 4.2.13 наибольшие допустимые расстояния до электрооборудования соответствуют его изоляции категории «б» по государственному стандарту.</w:t>
      </w:r>
    </w:p>
    <w:p>
      <w:pPr>
        <w:pStyle w:val="Normal"/>
        <w:ind w:firstLine="284"/>
        <w:jc w:val="both"/>
        <w:rPr/>
      </w:pPr>
      <w:r>
        <w:rP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r>
        <w:br w:type="page"/>
      </w:r>
    </w:p>
    <w:p>
      <w:pPr>
        <w:pStyle w:val="Normal"/>
        <w:spacing w:before="120" w:after="120"/>
        <w:jc w:val="right"/>
        <w:rPr/>
      </w:pPr>
      <w:r>
        <w:rPr>
          <w:spacing w:val="40"/>
        </w:rPr>
        <w:t>Таблица</w:t>
      </w:r>
      <w:r>
        <w:rPr/>
        <w:t xml:space="preserve"> 4.2.10</w:t>
      </w:r>
    </w:p>
    <w:p>
      <w:pPr>
        <w:pStyle w:val="Normal"/>
        <w:spacing w:before="0" w:after="120"/>
        <w:jc w:val="center"/>
        <w:rPr>
          <w:b/>
          <w:b/>
          <w:bCs/>
        </w:rPr>
      </w:pPr>
      <w:r>
        <w:rPr>
          <w:b/>
          <w:bCs/>
        </w:rPr>
        <w:t>Наибольшие допустимые расстояния от вентильных разрядников до защищаемого оборудования 35 - 220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595"/>
        <w:gridCol w:w="801"/>
        <w:gridCol w:w="598"/>
        <w:gridCol w:w="330"/>
        <w:gridCol w:w="329"/>
        <w:gridCol w:w="405"/>
        <w:gridCol w:w="404"/>
        <w:gridCol w:w="330"/>
        <w:gridCol w:w="329"/>
        <w:gridCol w:w="405"/>
        <w:gridCol w:w="404"/>
        <w:gridCol w:w="330"/>
        <w:gridCol w:w="329"/>
        <w:gridCol w:w="405"/>
        <w:gridCol w:w="405"/>
        <w:gridCol w:w="329"/>
        <w:gridCol w:w="329"/>
        <w:gridCol w:w="405"/>
        <w:gridCol w:w="405"/>
        <w:gridCol w:w="329"/>
        <w:gridCol w:w="329"/>
        <w:gridCol w:w="405"/>
        <w:gridCol w:w="425"/>
      </w:tblGrid>
      <w:tr>
        <w:trPr>
          <w:tblHeader w:val="true"/>
        </w:trPr>
        <w:tc>
          <w:tcPr>
            <w:tcW w:w="59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jc w:val="center"/>
              <w:rPr/>
            </w:pPr>
            <w:r>
              <w:rPr/>
              <w:t>Номинальное напряжение, кВ</w:t>
            </w:r>
          </w:p>
        </w:tc>
        <w:tc>
          <w:tcPr>
            <w:tcW w:w="801"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Тип опор на подходах ВЛ к РУ и подстанциям</w:t>
            </w:r>
          </w:p>
        </w:tc>
        <w:tc>
          <w:tcPr>
            <w:tcW w:w="598"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jc w:val="center"/>
              <w:rPr/>
            </w:pPr>
            <w:r>
              <w:rPr/>
              <w:t>Длина защищенного тросом подхода ВЛ, км</w:t>
            </w:r>
          </w:p>
        </w:tc>
        <w:tc>
          <w:tcPr>
            <w:tcW w:w="4405" w:type="dxa"/>
            <w:gridSpan w:val="12"/>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Расстояния до силовых трансформаторов, м</w:t>
            </w:r>
          </w:p>
        </w:tc>
        <w:tc>
          <w:tcPr>
            <w:tcW w:w="2956"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Расстояния до остального оборудования, м</w:t>
            </w:r>
          </w:p>
        </w:tc>
      </w:tr>
      <w:tr>
        <w:trPr>
          <w:tblHeader w:val="true"/>
        </w:trPr>
        <w:tc>
          <w:tcPr>
            <w:tcW w:w="59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0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98"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1468" w:type="dxa"/>
            <w:gridSpan w:val="4"/>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Тупиковые РУ</w:t>
            </w:r>
          </w:p>
        </w:tc>
        <w:tc>
          <w:tcPr>
            <w:tcW w:w="1468" w:type="dxa"/>
            <w:gridSpan w:val="4"/>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РУ с двумя постоянно включенными ВЛ</w:t>
            </w:r>
          </w:p>
        </w:tc>
        <w:tc>
          <w:tcPr>
            <w:tcW w:w="1469" w:type="dxa"/>
            <w:gridSpan w:val="4"/>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РУ с тремя или более постоянно включенными ВЛ</w:t>
            </w:r>
          </w:p>
        </w:tc>
        <w:tc>
          <w:tcPr>
            <w:tcW w:w="1468" w:type="dxa"/>
            <w:gridSpan w:val="4"/>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Тупиковые РУ</w:t>
            </w:r>
          </w:p>
        </w:tc>
        <w:tc>
          <w:tcPr>
            <w:tcW w:w="1488" w:type="dxa"/>
            <w:gridSpan w:val="4"/>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РУ с двумя или более постоянно включенными ВЛ</w:t>
            </w:r>
          </w:p>
        </w:tc>
      </w:tr>
      <w:tr>
        <w:trPr>
          <w:tblHeader w:val="true"/>
        </w:trPr>
        <w:tc>
          <w:tcPr>
            <w:tcW w:w="59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0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98"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659" w:type="dxa"/>
            <w:gridSpan w:val="2"/>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Разрядники III гр.</w:t>
            </w:r>
          </w:p>
        </w:tc>
        <w:tc>
          <w:tcPr>
            <w:tcW w:w="809"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 гр.</w:t>
            </w:r>
          </w:p>
        </w:tc>
        <w:tc>
          <w:tcPr>
            <w:tcW w:w="659"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III гр.</w:t>
            </w:r>
          </w:p>
        </w:tc>
        <w:tc>
          <w:tcPr>
            <w:tcW w:w="809"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 гр.</w:t>
            </w:r>
          </w:p>
        </w:tc>
        <w:tc>
          <w:tcPr>
            <w:tcW w:w="659"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III гр.</w:t>
            </w:r>
          </w:p>
        </w:tc>
        <w:tc>
          <w:tcPr>
            <w:tcW w:w="810"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 гр.</w:t>
            </w:r>
          </w:p>
        </w:tc>
        <w:tc>
          <w:tcPr>
            <w:tcW w:w="658"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III гр.</w:t>
            </w:r>
          </w:p>
        </w:tc>
        <w:tc>
          <w:tcPr>
            <w:tcW w:w="810"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 гр.</w:t>
            </w:r>
          </w:p>
        </w:tc>
        <w:tc>
          <w:tcPr>
            <w:tcW w:w="658"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III гр.</w:t>
            </w:r>
          </w:p>
        </w:tc>
        <w:tc>
          <w:tcPr>
            <w:tcW w:w="830"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Разрядники II гр.</w:t>
            </w:r>
          </w:p>
        </w:tc>
      </w:tr>
      <w:tr>
        <w:trPr>
          <w:tblHeader w:val="true"/>
        </w:trPr>
        <w:tc>
          <w:tcPr>
            <w:tcW w:w="59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01"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598"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330" w:type="dxa"/>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1×РВС</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2×РВС</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1×РВМГ</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2×РВМГ</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1×РВС</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2×РВС</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1×РВМГ</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2×РВМГ</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1×РВС</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2×РВС</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1×РВМГ</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2×РВМГ</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1×РВС</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2×РВС</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1×РВМГ</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2×РВМГ</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1×РВС</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2×РВС</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1×РВМГ</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2×РВМГ</w:t>
            </w:r>
          </w:p>
        </w:tc>
      </w:tr>
      <w:tr>
        <w:trPr/>
        <w:tc>
          <w:tcPr>
            <w:tcW w:w="595"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35</w:t>
            </w:r>
          </w:p>
        </w:tc>
        <w:tc>
          <w:tcPr>
            <w:tcW w:w="801"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Опоры с 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0,5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2,0 и более</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Опоры с негоризонтальным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2,0 и более</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w:t>
            </w:r>
          </w:p>
        </w:tc>
      </w:tr>
      <w:tr>
        <w:trPr/>
        <w:tc>
          <w:tcPr>
            <w:tcW w:w="595"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110</w:t>
            </w:r>
          </w:p>
        </w:tc>
        <w:tc>
          <w:tcPr>
            <w:tcW w:w="801"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Опоры с 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190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 и более</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250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Опоры с негоризонтальным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170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250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 и более</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250</w:t>
            </w:r>
          </w:p>
        </w:tc>
      </w:tr>
      <w:tr>
        <w:trPr/>
        <w:tc>
          <w:tcPr>
            <w:tcW w:w="595"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150 - 220</w:t>
            </w:r>
          </w:p>
        </w:tc>
        <w:tc>
          <w:tcPr>
            <w:tcW w:w="801"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Опоры с 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280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 и более</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310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270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400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Опоры с негоризонтальным расположением проводов</w:t>
            </w:r>
          </w:p>
        </w:tc>
        <w:tc>
          <w:tcPr>
            <w:tcW w:w="59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65</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150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220</w:t>
            </w:r>
          </w:p>
        </w:tc>
      </w:tr>
      <w:tr>
        <w:trPr/>
        <w:tc>
          <w:tcPr>
            <w:tcW w:w="59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0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598"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85</w:t>
            </w:r>
          </w:p>
        </w:tc>
        <w:tc>
          <w:tcPr>
            <w:tcW w:w="40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3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230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32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40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180</w:t>
            </w:r>
          </w:p>
        </w:tc>
        <w:tc>
          <w:tcPr>
            <w:tcW w:w="42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300</w:t>
            </w:r>
          </w:p>
        </w:tc>
      </w:tr>
    </w:tbl>
    <w:p>
      <w:pPr>
        <w:pStyle w:val="Normal"/>
        <w:spacing w:before="120" w:after="0"/>
        <w:ind w:firstLine="284"/>
        <w:jc w:val="both"/>
        <w:rPr>
          <w:sz w:val="20"/>
          <w:szCs w:val="20"/>
        </w:rPr>
      </w:pPr>
      <w:r>
        <w:rPr>
          <w:spacing w:val="40"/>
        </w:rPr>
        <w:t>Примечания</w:t>
      </w:r>
      <w:r>
        <w:rPr/>
        <w:t>: 1. Расстояния от РВ до электрооборудования, кроме силовых трансформаторов, не ограничиваются при числе параллельно работающих ВЛ: на напряжении 110 кВ - 7 и более; на 150 кВ - 6 и более; на 220 кВ - 4 и более.</w:t>
      </w:r>
    </w:p>
    <w:p>
      <w:pPr>
        <w:pStyle w:val="Normal"/>
        <w:ind w:firstLine="284"/>
        <w:jc w:val="both"/>
        <w:rPr/>
      </w:pPr>
      <w:r>
        <w:rPr/>
        <w:t>2. Допустимые расстояния определяются до ближайшего РВ.</w:t>
      </w:r>
    </w:p>
    <w:p>
      <w:pPr>
        <w:pStyle w:val="Normal"/>
        <w:ind w:firstLine="284"/>
        <w:jc w:val="both"/>
        <w:rPr/>
      </w:pPr>
      <w:r>
        <w:rPr/>
        <w:t>3. 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определяется по формуле</w:t>
      </w:r>
    </w:p>
    <w:p>
      <w:pPr>
        <w:pStyle w:val="Normal"/>
        <w:spacing w:before="120" w:after="120"/>
        <w:jc w:val="center"/>
        <w:rPr>
          <w:vanish/>
          <w:color w:val="FFFFFF"/>
          <w:sz w:val="2"/>
          <w:vertAlign w:val="subscript"/>
        </w:rPr>
      </w:pPr>
      <w:r>
        <w:rPr>
          <w:vanish/>
          <w:color w:val="FFFFFF"/>
          <w:sz w:val="2"/>
          <w:vertAlign w:val="subscript"/>
        </w:rPr>
        <w:t>0158S10-02181</w:t>
      </w:r>
    </w:p>
    <w:p>
      <w:pPr>
        <w:pStyle w:val="Normal"/>
        <w:spacing w:before="120" w:after="120"/>
        <w:jc w:val="center"/>
        <w:rPr>
          <w:vertAlign w:val="subscript"/>
        </w:rPr>
      </w:pPr>
      <w:r>
        <w:rPr>
          <w:vertAlign w:val="subscript"/>
        </w:rPr>
        <w:drawing>
          <wp:inline distT="0" distB="0" distL="0" distR="0">
            <wp:extent cx="2038350" cy="209550"/>
            <wp:effectExtent l="0" t="0" r="0" b="0"/>
            <wp:docPr id="99" name="image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091" descr=""/>
                    <pic:cNvPicPr>
                      <a:picLocks noChangeAspect="1" noChangeArrowheads="1"/>
                    </pic:cNvPicPr>
                  </pic:nvPicPr>
                  <pic:blipFill>
                    <a:blip r:embed="rId107"/>
                    <a:srcRect l="-17" t="-171" r="-17" b="-171"/>
                    <a:stretch>
                      <a:fillRect/>
                    </a:stretch>
                  </pic:blipFill>
                  <pic:spPr bwMode="auto">
                    <a:xfrm>
                      <a:off x="0" y="0"/>
                      <a:ext cx="2038350" cy="209550"/>
                    </a:xfrm>
                    <a:prstGeom prst="rect">
                      <a:avLst/>
                    </a:prstGeom>
                  </pic:spPr>
                </pic:pic>
              </a:graphicData>
            </a:graphic>
          </wp:inline>
        </w:drawing>
      </w:r>
    </w:p>
    <w:p>
      <w:pPr>
        <w:pStyle w:val="Normal"/>
        <w:ind w:firstLine="284"/>
        <w:jc w:val="both"/>
        <w:rPr/>
      </w:pPr>
      <w:r>
        <w:rPr/>
        <w:t xml:space="preserve">где </w:t>
      </w:r>
      <w:r>
        <w:rPr>
          <w:i/>
          <w:iCs/>
        </w:rPr>
        <w:t>L</w:t>
      </w:r>
      <w:r>
        <w:rPr>
          <w:i/>
          <w:iCs/>
          <w:vertAlign w:val="subscript"/>
        </w:rPr>
        <w:t>опн</w:t>
      </w:r>
      <w:r>
        <w:rPr/>
        <w:t xml:space="preserve"> - расстояние от ОПН до защищаемого оборудования, м;</w:t>
      </w:r>
    </w:p>
    <w:p>
      <w:pPr>
        <w:pStyle w:val="Normal"/>
        <w:ind w:firstLine="284"/>
        <w:jc w:val="both"/>
        <w:rPr/>
      </w:pPr>
      <w:r>
        <w:rPr>
          <w:i/>
          <w:iCs/>
        </w:rPr>
        <w:t>L</w:t>
      </w:r>
      <w:r>
        <w:rPr>
          <w:i/>
          <w:iCs/>
          <w:vertAlign w:val="subscript"/>
        </w:rPr>
        <w:t>рв</w:t>
      </w:r>
      <w:r>
        <w:rPr/>
        <w:t xml:space="preserve"> - расстояние от разрядника до защищаемого оборудования, м;</w:t>
      </w:r>
    </w:p>
    <w:p>
      <w:pPr>
        <w:pStyle w:val="Normal"/>
        <w:ind w:firstLine="284"/>
        <w:jc w:val="both"/>
        <w:rPr/>
      </w:pPr>
      <w:r>
        <w:rPr>
          <w:i/>
          <w:iCs/>
        </w:rPr>
        <w:t>U</w:t>
      </w:r>
      <w:r>
        <w:rPr>
          <w:i/>
          <w:iCs/>
          <w:vertAlign w:val="subscript"/>
        </w:rPr>
        <w:t>исп</w:t>
      </w:r>
      <w:r>
        <w:rPr/>
        <w:t xml:space="preserve"> - испытательное напряжение защищаемого оборудования при полном грозовом импульсе, кВ;</w:t>
      </w:r>
    </w:p>
    <w:p>
      <w:pPr>
        <w:pStyle w:val="Normal"/>
        <w:ind w:firstLine="284"/>
        <w:jc w:val="both"/>
        <w:rPr/>
      </w:pPr>
      <w:r>
        <w:rPr>
          <w:i/>
          <w:iCs/>
        </w:rPr>
        <w:t>U</w:t>
      </w:r>
      <w:r>
        <w:rPr>
          <w:i/>
          <w:iCs/>
          <w:vertAlign w:val="subscript"/>
        </w:rPr>
        <w:t>опн</w:t>
      </w:r>
      <w:r>
        <w:rPr/>
        <w:t xml:space="preserve">, </w:t>
      </w:r>
      <w:r>
        <w:rPr>
          <w:i/>
          <w:iCs/>
        </w:rPr>
        <w:t>U</w:t>
      </w:r>
      <w:r>
        <w:rPr>
          <w:i/>
          <w:iCs/>
          <w:vertAlign w:val="subscript"/>
        </w:rPr>
        <w:t>рв</w:t>
      </w:r>
      <w:r>
        <w:rPr/>
        <w:t xml:space="preserve"> - остающееся напряжение на ОПН (РВ) при токе 5 кА - для классов напряжения 110 - 220 кВ; 10 кА - для классов напряжения 330 кВ и выше.</w:t>
      </w:r>
    </w:p>
    <w:p>
      <w:pPr>
        <w:pStyle w:val="Normal"/>
        <w:ind w:firstLine="284"/>
        <w:jc w:val="both"/>
        <w:rPr/>
      </w:pPr>
      <w:r>
        <w:rPr/>
        <w:t>4. При отличающихся данных защищенного тросом подхода допускается линейная интерполяция допустимого расстояния.</w:t>
      </w:r>
      <w:r>
        <w:br w:type="page"/>
      </w:r>
    </w:p>
    <w:p>
      <w:pPr>
        <w:pStyle w:val="Normal"/>
        <w:spacing w:before="120" w:after="120"/>
        <w:jc w:val="right"/>
        <w:rPr/>
      </w:pPr>
      <w:r>
        <w:rPr>
          <w:spacing w:val="40"/>
        </w:rPr>
        <w:t>Таблица</w:t>
      </w:r>
      <w:r>
        <w:rPr/>
        <w:t xml:space="preserve"> 4.2.11</w:t>
      </w:r>
    </w:p>
    <w:p>
      <w:pPr>
        <w:pStyle w:val="Normal"/>
        <w:spacing w:before="0" w:after="120"/>
        <w:jc w:val="center"/>
        <w:rPr>
          <w:b/>
          <w:b/>
          <w:bCs/>
        </w:rPr>
      </w:pPr>
      <w:r>
        <w:rPr>
          <w:b/>
          <w:bCs/>
        </w:rPr>
        <w:t>Наибольшие допустимые расстояния от вентильных разрядников до защищаемого оборудования 330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161"/>
        <w:gridCol w:w="1045"/>
        <w:gridCol w:w="826"/>
        <w:gridCol w:w="986"/>
        <w:gridCol w:w="1115"/>
        <w:gridCol w:w="986"/>
        <w:gridCol w:w="1115"/>
        <w:gridCol w:w="986"/>
        <w:gridCol w:w="1135"/>
      </w:tblGrid>
      <w:tr>
        <w:trPr>
          <w:tblHeader w:val="true"/>
        </w:trPr>
        <w:tc>
          <w:tcPr>
            <w:tcW w:w="116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Тип подстанции, число ВЛ</w:t>
            </w:r>
          </w:p>
        </w:tc>
        <w:tc>
          <w:tcPr>
            <w:tcW w:w="1045"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Число комплектов вентильных разрядников, тип, место установки</w:t>
            </w:r>
          </w:p>
        </w:tc>
        <w:tc>
          <w:tcPr>
            <w:tcW w:w="826"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Длина защищенного тросом подхода ВЛ, км</w:t>
            </w:r>
          </w:p>
        </w:tc>
        <w:tc>
          <w:tcPr>
            <w:tcW w:w="6323"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Расстояние</w:t>
            </w:r>
            <w:r>
              <w:rPr>
                <w:vertAlign w:val="superscript"/>
              </w:rPr>
              <w:t>*</w:t>
            </w:r>
            <w:r>
              <w:rPr/>
              <w:t>, м</w:t>
            </w:r>
          </w:p>
        </w:tc>
      </w:tr>
      <w:tr>
        <w:trPr>
          <w:tblHeader w:val="true"/>
        </w:trPr>
        <w:tc>
          <w:tcPr>
            <w:tcW w:w="116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045"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82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101" w:type="dxa"/>
            <w:gridSpan w:val="2"/>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до силовых трансформаторов (автотрансформаторов) и шунтирующих реакторов</w:t>
            </w:r>
          </w:p>
        </w:tc>
        <w:tc>
          <w:tcPr>
            <w:tcW w:w="2101"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до трансформаторов напряжения</w:t>
            </w:r>
          </w:p>
        </w:tc>
        <w:tc>
          <w:tcPr>
            <w:tcW w:w="2121" w:type="dxa"/>
            <w:gridSpan w:val="2"/>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до остального оборудования</w:t>
            </w:r>
          </w:p>
        </w:tc>
      </w:tr>
      <w:tr>
        <w:trPr>
          <w:tblHeader w:val="true"/>
        </w:trPr>
        <w:tc>
          <w:tcPr>
            <w:tcW w:w="116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045"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826"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86" w:type="dxa"/>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Опоры с горизонтальным расположением проводов</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Опоры с негоризонтальным расположением проводов</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Опоры с горизонтальным расположением проводов</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Опоры с негоризонтальным расположением проводов</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Опоры с горизонтальным расположением проводов</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Опоры с негоризонтальным расположением проводов</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блока транс-форматор-линия</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Один комплект вентильных разрядников II гр. у силового трансформатора</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110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115</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130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Два комплекта вентильных разрядников II гр.: один комплект - у силового трансформатора, другой - в линейной ячейке</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r>
              <w:rPr>
                <w:vertAlign w:val="superscript"/>
              </w:rPr>
              <w:t>**</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330</w:t>
            </w:r>
            <w:r>
              <w:rPr>
                <w:vertAlign w:val="superscript"/>
              </w:rPr>
              <w:t>**</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232</w:t>
            </w:r>
            <w:r>
              <w:rPr>
                <w:vertAlign w:val="superscript"/>
              </w:rPr>
              <w:t>**</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320</w:t>
            </w:r>
            <w:r>
              <w:rPr>
                <w:vertAlign w:val="superscript"/>
              </w:rPr>
              <w:t>**</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380</w:t>
            </w:r>
            <w:r>
              <w:rPr>
                <w:vertAlign w:val="superscript"/>
              </w:rPr>
              <w:t>**</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270</w:t>
            </w:r>
            <w:r>
              <w:rPr>
                <w:vertAlign w:val="superscript"/>
              </w:rPr>
              <w:t>**</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400</w:t>
            </w:r>
            <w:r>
              <w:rPr>
                <w:vertAlign w:val="superscript"/>
              </w:rPr>
              <w:t>**</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450</w:t>
            </w:r>
            <w:r>
              <w:rPr>
                <w:vertAlign w:val="superscript"/>
              </w:rPr>
              <w:t>**</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340</w:t>
            </w:r>
            <w:r>
              <w:rPr>
                <w:vertAlign w:val="superscript"/>
              </w:rPr>
              <w:t>**</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объединенный блок</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у силовых трансформаторов</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210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335</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280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240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340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320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260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355</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340</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с двумя ВЛ и одним трансформатором, по схеме треугольник</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Один комплект вентильных разрядников II гр. у силового трансформатора</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390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110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210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410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425</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380</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с двумя ВЛ и двумя трансформаторами по схеме мостик</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у силовых трансформаторов</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320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420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260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360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60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475</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310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580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415</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с двумя ВЛ и двумя трансформаторами, по схеме четырехугольник</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у силовых трансформаторов</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240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470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Подстанция с тремя и более отходящими ВЛ и двумя трансформаторами</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у силовых трансформаторов</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960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2,5</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220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restart"/>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Подстанция с тремя и более отходящими ВЛ и одним трансформатором</w:t>
            </w:r>
          </w:p>
        </w:tc>
        <w:tc>
          <w:tcPr>
            <w:tcW w:w="1045" w:type="dxa"/>
            <w:vMerge w:val="restart"/>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Один комплект вентильных разрядников II гр. у силового трансформатора</w:t>
            </w:r>
          </w:p>
        </w:tc>
        <w:tc>
          <w:tcPr>
            <w:tcW w:w="8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750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2</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175</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800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16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045" w:type="dxa"/>
            <w:vMerge w:val="continue"/>
            <w:tcBorders>
              <w:left w:val="single" w:sz="8" w:space="0" w:color="000000"/>
              <w:bottom w:val="single" w:sz="8" w:space="0" w:color="000000"/>
              <w:insideH w:val="single" w:sz="8" w:space="0" w:color="000000"/>
            </w:tcBorders>
            <w:shd w:fill="FFFFFF" w:val="clear"/>
            <w:tcMar>
              <w:left w:w="0" w:type="dxa"/>
              <w:right w:w="0" w:type="dxa"/>
            </w:tcMar>
          </w:tcPr>
          <w:p>
            <w:pPr>
              <w:pStyle w:val="Normal"/>
              <w:snapToGrid w:val="false"/>
              <w:rPr/>
            </w:pPr>
            <w:r>
              <w:rPr/>
            </w:r>
          </w:p>
        </w:tc>
        <w:tc>
          <w:tcPr>
            <w:tcW w:w="826"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3,0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250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820</w:t>
            </w:r>
          </w:p>
        </w:tc>
        <w:tc>
          <w:tcPr>
            <w:tcW w:w="11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700</w:t>
            </w:r>
          </w:p>
        </w:tc>
        <w:tc>
          <w:tcPr>
            <w:tcW w:w="98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1000</w:t>
            </w:r>
          </w:p>
        </w:tc>
        <w:tc>
          <w:tcPr>
            <w:tcW w:w="113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bl>
    <w:p>
      <w:pPr>
        <w:pStyle w:val="Normal"/>
        <w:spacing w:before="120" w:after="0"/>
        <w:ind w:firstLine="284"/>
        <w:jc w:val="both"/>
        <w:rPr>
          <w:sz w:val="20"/>
          <w:szCs w:val="20"/>
        </w:rPr>
      </w:pPr>
      <w:r>
        <w:rPr>
          <w:vertAlign w:val="superscript"/>
        </w:rPr>
        <w:t>*</w:t>
      </w:r>
      <w:r>
        <w:rPr/>
        <w:t xml:space="preserve"> Соответственно п. 3 примечания к табл. 4.2.10.</w:t>
      </w:r>
    </w:p>
    <w:p>
      <w:pPr>
        <w:pStyle w:val="Normal"/>
        <w:ind w:firstLine="284"/>
        <w:jc w:val="both"/>
        <w:rPr/>
      </w:pPr>
      <w:r>
        <w:rPr>
          <w:vertAlign w:val="superscript"/>
        </w:rPr>
        <w:t>**</w:t>
      </w:r>
      <w:r>
        <w:rPr/>
        <w:t xml:space="preserve"> От РВ, установленных у силовых трансформаторов.</w:t>
      </w:r>
    </w:p>
    <w:p>
      <w:pPr>
        <w:pStyle w:val="Normal"/>
        <w:spacing w:before="120" w:after="0"/>
        <w:ind w:firstLine="284"/>
        <w:jc w:val="both"/>
        <w:rPr/>
      </w:pPr>
      <w:r>
        <w:rPr>
          <w:spacing w:val="40"/>
        </w:rPr>
        <w:t>Примечание</w:t>
      </w:r>
      <w:r>
        <w:rPr/>
        <w:t>. При отличающихся длинах защищенного подхода допускается линейная интерполяция значения допустимого расстояния.</w:t>
      </w:r>
    </w:p>
    <w:p>
      <w:pPr>
        <w:pStyle w:val="Normal"/>
        <w:spacing w:before="120" w:after="120"/>
        <w:jc w:val="right"/>
        <w:rPr/>
      </w:pPr>
      <w:r>
        <w:rPr>
          <w:spacing w:val="40"/>
        </w:rPr>
        <w:t>Таблица</w:t>
      </w:r>
      <w:r>
        <w:rPr/>
        <w:t xml:space="preserve"> 4.2.12</w:t>
      </w:r>
    </w:p>
    <w:p>
      <w:pPr>
        <w:pStyle w:val="Normal"/>
        <w:spacing w:before="0" w:after="120"/>
        <w:jc w:val="center"/>
        <w:rPr>
          <w:b/>
          <w:b/>
          <w:bCs/>
        </w:rPr>
      </w:pPr>
      <w:r>
        <w:rPr>
          <w:b/>
          <w:bCs/>
        </w:rPr>
        <w:t>Наибольшие допустимые расстояния от вентильных разрядников до защищаемого оборудования 500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835"/>
        <w:gridCol w:w="1647"/>
        <w:gridCol w:w="2182"/>
        <w:gridCol w:w="1648"/>
        <w:gridCol w:w="2043"/>
      </w:tblGrid>
      <w:tr>
        <w:trPr>
          <w:tblHeader w:val="true"/>
        </w:trPr>
        <w:tc>
          <w:tcPr>
            <w:tcW w:w="183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Тип подстанции, число ВЛ</w:t>
            </w:r>
          </w:p>
        </w:tc>
        <w:tc>
          <w:tcPr>
            <w:tcW w:w="1647"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Число комплектов разрядников, тип, место установки</w:t>
            </w:r>
          </w:p>
        </w:tc>
        <w:tc>
          <w:tcPr>
            <w:tcW w:w="5873"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Расстояние</w:t>
            </w:r>
            <w:r>
              <w:rPr>
                <w:vertAlign w:val="superscript"/>
              </w:rPr>
              <w:t>*</w:t>
            </w:r>
            <w:r>
              <w:rPr/>
              <w:t>, м</w:t>
            </w:r>
          </w:p>
        </w:tc>
      </w:tr>
      <w:tr>
        <w:trPr>
          <w:tblHeader w:val="true"/>
        </w:trPr>
        <w:tc>
          <w:tcPr>
            <w:tcW w:w="183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47"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182" w:type="dxa"/>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до силовых трансформаторов (автотрансформаторов) и шунтирующих реакторов</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до трансформаторов напряжения</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до остального электрооборудования</w:t>
            </w:r>
          </w:p>
        </w:tc>
      </w:tr>
      <w:tr>
        <w:trPr/>
        <w:tc>
          <w:tcPr>
            <w:tcW w:w="1835"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блока трансформатор-линия</w:t>
            </w:r>
          </w:p>
        </w:tc>
        <w:tc>
          <w:tcPr>
            <w:tcW w:w="16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один комплект - у силового трансформатора, другой - в линейной ячейке или на реакторном присоединении</w:t>
            </w:r>
          </w:p>
        </w:tc>
        <w:tc>
          <w:tcPr>
            <w:tcW w:w="2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95</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150/700</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150/700</w:t>
            </w:r>
          </w:p>
        </w:tc>
      </w:tr>
      <w:tr>
        <w:trPr/>
        <w:tc>
          <w:tcPr>
            <w:tcW w:w="1835"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с двумя ВЛ и одним трансформатором, по схеме треугольник</w:t>
            </w:r>
          </w:p>
        </w:tc>
        <w:tc>
          <w:tcPr>
            <w:tcW w:w="16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один комплект - у силового трансформатора, другой - на шинах, в линейной ячейке или на реакторном присоединении</w:t>
            </w:r>
          </w:p>
        </w:tc>
        <w:tc>
          <w:tcPr>
            <w:tcW w:w="2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350/700</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350/900</w:t>
            </w:r>
          </w:p>
        </w:tc>
      </w:tr>
      <w:tr>
        <w:trPr/>
        <w:tc>
          <w:tcPr>
            <w:tcW w:w="1835"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с двумя ВЛ и двумя трансформаторами, по схеме четырехугольник</w:t>
            </w:r>
          </w:p>
        </w:tc>
        <w:tc>
          <w:tcPr>
            <w:tcW w:w="16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Два комплекта вентильных разрядников II гр. у силовых трансформаторов</w:t>
            </w:r>
          </w:p>
        </w:tc>
        <w:tc>
          <w:tcPr>
            <w:tcW w:w="2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160</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350</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800</w:t>
            </w:r>
          </w:p>
        </w:tc>
      </w:tr>
      <w:tr>
        <w:trPr/>
        <w:tc>
          <w:tcPr>
            <w:tcW w:w="1835"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Подстанция с тремя и более отходящими ВЛ и двумя трансформаторами</w:t>
            </w:r>
          </w:p>
        </w:tc>
        <w:tc>
          <w:tcPr>
            <w:tcW w:w="16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То же</w:t>
            </w:r>
          </w:p>
        </w:tc>
        <w:tc>
          <w:tcPr>
            <w:tcW w:w="2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240</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450</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900</w:t>
            </w:r>
          </w:p>
        </w:tc>
      </w:tr>
      <w:tr>
        <w:trPr/>
        <w:tc>
          <w:tcPr>
            <w:tcW w:w="1835"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Подстанция с тремя и более отходящими ВЛ и одним трансформатором</w:t>
            </w:r>
          </w:p>
        </w:tc>
        <w:tc>
          <w:tcPr>
            <w:tcW w:w="164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Один комплект вентильных разрядников II гр. у силового трансформатора</w:t>
            </w:r>
          </w:p>
        </w:tc>
        <w:tc>
          <w:tcPr>
            <w:tcW w:w="218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175</w:t>
            </w:r>
          </w:p>
        </w:tc>
        <w:tc>
          <w:tcPr>
            <w:tcW w:w="164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400</w:t>
            </w:r>
          </w:p>
        </w:tc>
        <w:tc>
          <w:tcPr>
            <w:tcW w:w="204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600</w:t>
            </w:r>
          </w:p>
        </w:tc>
      </w:tr>
    </w:tbl>
    <w:p>
      <w:pPr>
        <w:pStyle w:val="Normal"/>
        <w:spacing w:before="120" w:after="0"/>
        <w:ind w:firstLine="284"/>
        <w:jc w:val="both"/>
        <w:rPr>
          <w:sz w:val="20"/>
          <w:szCs w:val="20"/>
        </w:rPr>
      </w:pPr>
      <w:r>
        <w:rPr>
          <w:vertAlign w:val="superscript"/>
        </w:rPr>
        <w:t>*</w:t>
      </w:r>
      <w:r>
        <w:rPr/>
        <w:t xml:space="preserve"> Соответственно п. 3 примечания к табл. 4.2.10.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pPr>
        <w:pStyle w:val="Normal"/>
        <w:spacing w:before="120" w:after="120"/>
        <w:jc w:val="right"/>
        <w:rPr/>
      </w:pPr>
      <w:r>
        <w:rPr>
          <w:spacing w:val="40"/>
        </w:rPr>
        <w:t>Таблица</w:t>
      </w:r>
      <w:r>
        <w:rPr/>
        <w:t xml:space="preserve"> 4.2.13</w:t>
      </w:r>
    </w:p>
    <w:p>
      <w:pPr>
        <w:pStyle w:val="Normal"/>
        <w:spacing w:before="0" w:after="120"/>
        <w:jc w:val="center"/>
        <w:rPr>
          <w:b/>
          <w:b/>
          <w:bCs/>
        </w:rPr>
      </w:pPr>
      <w:r>
        <w:rPr>
          <w:b/>
          <w:bCs/>
        </w:rPr>
        <w:t>Наибольшие допустимые расстояния от вентильных разрядников до защищаемого оборудования 750 кВ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583"/>
        <w:gridCol w:w="1744"/>
        <w:gridCol w:w="2241"/>
        <w:gridCol w:w="1691"/>
        <w:gridCol w:w="2096"/>
      </w:tblGrid>
      <w:tr>
        <w:trPr>
          <w:tblHeader w:val="true"/>
        </w:trPr>
        <w:tc>
          <w:tcPr>
            <w:tcW w:w="158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Тип подстанции, число ВЛ</w:t>
            </w:r>
          </w:p>
        </w:tc>
        <w:tc>
          <w:tcPr>
            <w:tcW w:w="1744" w:type="dxa"/>
            <w:vMerge w:val="restart"/>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Число комплектов разрядников, тип, место установки</w:t>
            </w:r>
          </w:p>
        </w:tc>
        <w:tc>
          <w:tcPr>
            <w:tcW w:w="6028" w:type="dxa"/>
            <w:gridSpan w:val="3"/>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Расстояние</w:t>
            </w:r>
            <w:r>
              <w:rPr>
                <w:vertAlign w:val="superscript"/>
              </w:rPr>
              <w:t>*</w:t>
            </w:r>
            <w:r>
              <w:rPr/>
              <w:t>, м</w:t>
            </w:r>
          </w:p>
        </w:tc>
      </w:tr>
      <w:tr>
        <w:trPr>
          <w:tblHeader w:val="true"/>
        </w:trPr>
        <w:tc>
          <w:tcPr>
            <w:tcW w:w="158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744" w:type="dxa"/>
            <w:vMerge w:val="continue"/>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2241" w:type="dxa"/>
            <w:tcBorders>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до силовых трансформаторов (автотрансформаторов) и шунтирующих реакторов</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overflowPunct w:val="false"/>
              <w:autoSpaceDE w:val="false"/>
              <w:jc w:val="center"/>
              <w:rPr/>
            </w:pPr>
            <w:r>
              <w:rPr/>
              <w:t>до трансформаторов напряжения</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до остального электрооборудования</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блок трансформатор-линия с одним шунтирующим реактором</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Три комплекта вентильных разрядников: один комплект - у силового трансформатора, другой - у реактора, третий - в линейной ячейке</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r>
              <w:rPr>
                <w:vertAlign w:val="superscript"/>
              </w:rPr>
              <w:t>***</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200</w:t>
            </w:r>
            <w:r>
              <w:rPr>
                <w:vertAlign w:val="superscript"/>
              </w:rPr>
              <w:t>***</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трансформатор-линия с двумя шунтирующими реакторами</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Три комплекта вентильных разрядников: первый комплект - у силового трансформатора, второй и третий - у реактора</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75</w:t>
            </w:r>
            <w:r>
              <w:rPr>
                <w:vertAlign w:val="superscript"/>
              </w:rPr>
              <w:t>***</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r>
              <w:rPr>
                <w:vertAlign w:val="superscript"/>
              </w:rPr>
              <w:t>***</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r>
              <w:rPr>
                <w:vertAlign w:val="superscript"/>
              </w:rPr>
              <w:t>***</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То же</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Четыре комплекта вентильных разрядников: первый комплект - у силового трансформатора, второй и третий - у реакторов; четвертый - в линейной ячейке</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230</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Тупиковая по схеме два трансформатора - линия с одним шунтирующим реактором</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Три комплекта вентильных разрядников: два комплекта - у силовых трансформаторов, третий - у реактора</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50</w:t>
            </w:r>
            <w:r>
              <w:rPr>
                <w:vertAlign w:val="superscript"/>
              </w:rPr>
              <w:t>***</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140</w:t>
            </w:r>
            <w:r>
              <w:rPr>
                <w:vertAlign w:val="superscript"/>
              </w:rPr>
              <w:t>***</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r>
              <w:rPr>
                <w:vertAlign w:val="superscript"/>
              </w:rPr>
              <w:t>*</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То же</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Четыре комплекта вентильных разрядников: два комплекта - у силовых трансформаторов, третий комплект - у реактора, четвертый комплект - в линейной ячейке</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130</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230</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1000</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по схеме трансформатор - две линии с шунтирующими реакторами</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Три комплекта вентильных разрядников: один комплект - у силового трансформатора, два комплекта - у реактора</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100</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r>
              <w:rPr>
                <w:vertAlign w:val="superscript"/>
              </w:rPr>
              <w:t>*</w:t>
            </w:r>
          </w:p>
        </w:tc>
      </w:tr>
      <w:tr>
        <w:trPr/>
        <w:tc>
          <w:tcPr>
            <w:tcW w:w="1583"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both"/>
              <w:rPr/>
            </w:pPr>
            <w:r>
              <w:rPr/>
              <w:t>Проходная по схеме два трансформатора - две линии с шунтирующими реакторами</w:t>
            </w:r>
          </w:p>
        </w:tc>
        <w:tc>
          <w:tcPr>
            <w:tcW w:w="17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both"/>
              <w:rPr/>
            </w:pPr>
            <w:r>
              <w:rPr/>
              <w:t>Четыре комплекта вентильных разрядников: два комплекта - у силовых трансформаторов, два комплекта - у реакторов</w:t>
            </w:r>
          </w:p>
        </w:tc>
        <w:tc>
          <w:tcPr>
            <w:tcW w:w="22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16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overflowPunct w:val="false"/>
              <w:autoSpaceDE w:val="false"/>
              <w:jc w:val="center"/>
              <w:rPr/>
            </w:pPr>
            <w:r>
              <w:rPr/>
              <w:t>120</w:t>
            </w:r>
          </w:p>
        </w:tc>
        <w:tc>
          <w:tcPr>
            <w:tcW w:w="2096"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center"/>
              <w:rPr/>
            </w:pPr>
            <w:r>
              <w:rPr/>
              <w:t>350</w:t>
            </w:r>
            <w:r>
              <w:rPr>
                <w:vertAlign w:val="superscript"/>
              </w:rPr>
              <w:t>**</w:t>
            </w:r>
          </w:p>
        </w:tc>
      </w:tr>
    </w:tbl>
    <w:p>
      <w:pPr>
        <w:pStyle w:val="Normal"/>
        <w:spacing w:before="120" w:after="0"/>
        <w:ind w:firstLine="284"/>
        <w:jc w:val="both"/>
        <w:rPr>
          <w:sz w:val="20"/>
          <w:szCs w:val="20"/>
        </w:rPr>
      </w:pPr>
      <w:r>
        <w:rPr>
          <w:vertAlign w:val="superscript"/>
        </w:rPr>
        <w:t>*</w:t>
      </w:r>
      <w:r>
        <w:rPr/>
        <w:t xml:space="preserve"> При расстоянии от оборудования, установленного на вводе ВЛ на подстанцию (конденсатор связи, линейный разъединитель и др.), до точки присоединения ВЛ к ошиновке подстанции - не более 45 м.</w:t>
      </w:r>
    </w:p>
    <w:p>
      <w:pPr>
        <w:pStyle w:val="Normal"/>
        <w:ind w:firstLine="284"/>
        <w:jc w:val="both"/>
        <w:rPr/>
      </w:pPr>
      <w:r>
        <w:rPr>
          <w:vertAlign w:val="superscript"/>
        </w:rPr>
        <w:t>**</w:t>
      </w:r>
      <w:r>
        <w:rPr/>
        <w:t xml:space="preserve"> То же, не более 90 м.</w:t>
      </w:r>
    </w:p>
    <w:p>
      <w:pPr>
        <w:pStyle w:val="Normal"/>
        <w:ind w:firstLine="284"/>
        <w:jc w:val="both"/>
        <w:rPr/>
      </w:pPr>
      <w:r>
        <w:rPr>
          <w:vertAlign w:val="superscript"/>
        </w:rPr>
        <w:t>***</w:t>
      </w:r>
      <w:r>
        <w:rPr/>
        <w:t xml:space="preserve"> При использовании ОПН, в том числе в РУ с уменьшенными воздушными изоляционными промежутками, или при изменении испытательных напряжений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4.2.10.</w:t>
      </w:r>
    </w:p>
    <w:p>
      <w:pPr>
        <w:pStyle w:val="Normal"/>
        <w:spacing w:before="120" w:after="0"/>
        <w:ind w:firstLine="284"/>
        <w:jc w:val="both"/>
        <w:rPr/>
      </w:pPr>
      <w:r>
        <w:rPr/>
        <w:t>Количество и места установки РВ или ОПН следует выбирать, исходя из принятых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Аварийные и ремонтные работы при этом не учитываются.</w:t>
      </w:r>
    </w:p>
    <w:p>
      <w:pPr>
        <w:pStyle w:val="Normal"/>
        <w:ind w:firstLine="284"/>
        <w:jc w:val="both"/>
        <w:rPr/>
      </w:pPr>
      <w:r>
        <w:rPr/>
        <w:t>4.2.149. 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pPr>
        <w:pStyle w:val="Normal"/>
        <w:ind w:firstLine="284"/>
        <w:jc w:val="both"/>
        <w:rPr/>
      </w:pPr>
      <w:r>
        <w:rPr/>
        <w:t>Защитные аппараты при нахождении оборудования под напряжением должны быть постоянно включены.</w:t>
      </w:r>
    </w:p>
    <w:p>
      <w:pPr>
        <w:pStyle w:val="Normal"/>
        <w:ind w:firstLine="284"/>
        <w:jc w:val="both"/>
        <w:rPr/>
      </w:pPr>
      <w:r>
        <w:rPr/>
        <w:t>4.2.150. 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 комплект РВ или ОПН. Место их установки следует выбирать возможно ближе к местам присоединения кабелей.</w:t>
      </w:r>
    </w:p>
    <w:p>
      <w:pPr>
        <w:pStyle w:val="Normal"/>
        <w:ind w:firstLine="284"/>
        <w:jc w:val="both"/>
        <w:rPr/>
      </w:pPr>
      <w:r>
        <w:rPr/>
        <w:t>При длине кабеля больше удвоенного расстояния, указанного в табл. 4.2.10 - 4.2.13, РВ или ОПН с такими же остающимися напряжениями, как у защитного аппарата в начале кабеля, устанавливается у трансформатора.</w:t>
      </w:r>
    </w:p>
    <w:p>
      <w:pPr>
        <w:pStyle w:val="Normal"/>
        <w:ind w:firstLine="284"/>
        <w:jc w:val="both"/>
        <w:rPr/>
      </w:pPr>
      <w:r>
        <w:rPr/>
        <w:t>4.2.151. Неиспользуемые обмотки низшего и среднего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фазе.</w:t>
      </w:r>
    </w:p>
    <w:p>
      <w:pPr>
        <w:pStyle w:val="Normal"/>
        <w:ind w:firstLine="284"/>
        <w:jc w:val="both"/>
        <w:rPr/>
      </w:pPr>
      <w:r>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p>
      <w:pPr>
        <w:pStyle w:val="Normal"/>
        <w:ind w:firstLine="284"/>
        <w:jc w:val="both"/>
        <w:rPr/>
      </w:pPr>
      <w:r>
        <w:rPr/>
        <w:t>4.2.152. Для защиты нейтралей обмоток 110 - 150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pPr>
        <w:pStyle w:val="Normal"/>
        <w:ind w:firstLine="284"/>
        <w:jc w:val="both"/>
        <w:rPr/>
      </w:pPr>
      <w:r>
        <w:rPr/>
        <w:t>В нейтрали трансформатора, изоляция которой не допускает разземления, установка разъединителей не допускается.</w:t>
      </w:r>
    </w:p>
    <w:p>
      <w:pPr>
        <w:pStyle w:val="Normal"/>
        <w:ind w:firstLine="284"/>
        <w:jc w:val="both"/>
        <w:rPr/>
      </w:pPr>
      <w:r>
        <w:rPr/>
        <w:t>4.2.153. Распредустройства 3 - 20 кВ, к которым присоединены ВЛ, должны быть защищены РВ или ОПН, установленными на шинах или у трансформаторов. В обоснованных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pPr>
        <w:pStyle w:val="Normal"/>
        <w:ind w:firstLine="284"/>
        <w:jc w:val="both"/>
        <w:rPr/>
      </w:pPr>
      <w:r>
        <w:rPr/>
        <w:t>При применении воздушной связи трансформаторов с шинами РУ 3 - 20 кВ расстояния от РВ и ОПН до защищаемого оборудования не должны превышать 60 м при ВЛ на деревянных опорах и 90 м при ВЛ на металлических опорах.</w:t>
      </w:r>
    </w:p>
    <w:p>
      <w:pPr>
        <w:pStyle w:val="Normal"/>
        <w:ind w:firstLine="284"/>
        <w:jc w:val="both"/>
        <w:rPr/>
      </w:pPr>
      <w:r>
        <w:rPr/>
        <w:t>При присоединении трансформаторов к шинам кабелями расстояния от установленных на шинах РВ или ОПН до трансформаторов не ограничиваются.</w:t>
      </w:r>
    </w:p>
    <w:p>
      <w:pPr>
        <w:pStyle w:val="Normal"/>
        <w:ind w:firstLine="284"/>
        <w:jc w:val="both"/>
        <w:rPr/>
      </w:pPr>
      <w:r>
        <w:rPr/>
        <w:t>Защита подходов ВЛ 3 - 20 кВ к ПС молниеотводами по условиям грозозащиты не требуется.</w:t>
      </w:r>
    </w:p>
    <w:p>
      <w:pPr>
        <w:pStyle w:val="Normal"/>
        <w:ind w:firstLine="284"/>
        <w:jc w:val="both"/>
        <w:rPr/>
      </w:pPr>
      <w:r>
        <w:rPr/>
        <w:t>На подходах ВЛ 3 - 20 кВ с деревянными опорами к ПС на расстоянии 200 - 300 м от ПС должен быть установлен комплект защитных аппаратов (РТ1). На ВЛ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отключенного выключателя по ошиновке должно быть не более 10 м. При мощности трансформатора до 0,63 МВ·А допускается не устанавливать трубчатые разрядники на подходах ВЛ 3 - 20 кВ с деревянными опорами.</w:t>
      </w:r>
    </w:p>
    <w:p>
      <w:pPr>
        <w:pStyle w:val="Normal"/>
        <w:ind w:firstLine="284"/>
        <w:jc w:val="both"/>
        <w:rPr/>
      </w:pPr>
      <w:r>
        <w:rPr/>
        <w:t>При невозможности выдержать указанные расстояния, а также при 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10 м, для ОПН - увеличенное пропорционально разности испытательного напряжения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заземления разрядников РТ1 и РТ2 не должны превышать 10 Ом при удельном сопротивлении земли до 1000 Ом·м и 15 Ом при более высоком удельном напряжении.</w:t>
      </w:r>
    </w:p>
    <w:p>
      <w:pPr>
        <w:pStyle w:val="Normal"/>
        <w:ind w:firstLine="284"/>
        <w:jc w:val="both"/>
        <w:rPr/>
      </w:pPr>
      <w:r>
        <w:rPr/>
        <w:t>На подходах к подстанциям ВЛ 3 - 20 кВ с металлическими и железобетонными опорами установка защитных аппаратов не требуется. Однако, при применении на ВЛ 3 - 20 кВ изоляции, усиленной более чем на 30 % (например, из-за загрязнения атмосферы), на расстоянии 200 - 300 м от ПС и на ее вводе должны быть установлены ИП.</w:t>
      </w:r>
    </w:p>
    <w:p>
      <w:pPr>
        <w:pStyle w:val="Normal"/>
        <w:ind w:firstLine="284"/>
        <w:jc w:val="both"/>
        <w:rPr/>
      </w:pPr>
      <w:r>
        <w:rPr/>
        <w:t>Металлические и железобетонные опоры на протяжении 200 - 300 м подхода к ПС должны быть заземлены с сопротивлением не более приведенных в табл. 2.5.35.</w:t>
      </w:r>
    </w:p>
    <w:p>
      <w:pPr>
        <w:pStyle w:val="Normal"/>
        <w:ind w:firstLine="284"/>
        <w:jc w:val="both"/>
        <w:rPr/>
      </w:pPr>
      <w:r>
        <w:rPr/>
        <w:t>Защита ПС 3 - 20 кВ с низшим напряжением до 1 кВ, присоединенных к ВЛ 3 - 20 кВ, должна выполняться РВ или ОПН, устанавливаемыми со стороны высокого и низкого напряжения ПС.</w:t>
      </w:r>
    </w:p>
    <w:p>
      <w:pPr>
        <w:pStyle w:val="Normal"/>
        <w:ind w:firstLine="284"/>
        <w:jc w:val="both"/>
        <w:rPr/>
      </w:pPr>
      <w:r>
        <w:rPr/>
        <w:t>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200 - 300 м от конца кабеля следует устанавливать комплект защитных аппаратов. При длине кабельной вставки более 50 м установка РВ или ОПН на ПС не требуется. Сопротивление заземлителя аппарата должно быть не более значений, приведенных в табл. 2.5.35. Молниезащита токопроводов 3 - 20 кВ осуществляется как молниезащита ВЛ соответствующего класса напряжения.</w:t>
      </w:r>
    </w:p>
    <w:p>
      <w:pPr>
        <w:pStyle w:val="Normal"/>
        <w:ind w:firstLine="284"/>
        <w:jc w:val="both"/>
        <w:rPr/>
      </w:pPr>
      <w:r>
        <w:rPr/>
        <w:t>4.2.154. Кабельные вставки 35 - 220 кВ при их длине менее 1,5 км должны быть защищены с обеих сторон защитными аппаратами. Кабели 35 - 110 кВ защищаются РВС III группы или РТ, а кабели напряжением 220 кВ - РВ II группы или соответствующими ОПН. При длине кабеля 1,5 км и более на ВЛ с металлическими и железобетонными опорами установка разрядников или ограничителей по концам кабеля не требуется.</w:t>
      </w:r>
    </w:p>
    <w:p>
      <w:pPr>
        <w:pStyle w:val="Normal"/>
        <w:ind w:firstLine="284"/>
        <w:jc w:val="both"/>
        <w:rPr/>
      </w:pPr>
      <w:r>
        <w:rPr/>
        <w:t>4.2.155. Защиту ПС 35 - 110 кВ с трансформаторами мощностью до 40 МВ·А, присоединенных к ответвлениям протяженностью менее требуемой длины защищаемого подхода (см. табл. 4.2.8 и 4.2.10) от действующих ВЛ без троса, допускается выполнять по упрощенной схеме (рис. 4.2.18), включающей:</w:t>
      </w:r>
    </w:p>
    <w:p>
      <w:pPr>
        <w:pStyle w:val="Normal"/>
        <w:ind w:firstLine="284"/>
        <w:jc w:val="both"/>
        <w:rPr/>
      </w:pPr>
      <w:r>
        <w:rPr/>
        <w:t>разрядники вентильные; устанавливаются на ПС на расстоянии от силового трансформатора не более 10 м при использовании РВ III группы и не более 15 м при использовании РВ II группы. При этом расстояние от РВ до остального оборудования не должно превышать соответственно 50 и 75 м. Расстояние до ограничителей определяется так же, как было указано ранее в табл. 4.2.10 - 4.2.13;</w:t>
      </w:r>
    </w:p>
    <w:p>
      <w:pPr>
        <w:pStyle w:val="Normal"/>
        <w:ind w:firstLine="284"/>
        <w:jc w:val="both"/>
        <w:rPr/>
      </w:pPr>
      <w:r>
        <w:rPr/>
        <w:t>тросовые молниеотводы подхода к ПС на всей длине ответвления; при длине ответвления менее 150 м следует дополнительно защищать тросовыми или стержневыми молниеотводами по одному пролету действующей ВЛ в обе стороны от ответвления;</w:t>
      </w:r>
    </w:p>
    <w:p>
      <w:pPr>
        <w:pStyle w:val="Normal"/>
        <w:ind w:firstLine="284"/>
        <w:jc w:val="both"/>
        <w:rPr/>
      </w:pPr>
      <w:r>
        <w:rPr/>
        <w:t>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150 - 200 м от РТ2.</w:t>
      </w:r>
    </w:p>
    <w:p>
      <w:pPr>
        <w:pStyle w:val="Normal"/>
        <w:ind w:firstLine="284"/>
        <w:jc w:val="both"/>
        <w:rPr/>
      </w:pPr>
      <w:r>
        <w:rPr/>
        <w:t>При длине подхода более 500 м установка комплекта трубчатых разрядников РТ1 не требуется.</w:t>
      </w:r>
    </w:p>
    <w:p>
      <w:pPr>
        <w:pStyle w:val="Normal"/>
        <w:ind w:firstLine="284"/>
        <w:jc w:val="both"/>
        <w:rPr/>
      </w:pPr>
      <w:r>
        <w:rPr/>
        <w:t>Защита ПС, на которых расстояния между РВ и трансформатором превышают 10 м, выполняется в соответствии с требованиями, приведенными в 4.2.148.</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3048000" cy="3381375"/>
            <wp:effectExtent l="0" t="0" r="0" b="0"/>
            <wp:docPr id="100" name="image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092" descr=""/>
                    <pic:cNvPicPr>
                      <a:picLocks noChangeAspect="1" noChangeArrowheads="1"/>
                    </pic:cNvPicPr>
                  </pic:nvPicPr>
                  <pic:blipFill>
                    <a:blip r:embed="rId108"/>
                    <a:srcRect l="-11" t="-10" r="-11" b="-10"/>
                    <a:stretch>
                      <a:fillRect/>
                    </a:stretch>
                  </pic:blipFill>
                  <pic:spPr bwMode="auto">
                    <a:xfrm>
                      <a:off x="0" y="0"/>
                      <a:ext cx="3048000" cy="3381375"/>
                    </a:xfrm>
                    <a:prstGeom prst="rect">
                      <a:avLst/>
                    </a:prstGeom>
                  </pic:spPr>
                </pic:pic>
              </a:graphicData>
            </a:graphic>
          </wp:inline>
        </w:drawing>
      </w:r>
    </w:p>
    <w:p>
      <w:pPr>
        <w:pStyle w:val="Normal"/>
        <w:spacing w:before="0" w:after="120"/>
        <w:jc w:val="center"/>
        <w:rPr/>
      </w:pPr>
      <w:r>
        <w:rPr/>
        <w:t>Рис. 4.2.18. Схемы защиты от грозовых перенапряжений ПС, присоединенных к ВЛ ответвлениями длиной до 150 и более 150 м</w:t>
      </w:r>
    </w:p>
    <w:p>
      <w:pPr>
        <w:pStyle w:val="Normal"/>
        <w:ind w:firstLine="284"/>
        <w:jc w:val="both"/>
        <w:rPr/>
      </w:pPr>
      <w:r>
        <w:rPr/>
        <w:t>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4.2.19), При этом трансформаторы должны быть защищены РВ II группы или соответствующими ОПН.</w:t>
      </w:r>
    </w:p>
    <w:p>
      <w:pPr>
        <w:pStyle w:val="Normal"/>
        <w:ind w:firstLine="284"/>
        <w:jc w:val="both"/>
        <w:rPr/>
      </w:pPr>
      <w:r>
        <w:rPr/>
        <w:t>Выполнение упрощенной защиты ПС, присоединенных к вновь сооружаемым ВЛ, не допускается.</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3419475" cy="3171825"/>
            <wp:effectExtent l="0" t="0" r="0" b="0"/>
            <wp:docPr id="101" name="image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093" descr=""/>
                    <pic:cNvPicPr>
                      <a:picLocks noChangeAspect="1" noChangeArrowheads="1"/>
                    </pic:cNvPicPr>
                  </pic:nvPicPr>
                  <pic:blipFill>
                    <a:blip r:embed="rId109"/>
                    <a:srcRect l="-10" t="-11" r="-10" b="-11"/>
                    <a:stretch>
                      <a:fillRect/>
                    </a:stretch>
                  </pic:blipFill>
                  <pic:spPr bwMode="auto">
                    <a:xfrm>
                      <a:off x="0" y="0"/>
                      <a:ext cx="3419475" cy="3171825"/>
                    </a:xfrm>
                    <a:prstGeom prst="rect">
                      <a:avLst/>
                    </a:prstGeom>
                  </pic:spPr>
                </pic:pic>
              </a:graphicData>
            </a:graphic>
          </wp:inline>
        </w:drawing>
      </w:r>
    </w:p>
    <w:p>
      <w:pPr>
        <w:pStyle w:val="Normal"/>
        <w:spacing w:before="0" w:after="120"/>
        <w:jc w:val="center"/>
        <w:rPr/>
      </w:pPr>
      <w:r>
        <w:rPr/>
        <w:t>Рис. 4.2.19. Схемы защиты от грозовых перенапряжений ПС, присоединенных к ВЛ с помощью заходов длиной до 150 и более 150 м</w:t>
      </w:r>
    </w:p>
    <w:p>
      <w:pPr>
        <w:pStyle w:val="Normal"/>
        <w:ind w:firstLine="284"/>
        <w:jc w:val="both"/>
        <w:rPr/>
      </w:pPr>
      <w:r>
        <w:rPr/>
        <w:t>4.2.156. В районах с удельным сопротивлением земли 1000 Ом·м и более сопротивление заземления разрядников РТ1 и РТ2 35 - 110 кВ, устанавливаемых для защиты ПС, которые присоединяются к действующим ВЛ на ответвления или с помощью коротких заходов, должно быть не более 30 Ом. При этом заземлитель РТ2 должен быть соединен с заземляющим устройством ПС.</w:t>
      </w:r>
    </w:p>
    <w:p>
      <w:pPr>
        <w:pStyle w:val="Normal"/>
        <w:ind w:firstLine="284"/>
        <w:jc w:val="both"/>
        <w:rPr/>
      </w:pPr>
      <w:r>
        <w:rPr/>
        <w:t>4.2.157. Коммутационные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отключен, разрядники должны быть установлены на той же опоре с каждой стороны, находящейся под напряжением.</w:t>
      </w:r>
    </w:p>
    <w:p>
      <w:pPr>
        <w:pStyle w:val="Normal"/>
        <w:ind w:firstLine="284"/>
        <w:jc w:val="both"/>
        <w:rPr/>
      </w:pPr>
      <w:r>
        <w:rPr/>
        <w:t>При установке коммутационных аппаратов на расстоянии до 25 м по длине ВЛ от места подключения линии к ПС или распределительному пункту установка защитных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pPr>
        <w:pStyle w:val="Normal"/>
        <w:ind w:firstLine="284"/>
        <w:jc w:val="both"/>
        <w:rPr/>
      </w:pPr>
      <w:r>
        <w:rPr/>
        <w:t>На ВЛ напряжением до 20 кВ с железобетонными и металлическими опорами допускается не устанавливать защитные аппараты для защиты коммутационных аппаратов, имеющих изоляцию того же класса, что и ВЛ.</w:t>
      </w:r>
    </w:p>
    <w:p>
      <w:pPr>
        <w:pStyle w:val="Normal"/>
        <w:ind w:firstLine="284"/>
        <w:jc w:val="both"/>
        <w:rPr/>
      </w:pPr>
      <w:r>
        <w:rPr/>
        <w:t>Установка коммутационных аппаратов в пределах защищаемых тросом подходов ВЛ, которые указаны в 4.2.155, 4.2.162 и расстояний по табл. 4.2.10 допускается на первой опоре со стороны линии, а также на следующих опорах подхода при условии равной прочности их изоляции.</w:t>
      </w:r>
    </w:p>
    <w:p>
      <w:pPr>
        <w:pStyle w:val="Normal"/>
        <w:ind w:firstLine="284"/>
        <w:jc w:val="both"/>
        <w:rPr/>
      </w:pPr>
      <w:r>
        <w:rPr/>
        <w:t>Сопротивление заземляющих устройств аппаратов должно удовлетворять требованиям, приведенным в 2.5.129.</w:t>
      </w:r>
    </w:p>
    <w:p>
      <w:pPr>
        <w:pStyle w:val="Normal"/>
        <w:ind w:firstLine="284"/>
        <w:jc w:val="both"/>
        <w:rPr/>
      </w:pPr>
      <w:r>
        <w:rPr/>
        <w:t>4.2.158. Ответвление от ВЛ, 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установлен комплект защитных аппаратов.</w:t>
      </w:r>
    </w:p>
    <w:p>
      <w:pPr>
        <w:pStyle w:val="Normal"/>
        <w:ind w:firstLine="284"/>
        <w:jc w:val="both"/>
        <w:rPr/>
      </w:pPr>
      <w:r>
        <w:rPr/>
        <w:t>4.2.159. 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присоединять к заземляющему устройству переключательного пункта.</w:t>
      </w:r>
    </w:p>
    <w:p>
      <w:pPr>
        <w:pStyle w:val="Heading3"/>
        <w:rPr/>
      </w:pPr>
      <w:r>
        <w:rPr/>
        <w:t>ЗАЩИТА ВРАЩАЮЩИХСЯ ЭЛЕКТРИЧЕСКИХ МАШИН ОТ ГРОЗОВЫХ ПЕРЕНАПРЯЖЕНИЙ</w:t>
      </w:r>
    </w:p>
    <w:p>
      <w:pPr>
        <w:pStyle w:val="Normal"/>
        <w:ind w:firstLine="284"/>
        <w:jc w:val="both"/>
        <w:rPr/>
      </w:pPr>
      <w:r>
        <w:rPr/>
        <w:t>4.2.160. Воздушные линии на металлических и железобетонных опорах допускается непосредственно присоединять к генераторам (синхронным компенсаторам) мощностью до 50 МВт (до 50 МВ·А) и соответствующим РУ.</w:t>
      </w:r>
    </w:p>
    <w:p>
      <w:pPr>
        <w:pStyle w:val="Normal"/>
        <w:ind w:firstLine="284"/>
        <w:jc w:val="both"/>
        <w:rPr/>
      </w:pPr>
      <w:r>
        <w:rP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pPr>
        <w:pStyle w:val="Normal"/>
        <w:ind w:firstLine="284"/>
        <w:jc w:val="both"/>
        <w:rPr/>
      </w:pPr>
      <w:r>
        <w:rPr/>
        <w:t>Присоединение воздушных линий к генераторам (синхронным компенсаторам) мощностью более 50 МВт (более 50 МВ·А) должно осуществляться только через трансформатор.</w:t>
      </w:r>
    </w:p>
    <w:p>
      <w:pPr>
        <w:pStyle w:val="Normal"/>
        <w:ind w:firstLine="284"/>
        <w:jc w:val="both"/>
        <w:rPr/>
      </w:pPr>
      <w:r>
        <w:rPr/>
        <w:t>Для защиты блочных трансформаторов, связанных с генераторами мощностью 100 МВт и выше со стороны ВН должны быть установлены РВ не ниже II группы или соответствующие ОПН.</w:t>
      </w:r>
    </w:p>
    <w:p>
      <w:pPr>
        <w:pStyle w:val="Normal"/>
        <w:ind w:firstLine="284"/>
        <w:jc w:val="both"/>
        <w:rPr/>
      </w:pPr>
      <w:r>
        <w:rPr/>
        <w:t>4.2.161. Для защиты генераторов и синхронных компенсаторов, а также 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MB·А и менее) - на шинах (секциях шин) генераторного напряжения; электродвигателей мощностью более 3 МВт - на шинах РУ.</w:t>
      </w:r>
    </w:p>
    <w:p>
      <w:pPr>
        <w:pStyle w:val="Normal"/>
        <w:ind w:firstLine="284"/>
        <w:jc w:val="both"/>
        <w:rPr/>
      </w:pPr>
      <w:r>
        <w:rPr/>
        <w:t>При защите генераторов (синхронных компенсаторов) с выведенной нейтралью, не имеющих витковой 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(синхронных компенсаторам) участков кабелей длиной до 100 м составляет 0,5 мкФ и более на фазу.</w:t>
      </w:r>
    </w:p>
    <w:p>
      <w:pPr>
        <w:pStyle w:val="Normal"/>
        <w:ind w:firstLine="284"/>
        <w:jc w:val="both"/>
        <w:rPr/>
      </w:pPr>
      <w:r>
        <w:rPr/>
        <w:t>4.2.162. Если вращающиеся машины и ВЛ присоединены к общим шинам РУ электростанций или ПС, то подходы этих ВЛ должны быть защищены от грозовых воздействий с соблюдением следующих требований:</w:t>
      </w:r>
    </w:p>
    <w:p>
      <w:pPr>
        <w:pStyle w:val="Normal"/>
        <w:ind w:firstLine="284"/>
        <w:jc w:val="both"/>
        <w:rPr/>
      </w:pPr>
      <w:r>
        <w:rPr/>
        <w:t xml:space="preserve">1) подход ВЛ с металлическими и железобетонными опорами должен быть защищен тросом на протяжении не менее 300 м, в начале подхода должен быть установлен комплект РВ IV группы (рис. 4.2.20, </w:t>
      </w:r>
      <w:r>
        <w:rPr>
          <w:i/>
          <w:iCs/>
        </w:rPr>
        <w:t>а</w:t>
      </w:r>
      <w:r>
        <w:rPr/>
        <w:t>)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1 м по дереву от точки крепления гирлянды изоляторов до стойки опоры.</w:t>
      </w:r>
    </w:p>
    <w:p>
      <w:pPr>
        <w:pStyle w:val="Normal"/>
        <w:ind w:firstLine="284"/>
        <w:jc w:val="both"/>
        <w:rPr/>
      </w:pPr>
      <w:r>
        <w:rP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РВ IV группы или соответствующих ОПН на расстоянии 150 м от начала тросового подхода в сторону линии (рис. 4.2.20, </w:t>
      </w:r>
      <w:r>
        <w:rPr>
          <w:i/>
          <w:iCs/>
        </w:rPr>
        <w:t>б</w:t>
      </w:r>
      <w:r>
        <w:rPr/>
        <w:t>).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pPr>
        <w:pStyle w:val="Normal"/>
        <w:ind w:firstLine="284"/>
        <w:jc w:val="both"/>
        <w:rPr/>
      </w:pPr>
      <w:r>
        <w:rPr/>
        <w:t xml:space="preserve">2) на ВЛ, присоединенных к электростанциям и ПС кабельными вставками длиной до 0,5 км, защита подхода должна быть выполнена так же, как на ВЛ без кабельных вставок (см. п. 1) и дополнительно должен быть установлен комплект РВ2 IV группы или соответствующих ОПН в месте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(рис. 4.2.20, </w:t>
      </w:r>
      <w:r>
        <w:rPr>
          <w:i/>
          <w:iCs/>
        </w:rPr>
        <w:t>в</w:t>
      </w:r>
      <w:r>
        <w:rPr/>
        <w:t xml:space="preserve">, </w:t>
      </w:r>
      <w:r>
        <w:rPr>
          <w:i/>
          <w:iCs/>
        </w:rPr>
        <w:t>г</w:t>
      </w:r>
      <w:r>
        <w:rPr/>
        <w:t>). Сопротивление заземления аппарата не должно превышать 5 Ом;</w:t>
      </w:r>
    </w:p>
    <w:p>
      <w:pPr>
        <w:pStyle w:val="Normal"/>
        <w:ind w:firstLine="284"/>
        <w:jc w:val="both"/>
        <w:rPr/>
      </w:pPr>
      <w:r>
        <w:rPr/>
        <w:t xml:space="preserve">3) если подход ВЛ на длине не менее 300 м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установлен комплект РВ1 IV группы (рис. 4.2.20, </w:t>
      </w:r>
      <w:r>
        <w:rPr>
          <w:i/>
          <w:iCs/>
        </w:rPr>
        <w:t>д</w:t>
      </w:r>
      <w:r>
        <w:rPr/>
        <w:t>) или соответствующих ОПН. Сопротивление заземления разрядника не должно превышать 3 Ом. Спуски заземления РВ1 кратчайшим путем должны быть соединены с контуром заземления ПС (электростанции);</w:t>
      </w:r>
    </w:p>
    <w:p>
      <w:pPr>
        <w:pStyle w:val="Normal"/>
        <w:ind w:firstLine="284"/>
        <w:jc w:val="both"/>
        <w:rPr/>
      </w:pPr>
      <w:r>
        <w:rPr/>
        <w:t xml:space="preserve">4) при наличии токоограничивающего реактора на присоединении ВЛ подход на длине 100 - 150 м должен быть защищен от прямых ударов молнии тросовым молниеотводом (рис. 4.2.20, </w:t>
      </w:r>
      <w:r>
        <w:rPr>
          <w:i/>
          <w:iCs/>
        </w:rPr>
        <w:t>е</w:t>
      </w:r>
      <w:r>
        <w:rPr/>
        <w:t xml:space="preserve">). В начале подхода, защищенного молниеотводом, а также у реактора должны быть установлены комплекты РВ 1 и РВ2 IV группы (рис. 4.2.20, </w:t>
      </w:r>
      <w:r>
        <w:rPr>
          <w:i/>
          <w:iCs/>
        </w:rPr>
        <w:t>а</w:t>
      </w:r>
      <w:r>
        <w:rPr/>
        <w:t>) или соответствующих ОПН. Сопротивление заземления аппарата, установленного в начале подхода со стороны линии, должно быть не более 3 Ом;</w:t>
      </w:r>
    </w:p>
    <w:p>
      <w:pPr>
        <w:pStyle w:val="Normal"/>
        <w:ind w:firstLine="284"/>
        <w:jc w:val="both"/>
        <w:rPr/>
      </w:pPr>
      <w:r>
        <w:rPr/>
        <w:t xml:space="preserve">5) при присоединении ВЛ к шинам РУ с вращающимися машинами через токоограничивающий реактор и кабельную вставку длиной более 50 м защита подхода ВЛ от прямых ударов молнии не требуется. В месте присоединения ВЛ к кабелю и перед реактором должны быть установлены комплекты РВ 1 и РВ2 IV группы или ОПН с сопротивлением заземления не более 3 Ом (рис. 4.2.20, </w:t>
      </w:r>
      <w:r>
        <w:rPr>
          <w:i/>
          <w:iCs/>
        </w:rPr>
        <w:t>ж</w:t>
      </w:r>
      <w:r>
        <w:rPr/>
        <w:t>);</w:t>
      </w:r>
    </w:p>
    <w:p>
      <w:pPr>
        <w:pStyle w:val="Normal"/>
        <w:ind w:firstLine="284"/>
        <w:jc w:val="both"/>
        <w:rPr/>
      </w:pPr>
      <w:r>
        <w:rPr/>
        <w:t xml:space="preserve">6) на ВЛ, присоединенных к шинам РУ с вращающимися машинами мощностью менее 3 МВт (менее 3 МВ·А), подходы которых на длине не менее 0,5 км выполнены на железобетонных или металлических опорах с сопротивлением заземления не более 5 Ом, должен быть установлен комплект РВ IV группы или соответствующих ОПН на расстоянии 100 - 150 м от ПС (электростанции) (рис. 4.2.20, </w:t>
      </w:r>
      <w:r>
        <w:rPr>
          <w:i/>
          <w:iCs/>
        </w:rPr>
        <w:t>з</w:t>
      </w:r>
      <w:r>
        <w:rPr/>
        <w:t>). Сопротивление заземления защитных аппаратов должно быть не более 3 Ом. При этом защита подхода ВЛ тросом не требуется.</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3524250" cy="4953000"/>
            <wp:effectExtent l="0" t="0" r="0" b="0"/>
            <wp:docPr id="102" name="image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094" descr=""/>
                    <pic:cNvPicPr>
                      <a:picLocks noChangeAspect="1" noChangeArrowheads="1"/>
                    </pic:cNvPicPr>
                  </pic:nvPicPr>
                  <pic:blipFill>
                    <a:blip r:embed="rId110"/>
                    <a:srcRect l="-10" t="-7" r="-10" b="-7"/>
                    <a:stretch>
                      <a:fillRect/>
                    </a:stretch>
                  </pic:blipFill>
                  <pic:spPr bwMode="auto">
                    <a:xfrm>
                      <a:off x="0" y="0"/>
                      <a:ext cx="3524250" cy="4953000"/>
                    </a:xfrm>
                    <a:prstGeom prst="rect">
                      <a:avLst/>
                    </a:prstGeom>
                  </pic:spPr>
                </pic:pic>
              </a:graphicData>
            </a:graphic>
          </wp:inline>
        </w:drawing>
      </w:r>
    </w:p>
    <w:p>
      <w:pPr>
        <w:pStyle w:val="Normal"/>
        <w:spacing w:before="0" w:after="120"/>
        <w:jc w:val="center"/>
        <w:rPr>
          <w:vanish/>
          <w:color w:val="FFFFFF"/>
          <w:sz w:val="2"/>
        </w:rPr>
      </w:pPr>
      <w:r>
        <w:rPr>
          <w:vanish/>
          <w:color w:val="FFFFFF"/>
          <w:sz w:val="2"/>
        </w:rPr>
        <w:t>0158S10-02181</w:t>
      </w:r>
    </w:p>
    <w:p>
      <w:pPr>
        <w:pStyle w:val="Normal"/>
        <w:spacing w:before="0" w:after="120"/>
        <w:jc w:val="center"/>
        <w:rPr/>
      </w:pPr>
      <w:r>
        <w:rPr/>
        <w:drawing>
          <wp:inline distT="0" distB="0" distL="0" distR="0">
            <wp:extent cx="2876550" cy="5019675"/>
            <wp:effectExtent l="0" t="0" r="0" b="0"/>
            <wp:docPr id="103" name="image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095" descr=""/>
                    <pic:cNvPicPr>
                      <a:picLocks noChangeAspect="1" noChangeArrowheads="1"/>
                    </pic:cNvPicPr>
                  </pic:nvPicPr>
                  <pic:blipFill>
                    <a:blip r:embed="rId111"/>
                    <a:srcRect l="-12" t="-7" r="-12" b="-7"/>
                    <a:stretch>
                      <a:fillRect/>
                    </a:stretch>
                  </pic:blipFill>
                  <pic:spPr bwMode="auto">
                    <a:xfrm>
                      <a:off x="0" y="0"/>
                      <a:ext cx="2876550" cy="5019675"/>
                    </a:xfrm>
                    <a:prstGeom prst="rect">
                      <a:avLst/>
                    </a:prstGeom>
                  </pic:spPr>
                </pic:pic>
              </a:graphicData>
            </a:graphic>
          </wp:inline>
        </w:drawing>
      </w:r>
    </w:p>
    <w:p>
      <w:pPr>
        <w:pStyle w:val="Normal"/>
        <w:spacing w:before="0" w:after="120"/>
        <w:jc w:val="center"/>
        <w:rPr/>
      </w:pPr>
      <w:r>
        <w:rPr/>
        <w:t>Рис. 4.2.20. Схемы защиты вращающихся электрических машин от грозовых перенапряжений</w:t>
      </w:r>
    </w:p>
    <w:p>
      <w:pPr>
        <w:pStyle w:val="Normal"/>
        <w:ind w:firstLine="284"/>
        <w:jc w:val="both"/>
        <w:rPr/>
      </w:pPr>
      <w:r>
        <w:rPr/>
        <w:t>4.2.163. 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20 м.</w:t>
      </w:r>
    </w:p>
    <w:p>
      <w:pPr>
        <w:pStyle w:val="Normal"/>
        <w:ind w:firstLine="284"/>
        <w:jc w:val="both"/>
        <w:rPr/>
      </w:pPr>
      <w:r>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p>
      <w:pPr>
        <w:pStyle w:val="Normal"/>
        <w:ind w:firstLine="284"/>
        <w:jc w:val="both"/>
        <w:rPr/>
      </w:pPr>
      <w:r>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заземлителей и подземной части токопровода должно быть не менее 5 м.</w:t>
      </w:r>
    </w:p>
    <w:p>
      <w:pPr>
        <w:pStyle w:val="Normal"/>
        <w:ind w:firstLine="284"/>
        <w:jc w:val="both"/>
        <w:rPr/>
      </w:pPr>
      <w:r>
        <w:rPr/>
        <w:t>4.2.164. 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p>
    <w:p>
      <w:pPr>
        <w:pStyle w:val="Normal"/>
        <w:ind w:firstLine="284"/>
        <w:jc w:val="both"/>
        <w:rPr/>
      </w:pPr>
      <w:r>
        <w:rPr/>
        <w:t>Для защиты генераторов от волн грозовых перенапряжений, набегающих по токопроводу, и от индуктированных перенапряжений должны быть установлены РВ I группы или ОПН и защитные емкости, значение которых на три фазы при номинальном напряжении генераторов должно составлять не менее: при напряжении 6 кВ - 0,8 мкФ, при 10 кВ - 0,5 мкФ и при 13,8 - 20 кВ - 0,4 мкФ.</w:t>
      </w:r>
    </w:p>
    <w:p>
      <w:pPr>
        <w:pStyle w:val="Normal"/>
        <w:ind w:firstLine="284"/>
        <w:jc w:val="both"/>
        <w:rPr/>
      </w:pPr>
      <w:r>
        <w:rPr/>
        <w:t>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p>
      <w:pPr>
        <w:pStyle w:val="Normal"/>
        <w:ind w:firstLine="284"/>
        <w:jc w:val="both"/>
        <w:rPr/>
      </w:pPr>
      <w:r>
        <w:rPr/>
        <w:t>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4.2.163.</w:t>
      </w:r>
    </w:p>
    <w:p>
      <w:pPr>
        <w:pStyle w:val="Normal"/>
        <w:ind w:firstLine="284"/>
        <w:jc w:val="both"/>
        <w:rPr/>
      </w:pPr>
      <w:r>
        <w:rPr/>
        <w:t>4.2.165. Допускается не выполнять защиту подходов от прямых ударов молнии при присоединении ВЛ или открытых токопроводов:</w:t>
      </w:r>
    </w:p>
    <w:p>
      <w:pPr>
        <w:pStyle w:val="Normal"/>
        <w:ind w:firstLine="284"/>
        <w:jc w:val="both"/>
        <w:rPr/>
      </w:pPr>
      <w:r>
        <w:rPr/>
        <w:t>1) к электродвигателям мощностью до 3 МВт;</w:t>
      </w:r>
    </w:p>
    <w:p>
      <w:pPr>
        <w:pStyle w:val="Normal"/>
        <w:ind w:firstLine="284"/>
        <w:jc w:val="both"/>
        <w:rPr/>
      </w:pPr>
      <w:r>
        <w:rPr/>
        <w:t>2) к генераторам дизельных электростанций мощностью до 1 МВт, расположенным в районах с интенсивностью грозовой деятельности до 20 грозовых часов в году.</w:t>
      </w:r>
    </w:p>
    <w:p>
      <w:pPr>
        <w:pStyle w:val="Normal"/>
        <w:ind w:firstLine="284"/>
        <w:jc w:val="both"/>
        <w:rPr/>
      </w:pPr>
      <w:r>
        <w:rPr/>
        <w:t xml:space="preserve">При этом требуется установка на подходе ВЛ двух комплектов РВ IV группы или соответствующих ОПН на расстояниях 150 (РВ2) и 250 м (РВ1) от шин ПС (рис. 4.2.21, </w:t>
      </w:r>
      <w:r>
        <w:rPr>
          <w:i/>
          <w:iCs/>
        </w:rPr>
        <w:t>а</w:t>
      </w:r>
      <w:r>
        <w:rPr/>
        <w:t>). Сопротивление заземления защитных аппаратов должно быть не более 3 Ом. Спуски заземления кратчайшим путем должны быть соединены с заземляющим устройством ПС или электростанции.</w:t>
      </w:r>
    </w:p>
    <w:p>
      <w:pPr>
        <w:pStyle w:val="Normal"/>
        <w:ind w:firstLine="284"/>
        <w:jc w:val="both"/>
        <w:rPr/>
      </w:pPr>
      <w:r>
        <w:rPr/>
        <w:t xml:space="preserve">При наличии кабельной вставки любой длины непосредственно перед кабелем должен быть установлен РВ IV группы или соответствующий ОПН. Их заземляющий зажим должен быть кратчайшим путем присоединен к металлическим оболочкам кабеля и к заземлителю (рис. 4.2.21, </w:t>
      </w:r>
      <w:r>
        <w:rPr>
          <w:i/>
          <w:iCs/>
        </w:rPr>
        <w:t>б</w:t>
      </w:r>
      <w:r>
        <w:rPr/>
        <w:t>).</w:t>
      </w:r>
    </w:p>
    <w:p>
      <w:pPr>
        <w:pStyle w:val="Normal"/>
        <w:ind w:firstLine="284"/>
        <w:jc w:val="both"/>
        <w:rPr/>
      </w:pPr>
      <w:r>
        <w:rPr/>
        <w:t>На шинах, питающих электродвигатели через кабельные вставки, должны быть установлены РВ I группы или соответствующие ОПН и защитные емкости не менее 0,5 мкФ на фазу.</w:t>
      </w:r>
    </w:p>
    <w:p>
      <w:pPr>
        <w:pStyle w:val="Normal"/>
        <w:ind w:firstLine="284"/>
        <w:jc w:val="both"/>
        <w:rPr/>
      </w:pPr>
      <w:r>
        <w:rPr/>
        <w:t>На подходах ВЛ или открытых токопроводов с железобетонными или металлическими опорами установки РВ не требуется, если сопротивление заземления каждой опоры подхода на длине не менее 250 м составляет не более 10 Ом.</w:t>
      </w:r>
    </w:p>
    <w:p>
      <w:pPr>
        <w:pStyle w:val="Normal"/>
        <w:spacing w:before="120" w:after="120"/>
        <w:jc w:val="center"/>
        <w:rPr>
          <w:vanish/>
          <w:color w:val="FFFFFF"/>
          <w:sz w:val="2"/>
        </w:rPr>
      </w:pPr>
      <w:r>
        <w:rPr>
          <w:vanish/>
          <w:color w:val="FFFFFF"/>
          <w:sz w:val="2"/>
        </w:rPr>
        <w:t>0158S10-02181</w:t>
      </w:r>
    </w:p>
    <w:p>
      <w:pPr>
        <w:pStyle w:val="Normal"/>
        <w:spacing w:before="120" w:after="120"/>
        <w:jc w:val="center"/>
        <w:rPr/>
      </w:pPr>
      <w:r>
        <w:rPr/>
        <w:drawing>
          <wp:inline distT="0" distB="0" distL="0" distR="0">
            <wp:extent cx="2818765" cy="2723515"/>
            <wp:effectExtent l="0" t="0" r="0" b="0"/>
            <wp:docPr id="104" name="image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096" descr=""/>
                    <pic:cNvPicPr>
                      <a:picLocks noChangeAspect="1" noChangeArrowheads="1"/>
                    </pic:cNvPicPr>
                  </pic:nvPicPr>
                  <pic:blipFill>
                    <a:blip r:embed="rId112"/>
                    <a:srcRect l="-12" t="-13" r="-12" b="-13"/>
                    <a:stretch>
                      <a:fillRect/>
                    </a:stretch>
                  </pic:blipFill>
                  <pic:spPr bwMode="auto">
                    <a:xfrm>
                      <a:off x="0" y="0"/>
                      <a:ext cx="2818765" cy="2723515"/>
                    </a:xfrm>
                    <a:prstGeom prst="rect">
                      <a:avLst/>
                    </a:prstGeom>
                  </pic:spPr>
                </pic:pic>
              </a:graphicData>
            </a:graphic>
          </wp:inline>
        </w:drawing>
      </w:r>
    </w:p>
    <w:p>
      <w:pPr>
        <w:pStyle w:val="Normal"/>
        <w:jc w:val="center"/>
        <w:rPr/>
      </w:pPr>
      <w:r>
        <w:rPr/>
        <w:t>Рис. 4.2.21. Схемы защиты электродвигателей мощностью до 3 МВт при подходе ВЛ на деревянных опорах</w:t>
      </w:r>
    </w:p>
    <w:p>
      <w:pPr>
        <w:pStyle w:val="Heading3"/>
        <w:rPr/>
      </w:pPr>
      <w:r>
        <w:rPr/>
        <w:t>ЗАЩИТА ОТ ВНУТРЕННИХ ПЕРЕНАПРЯЖЕНИЙ</w:t>
      </w:r>
    </w:p>
    <w:p>
      <w:pPr>
        <w:pStyle w:val="Normal"/>
        <w:ind w:firstLine="284"/>
        <w:jc w:val="both"/>
        <w:rPr/>
      </w:pPr>
      <w:r>
        <w:rPr/>
        <w:t>4.2.166. Электрические сети 3 - 35 кВ должны работать с изолированной, заземленной через резистор или дугогасящий реактор нейтралью. В электрических сетях 3 - 35 кВ с компенсацией емкостного тока однофазного замыкания на землю степень несимметрии емкостей фаз относительно земли не должна превышать 0,75 %. Выравнивание емкостей фаз относительно земли должно осуществляться транспозицией проводов и распределением конденсаторов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pPr>
        <w:pStyle w:val="Normal"/>
        <w:ind w:firstLine="284"/>
        <w:jc w:val="both"/>
        <w:rPr/>
      </w:pPr>
      <w:r>
        <w:rPr/>
        <w:t>Дугогасящие реакторы могут устанавливаться на всех ПС, кроме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pPr>
        <w:pStyle w:val="Normal"/>
        <w:ind w:firstLine="284"/>
        <w:jc w:val="both"/>
        <w:rPr/>
      </w:pPr>
      <w:r>
        <w:rPr/>
        <w:t>4.2.167. В электрических сетях 3 - 35 кВ следует принимать меры для предотвращения феррорезонансных процессов и самопроизвольных смещений нейтрали.</w:t>
      </w:r>
    </w:p>
    <w:p>
      <w:pPr>
        <w:pStyle w:val="Normal"/>
        <w:ind w:firstLine="284"/>
        <w:jc w:val="both"/>
        <w:rPr/>
      </w:pPr>
      <w:r>
        <w:rPr/>
        <w:t>В электрических схемах 3 - 35 кВ, в которых имеются генераторы (синхронные компенсаторы) с непосредственным водяным охлаждением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pPr>
        <w:pStyle w:val="Normal"/>
        <w:ind w:firstLine="284"/>
        <w:jc w:val="both"/>
        <w:rPr/>
      </w:pPr>
      <w:r>
        <w:rPr/>
        <w:t>4.2.168. Обмотки трансформаторов (автотрансформаторов) должны быть защищены от коммутационных перенапряжений с помощью РВ или ОПН, установленными в соответствии с требованиями 4.2.153.</w:t>
      </w:r>
    </w:p>
    <w:p>
      <w:pPr>
        <w:pStyle w:val="Normal"/>
        <w:ind w:firstLine="284"/>
        <w:jc w:val="both"/>
        <w:rPr/>
      </w:pPr>
      <w:r>
        <w:rPr/>
        <w:t>4.2.169. В сетях 330, 500 и 750 кВ в зависимости от схемы сети, количества линий и трансформаторов следует предусматривать меры по ограничению длительных повышений напряжения и внутренних перенапряжений. Необходимость ограничения квазиустановившихся и внутренних перенапряжений и параметры средств защиты от них определяются на основании расчетов перенапряжений.</w:t>
      </w:r>
    </w:p>
    <w:p>
      <w:pPr>
        <w:pStyle w:val="Normal"/>
        <w:ind w:firstLine="284"/>
        <w:jc w:val="both"/>
        <w:rPr/>
      </w:pPr>
      <w:r>
        <w:rPr/>
        <w:t>4.2.170. С целью ограничения опасных для оборудования коммутационных перенапряжений следует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компенсационных реакторов, схемные мероприятия, системная и противоаварийная автоматики, в частности автоматики от повышения напряжения).</w:t>
      </w:r>
    </w:p>
    <w:p>
      <w:pPr>
        <w:pStyle w:val="Normal"/>
        <w:ind w:firstLine="284"/>
        <w:jc w:val="both"/>
        <w:rPr/>
      </w:pPr>
      <w:r>
        <w:rPr/>
        <w:t>Коммутационные перенапряжения на шинах ПС 330, 500 и 750 кВ должны быть ограничены в зависимости от уровня изоляции оборудования.</w:t>
      </w:r>
    </w:p>
    <w:p>
      <w:pPr>
        <w:pStyle w:val="Normal"/>
        <w:ind w:firstLine="284"/>
        <w:jc w:val="both"/>
        <w:rPr/>
      </w:pPr>
      <w:r>
        <w:rPr/>
        <w:t>4.2.171. Для РУ 110 - 500 кВ должны предусматриваться технические решения, исключающие появление феррорезонансных перенапряжений, возникающих при последовательных включениях электромагнитных трансформаторов напряжения и емкостных делителей напряжения выключателей.</w:t>
      </w:r>
    </w:p>
    <w:p>
      <w:pPr>
        <w:pStyle w:val="Normal"/>
        <w:ind w:firstLine="284"/>
        <w:jc w:val="both"/>
        <w:rPr/>
      </w:pPr>
      <w:r>
        <w:rPr/>
        <w:t>К этим решениям относится в частности:</w:t>
      </w:r>
    </w:p>
    <w:p>
      <w:pPr>
        <w:pStyle w:val="Normal"/>
        <w:ind w:firstLine="284"/>
        <w:jc w:val="both"/>
        <w:rPr/>
      </w:pPr>
      <w:r>
        <w:rPr/>
        <w:t>применение выключателей без емкостных делителей напряжения;</w:t>
      </w:r>
    </w:p>
    <w:p>
      <w:pPr>
        <w:pStyle w:val="Normal"/>
        <w:ind w:firstLine="284"/>
        <w:jc w:val="both"/>
        <w:rPr/>
      </w:pPr>
      <w:r>
        <w:rPr/>
        <w:t>применение вместо электромагнитных трансформаторов емкостных;</w:t>
      </w:r>
    </w:p>
    <w:p>
      <w:pPr>
        <w:pStyle w:val="Normal"/>
        <w:ind w:firstLine="284"/>
        <w:jc w:val="both"/>
        <w:rPr/>
      </w:pPr>
      <w:r>
        <w:rPr/>
        <w:t>применение антирезонансных трансформаторов напряжения;</w:t>
      </w:r>
    </w:p>
    <w:p>
      <w:pPr>
        <w:pStyle w:val="Normal"/>
        <w:ind w:firstLine="284"/>
        <w:jc w:val="both"/>
        <w:rPr/>
      </w:pPr>
      <w:r>
        <w:rPr/>
        <w:t>увеличение в 1,5 - 2 раза емкости ошиновки РУ путем установки на шинах дополнительных конденсаторов, например связи.</w:t>
      </w:r>
    </w:p>
    <w:p>
      <w:pPr>
        <w:pStyle w:val="Heading3"/>
        <w:rPr/>
      </w:pPr>
      <w:r>
        <w:rPr/>
        <w:t>ПНЕВМАТИЧЕСКОЕ ХОЗЯЙСТВО</w:t>
      </w:r>
    </w:p>
    <w:p>
      <w:pPr>
        <w:pStyle w:val="Normal"/>
        <w:ind w:firstLine="284"/>
        <w:jc w:val="both"/>
        <w:rPr/>
      </w:pPr>
      <w:r>
        <w:rPr/>
        <w:t>4.2.172. Для снабжения сжатым воздухом коммутационных аппаратов (воздушных выключателей, пневматических приводов к выключателям,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pPr>
        <w:pStyle w:val="Normal"/>
        <w:ind w:firstLine="284"/>
        <w:jc w:val="both"/>
        <w:rPr/>
      </w:pPr>
      <w:r>
        <w:rPr/>
        <w:t>Вывод в ремонт или выход из строя любого элемента установки сжатого воздуха не должны приводить к нарушению воздухообеспечения коммутационных аппаратов.</w:t>
      </w:r>
    </w:p>
    <w:p>
      <w:pPr>
        <w:pStyle w:val="Normal"/>
        <w:ind w:firstLine="284"/>
        <w:jc w:val="both"/>
        <w:rPr/>
      </w:pPr>
      <w:r>
        <w:rPr/>
        <w:t>4.2.173.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p>
    <w:p>
      <w:pPr>
        <w:pStyle w:val="Normal"/>
        <w:ind w:firstLine="284"/>
        <w:jc w:val="both"/>
        <w:rPr/>
      </w:pPr>
      <w:r>
        <w:rPr/>
        <w:t>компрессорное (повышенное)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pPr>
        <w:pStyle w:val="Normal"/>
        <w:ind w:firstLine="284"/>
        <w:jc w:val="both"/>
        <w:rPr/>
      </w:pPr>
      <w:r>
        <w:rPr/>
        <w:t>рабочее (номинальное) - для воздухораспределительной сети, в соответствии с номинальным давлением воздуха коммутационных аппаратов.</w:t>
      </w:r>
    </w:p>
    <w:p>
      <w:pPr>
        <w:pStyle w:val="Normal"/>
        <w:ind w:firstLine="284"/>
        <w:jc w:val="both"/>
        <w:rPr/>
      </w:pPr>
      <w:r>
        <w:rPr/>
        <w:t>Системы компрессорного и рабочего давления должны быть связаны между собой перепускными клапанами.</w:t>
      </w:r>
    </w:p>
    <w:p>
      <w:pPr>
        <w:pStyle w:val="Normal"/>
        <w:ind w:firstLine="284"/>
        <w:jc w:val="both"/>
        <w:rPr/>
      </w:pPr>
      <w:r>
        <w:rP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p>
    <w:p>
      <w:pPr>
        <w:pStyle w:val="Normal"/>
        <w:ind w:firstLine="284"/>
        <w:jc w:val="both"/>
        <w:rPr/>
      </w:pPr>
      <w:r>
        <w:rPr/>
        <w:t>4.2.174. Производительность рабочих компрессоров должна быть выбрана такой, чтобы обеспечить:</w:t>
      </w:r>
    </w:p>
    <w:p>
      <w:pPr>
        <w:pStyle w:val="Normal"/>
        <w:ind w:firstLine="284"/>
        <w:jc w:val="both"/>
        <w:rPr/>
      </w:pPr>
      <w:r>
        <w:rPr/>
        <w:t>1) в установках с компрессорами давлением до 10 МПа:</w:t>
      </w:r>
    </w:p>
    <w:p>
      <w:pPr>
        <w:pStyle w:val="Normal"/>
        <w:ind w:firstLine="284"/>
        <w:jc w:val="both"/>
        <w:rPr/>
      </w:pPr>
      <w:r>
        <w:rPr/>
        <w:t>0,5 ч непрерывной работы с 2-часовой паузой;</w:t>
      </w:r>
    </w:p>
    <w:p>
      <w:pPr>
        <w:pStyle w:val="Normal"/>
        <w:ind w:firstLine="284"/>
        <w:jc w:val="both"/>
        <w:rPr/>
      </w:pPr>
      <w:r>
        <w:rPr/>
        <w:t>восстановление давления в воздухосборниках, сниженного на вентилирование воздушных выключателей и на утечки всей системы, за 2 ч, пока компрессоры не работают, - в течение 0,5 ч;</w:t>
      </w:r>
    </w:p>
    <w:p>
      <w:pPr>
        <w:pStyle w:val="Normal"/>
        <w:ind w:firstLine="284"/>
        <w:jc w:val="both"/>
        <w:rPr/>
      </w:pPr>
      <w:r>
        <w:rPr/>
        <w:t>2) в установках с компрессорами давлением 23 МПа:</w:t>
      </w:r>
    </w:p>
    <w:p>
      <w:pPr>
        <w:pStyle w:val="Normal"/>
        <w:ind w:firstLine="284"/>
        <w:jc w:val="both"/>
        <w:rPr/>
      </w:pPr>
      <w:r>
        <w:rPr/>
        <w:t>1,5 ч непрерывной работы с 2-часовой паузой;</w:t>
      </w:r>
    </w:p>
    <w:p>
      <w:pPr>
        <w:pStyle w:val="Normal"/>
        <w:ind w:firstLine="284"/>
        <w:jc w:val="both"/>
        <w:rPr/>
      </w:pPr>
      <w:r>
        <w:rPr/>
        <w:t>восстановление давления в воздухосборниках (условия аналогичны изложенным в п. 1) - в течение 1,5 ч.</w:t>
      </w:r>
    </w:p>
    <w:p>
      <w:pPr>
        <w:pStyle w:val="Normal"/>
        <w:ind w:firstLine="284"/>
        <w:jc w:val="both"/>
        <w:rPr/>
      </w:pPr>
      <w:r>
        <w:rPr/>
        <w:t>При любом количестве рабочих компрессоров, исходя из условий надежности воздухообеспечения коммутационных аппаратов, должны быть предусмотрены один или два резервных в зависимости от местных условий.</w:t>
      </w:r>
    </w:p>
    <w:p>
      <w:pPr>
        <w:pStyle w:val="Normal"/>
        <w:ind w:firstLine="284"/>
        <w:jc w:val="both"/>
        <w:rPr/>
      </w:pPr>
      <w:r>
        <w:rPr/>
        <w:t>Указанное не распространяется на ПС с одним коммутационным аппаратом, имеющим пневмопривод, где должны устанавливаться два компрессора, один из которых резервный.</w:t>
      </w:r>
    </w:p>
    <w:p>
      <w:pPr>
        <w:pStyle w:val="Normal"/>
        <w:ind w:firstLine="284"/>
        <w:jc w:val="both"/>
        <w:rPr/>
      </w:pPr>
      <w:r>
        <w:rP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pPr>
        <w:pStyle w:val="Normal"/>
        <w:ind w:firstLine="284"/>
        <w:jc w:val="both"/>
        <w:rPr/>
      </w:pPr>
      <w:r>
        <w:rPr/>
        <w:t>4.2.175. Пополнение воздуха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pPr>
        <w:pStyle w:val="Normal"/>
        <w:ind w:firstLine="284"/>
        <w:jc w:val="both"/>
        <w:rPr/>
      </w:pPr>
      <w:r>
        <w:rPr/>
        <w:t>Емкость воздухосборников должна обеспечивать покрытие суммарного расхода воздуха (при неработающих компрессорах):</w:t>
      </w:r>
    </w:p>
    <w:p>
      <w:pPr>
        <w:pStyle w:val="Normal"/>
        <w:ind w:firstLine="284"/>
        <w:jc w:val="both"/>
        <w:rPr/>
      </w:pPr>
      <w:r>
        <w:rPr/>
        <w:t>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воздуха в коммутационных аппаратах;</w:t>
      </w:r>
    </w:p>
    <w:p>
      <w:pPr>
        <w:pStyle w:val="Normal"/>
        <w:ind w:firstLine="284"/>
        <w:jc w:val="both"/>
        <w:rPr/>
      </w:pPr>
      <w:r>
        <w:rP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pPr>
        <w:pStyle w:val="Normal"/>
        <w:ind w:firstLine="284"/>
        <w:jc w:val="both"/>
        <w:rPr/>
      </w:pPr>
      <w:r>
        <w:rPr/>
        <w:t>на 30 % - в установках с компрессорами давлением до 10 МПа;</w:t>
      </w:r>
    </w:p>
    <w:p>
      <w:pPr>
        <w:pStyle w:val="Normal"/>
        <w:ind w:firstLine="284"/>
        <w:jc w:val="both"/>
        <w:rPr/>
      </w:pPr>
      <w:r>
        <w:rPr/>
        <w:t>на 80 % - в установках с компрессорами давлением 23 МПа.</w:t>
      </w:r>
    </w:p>
    <w:p>
      <w:pPr>
        <w:pStyle w:val="Normal"/>
        <w:ind w:firstLine="284"/>
        <w:jc w:val="both"/>
        <w:rPr/>
      </w:pPr>
      <w:r>
        <w:rPr/>
        <w:t>4.2.176.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p>
    <w:p>
      <w:pPr>
        <w:pStyle w:val="Normal"/>
        <w:ind w:firstLine="284"/>
        <w:jc w:val="both"/>
        <w:rPr/>
      </w:pPr>
      <w:r>
        <w:rPr/>
        <w:t>4.2.177. Для каждого значения номинального давления коммутационных 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p>
    <w:p>
      <w:pPr>
        <w:pStyle w:val="Normal"/>
        <w:ind w:firstLine="284"/>
        <w:jc w:val="both"/>
        <w:rPr/>
      </w:pPr>
      <w:r>
        <w:rPr/>
        <w:t>4.2.178. Перепускные клапаны должны поддерживать в воздухораспределительной сети и в резервуарах воздушных выключателей давление в заданных пределах.</w:t>
      </w:r>
    </w:p>
    <w:p>
      <w:pPr>
        <w:pStyle w:val="Normal"/>
        <w:ind w:firstLine="284"/>
        <w:jc w:val="both"/>
        <w:rPr/>
      </w:pPr>
      <w:r>
        <w:rPr/>
        <w:t>Пропускная способность перепускных клапанов и воздухопроводов распределительной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pPr>
        <w:pStyle w:val="Normal"/>
        <w:ind w:firstLine="284"/>
        <w:jc w:val="both"/>
        <w:rPr/>
      </w:pPr>
      <w:r>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pPr>
        <w:pStyle w:val="Normal"/>
        <w:ind w:firstLine="284"/>
        <w:jc w:val="both"/>
        <w:rPr/>
      </w:pPr>
      <w:r>
        <w:rPr/>
        <w:t>4.2.179. Перепускные клапаны должны выполняться с электромагнитным управлением.</w:t>
      </w:r>
    </w:p>
    <w:p>
      <w:pPr>
        <w:pStyle w:val="Normal"/>
        <w:ind w:firstLine="284"/>
        <w:jc w:val="both"/>
        <w:rPr/>
      </w:pPr>
      <w:r>
        <w:rPr/>
        <w:t>Управление автоматикой включения и отключения перепускных клапанов необходимо 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 устанавливаемыми в помещении компрессорной установки.</w:t>
      </w:r>
    </w:p>
    <w:p>
      <w:pPr>
        <w:pStyle w:val="Normal"/>
        <w:ind w:firstLine="284"/>
        <w:jc w:val="both"/>
        <w:rPr/>
      </w:pPr>
      <w:r>
        <w:rPr/>
        <w:t>4.2.180. Компрессорная установка, за исключением блока очистки воздуха, должна быть автоматизирована и работать без постоянного дежурного персонала.</w:t>
      </w:r>
    </w:p>
    <w:p>
      <w:pPr>
        <w:pStyle w:val="Normal"/>
        <w:ind w:firstLine="284"/>
        <w:jc w:val="both"/>
        <w:rPr/>
      </w:pPr>
      <w:r>
        <w:rPr/>
        <w:t>В схеме управления компрессорной установкой должны быть предусмотрены: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автоматическое управление перепускными клапанами; защита компрессорных агрегатов при нарушениях нормального режима работы.</w:t>
      </w:r>
    </w:p>
    <w:p>
      <w:pPr>
        <w:pStyle w:val="Normal"/>
        <w:ind w:firstLine="284"/>
        <w:jc w:val="both"/>
        <w:rPr/>
      </w:pPr>
      <w:r>
        <w:rPr/>
        <w:t>Установка сжатого воздуха должна быть оборудована сигнализацией, действующей при нарушениях нормальной ее работы.</w:t>
      </w:r>
    </w:p>
    <w:p>
      <w:pPr>
        <w:pStyle w:val="Normal"/>
        <w:ind w:firstLine="284"/>
        <w:jc w:val="both"/>
        <w:rPr/>
      </w:pPr>
      <w:r>
        <w:rPr/>
        <w:t>4.2.181. Устройство автоматизированных компрессорных установок с машинами производительностью до 5 м</w:t>
      </w:r>
      <w:r>
        <w:rPr>
          <w:vertAlign w:val="superscript"/>
        </w:rPr>
        <w:t>3</w:t>
      </w:r>
      <w:r>
        <w:rP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России.</w:t>
      </w:r>
    </w:p>
    <w:p>
      <w:pPr>
        <w:pStyle w:val="Normal"/>
        <w:ind w:firstLine="284"/>
        <w:jc w:val="both"/>
        <w:rPr/>
      </w:pPr>
      <w:r>
        <w:rPr/>
        <w:t>4.2.182. Воздухосборники должны удовлетворять Правилам устройства и безопасной эксплуатации сосудов, работающих под давлением, Госгортехнадзора России.</w:t>
      </w:r>
    </w:p>
    <w:p>
      <w:pPr>
        <w:pStyle w:val="Normal"/>
        <w:ind w:firstLine="284"/>
        <w:jc w:val="both"/>
        <w:rPr/>
      </w:pPr>
      <w:r>
        <w:rPr/>
        <w:t>4.2.183. Воздухосборники должны устанавливаться на открытом воздухе на расстоянии не менее 1 м от стены компрессорной, желательно с теневой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pPr>
        <w:pStyle w:val="Normal"/>
        <w:ind w:firstLine="284"/>
        <w:jc w:val="both"/>
        <w:rPr/>
      </w:pPr>
      <w:r>
        <w:rPr/>
        <w:t>4.2.184. 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предусмотренный для этого колодец.</w:t>
      </w:r>
    </w:p>
    <w:p>
      <w:pPr>
        <w:pStyle w:val="Normal"/>
        <w:ind w:firstLine="284"/>
        <w:jc w:val="both"/>
        <w:rPr/>
      </w:pPr>
      <w:r>
        <w:rPr/>
        <w:t>4.2.185. Для нормальной работы компрессоров в помещении компрессорной установки должна поддерживаться температура не ниже + 10 °С и не выше + 40 °С, для чего должны быть предусмотрены отопление и приточно-вытяжная механическая вентиляция.</w:t>
      </w:r>
    </w:p>
    <w:p>
      <w:pPr>
        <w:pStyle w:val="Normal"/>
        <w:ind w:firstLine="284"/>
        <w:jc w:val="both"/>
        <w:rPr/>
      </w:pPr>
      <w:r>
        <w:rPr/>
        <w:t>4.2.186. Воздухораспределительная сеть должна, как правило, выполняться кольцевой, разделенной на участки при помощи запорных вентилей.</w:t>
      </w:r>
    </w:p>
    <w:p>
      <w:pPr>
        <w:pStyle w:val="Normal"/>
        <w:ind w:firstLine="284"/>
        <w:jc w:val="both"/>
        <w:rPr/>
      </w:pPr>
      <w:r>
        <w:rPr/>
        <w:t>Питание воздухопроводной сети должно осуществляться двумя магистралями от компрессорной установки.</w:t>
      </w:r>
    </w:p>
    <w:p>
      <w:pPr>
        <w:pStyle w:val="Normal"/>
        <w:ind w:firstLine="284"/>
        <w:jc w:val="both"/>
        <w:rPr/>
      </w:pPr>
      <w:r>
        <w:rPr/>
        <w:t>4.2.187. Для защиты воздухораспределительной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pPr>
        <w:pStyle w:val="Normal"/>
        <w:ind w:firstLine="284"/>
        <w:jc w:val="both"/>
        <w:rPr/>
      </w:pPr>
      <w:r>
        <w:rPr/>
        <w:t>4.2.188. Линейные водоотделители устанавливаются в обеих нитках питающей магистрали воздухораспределительной сети давлением 2,0 МПа компрессорной установки до 10 МПа. Линейный водоотделитель должен иметь спускной вентиль и штуцеры с фланцами для присоединения подводящего и отводящего воздухопроводов.</w:t>
      </w:r>
    </w:p>
    <w:p>
      <w:pPr>
        <w:pStyle w:val="Normal"/>
        <w:ind w:firstLine="284"/>
        <w:jc w:val="both"/>
        <w:rPr/>
      </w:pPr>
      <w:r>
        <w:rPr/>
        <w:t>4.2.189. 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совместно с кабелями, а в закрытых помещениях - также по стенам и потолкам.</w:t>
      </w:r>
    </w:p>
    <w:p>
      <w:pPr>
        <w:pStyle w:val="Normal"/>
        <w:ind w:firstLine="284"/>
        <w:jc w:val="both"/>
        <w:rPr/>
      </w:pPr>
      <w:r>
        <w:rPr/>
        <w:t>4.2.190. Воздухопроводы следует прокладывать с уклоном не менее 0,3 %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pPr>
        <w:pStyle w:val="Normal"/>
        <w:ind w:firstLine="284"/>
        <w:jc w:val="both"/>
        <w:rPr/>
      </w:pPr>
      <w:r>
        <w:rPr/>
        <w:t>4.2.191.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pPr>
        <w:pStyle w:val="Normal"/>
        <w:ind w:firstLine="284"/>
        <w:jc w:val="both"/>
        <w:rPr/>
      </w:pPr>
      <w:r>
        <w:rPr/>
        <w:t>4.2.192.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коррозионностойкой стали. Воздухопроводы между шкафами и пневматическими приводами разъединителей из стальных труб.</w:t>
      </w:r>
    </w:p>
    <w:p>
      <w:pPr>
        <w:pStyle w:val="Normal"/>
        <w:ind w:firstLine="284"/>
        <w:jc w:val="both"/>
        <w:rPr/>
      </w:pPr>
      <w:r>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pPr>
        <w:pStyle w:val="Normal"/>
        <w:ind w:firstLine="284"/>
        <w:jc w:val="both"/>
        <w:rPr/>
      </w:pPr>
      <w:r>
        <w:rPr/>
        <w:t>4.2.193. Стальные воздухопроводы должны соединяться сваркой встык; соединения с арматурой - фланцевые.</w:t>
      </w:r>
    </w:p>
    <w:p>
      <w:pPr>
        <w:pStyle w:val="Normal"/>
        <w:ind w:firstLine="284"/>
        <w:jc w:val="both"/>
        <w:rPr/>
      </w:pPr>
      <w:r>
        <w:rPr/>
        <w:t>Для труб с внутренним диаметром 6 - 8 мм допускаются фланцевые соединения или соединения при помощи ниппелей.</w:t>
      </w:r>
    </w:p>
    <w:p>
      <w:pPr>
        <w:pStyle w:val="Normal"/>
        <w:ind w:firstLine="284"/>
        <w:jc w:val="both"/>
        <w:rPr/>
      </w:pPr>
      <w:r>
        <w:rPr/>
        <w:t>4.2.194. Внутренние поверхности воздухосборников и линейных водоотделителей должны иметь антикоррозийное покрытие.</w:t>
      </w:r>
    </w:p>
    <w:p>
      <w:pPr>
        <w:pStyle w:val="Normal"/>
        <w:ind w:firstLine="284"/>
        <w:jc w:val="both"/>
        <w:rPr/>
      </w:pPr>
      <w:r>
        <w:rPr/>
        <w:t>4.2.195.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pPr>
        <w:pStyle w:val="Normal"/>
        <w:ind w:firstLine="284"/>
        <w:jc w:val="both"/>
        <w:rPr/>
      </w:pPr>
      <w:r>
        <w:rPr/>
        <w:t>4.2.196. Все элементы установки сжатого воздуха должны быть доступны для разборки и чистки.</w:t>
      </w:r>
    </w:p>
    <w:p>
      <w:pPr>
        <w:pStyle w:val="Heading3"/>
        <w:rPr/>
      </w:pPr>
      <w:r>
        <w:rPr/>
        <w:t>МАСЛЯНОЕ ХОЗЯЙСТВО</w:t>
      </w:r>
    </w:p>
    <w:p>
      <w:pPr>
        <w:pStyle w:val="Normal"/>
        <w:ind w:firstLine="284"/>
        <w:jc w:val="both"/>
        <w:rPr/>
      </w:pPr>
      <w:r>
        <w:rPr/>
        <w:t>4.2.197. Для обслуживания маслонаполненного оборудования должны быть организованы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определяется схемой организации эксплуатации энергосистемы.</w:t>
      </w:r>
    </w:p>
    <w:p>
      <w:pPr>
        <w:pStyle w:val="Normal"/>
        <w:ind w:firstLine="284"/>
        <w:jc w:val="both"/>
        <w:rPr/>
      </w:pPr>
      <w:r>
        <w:rPr/>
        <w:t>4.2.198. На электростанциях, ПС 500 кВ и выше независимо от мощности установленных трансформаторов и ПС 330 кВ с трансформаторами мощностью 200 MB·А и более предусматриваются масляные хозяйства, состоящие из склада масла и мастерской маслохозяйства с оборудованием для обработки и анализа масла.</w:t>
      </w:r>
    </w:p>
    <w:p>
      <w:pPr>
        <w:pStyle w:val="Normal"/>
        <w:ind w:firstLine="284"/>
        <w:jc w:val="both"/>
        <w:rPr/>
      </w:pPr>
      <w:r>
        <w:rPr/>
        <w:t>Склады масла таких маслохозяйств на ПС должны иметь три резервуара изоляционного масла.</w:t>
      </w:r>
    </w:p>
    <w:p>
      <w:pPr>
        <w:pStyle w:val="Normal"/>
        <w:ind w:firstLine="284"/>
        <w:jc w:val="both"/>
        <w:rPr/>
      </w:pPr>
      <w:r>
        <w:rPr/>
        <w:t>Емкость каждого резервуара должна быть не менее емкости одного наиболее крупного трансформатора с запасом 10 %.</w:t>
      </w:r>
    </w:p>
    <w:p>
      <w:pPr>
        <w:pStyle w:val="Normal"/>
        <w:ind w:firstLine="284"/>
        <w:jc w:val="both"/>
        <w:rPr/>
      </w:pPr>
      <w:r>
        <w:rP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pPr>
        <w:pStyle w:val="Normal"/>
        <w:ind w:firstLine="284"/>
        <w:jc w:val="both"/>
        <w:rPr/>
      </w:pPr>
      <w:r>
        <w:rPr/>
        <w:t>4.2.199.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p>
    <w:p>
      <w:pPr>
        <w:pStyle w:val="Normal"/>
        <w:ind w:firstLine="284"/>
        <w:jc w:val="both"/>
        <w:rPr/>
      </w:pPr>
      <w:r>
        <w:rPr/>
        <w:t>Объем каждого резервуара должна быть не менее 110 % объема масляной системы наибольшего синхронного компенсатора, устанавливаемого на данной подстанции.</w:t>
      </w:r>
    </w:p>
    <w:p>
      <w:pPr>
        <w:pStyle w:val="Normal"/>
        <w:ind w:firstLine="284"/>
        <w:jc w:val="both"/>
        <w:rPr/>
      </w:pPr>
      <w:r>
        <w:rPr/>
        <w:t>4.2.200. На остальных ПС, кроме оговоренных в 4.2.198 и 4.2.199,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pPr>
        <w:pStyle w:val="Normal"/>
        <w:ind w:firstLine="284"/>
        <w:jc w:val="both"/>
        <w:rPr/>
      </w:pPr>
      <w:r>
        <w:rPr/>
        <w:t>4.2.201. Проектирование собственного масляного хозяйства ПС промышленных предприятий должно производиться в соответствии с требованиями настоящего раздела и ведомственных норм.</w:t>
      </w:r>
    </w:p>
    <w:p>
      <w:pPr>
        <w:pStyle w:val="Normal"/>
        <w:ind w:firstLine="284"/>
        <w:jc w:val="both"/>
        <w:rPr/>
      </w:pPr>
      <w:r>
        <w:rPr/>
        <w:t>4.2.202. Расстояния от резервуаров открытых складов масла должно быть не менее:</w:t>
      </w:r>
    </w:p>
    <w:p>
      <w:pPr>
        <w:pStyle w:val="Normal"/>
        <w:ind w:firstLine="284"/>
        <w:jc w:val="both"/>
        <w:rPr/>
      </w:pPr>
      <w:r>
        <w:rPr/>
        <w:t>1) до зданий и сооружений электростанций и ПС (в том числе до трансформаторной мастерской): 12 м - для складов общей емкостью до 100 т масла; 18 м - для складов более 100 т;</w:t>
      </w:r>
    </w:p>
    <w:p>
      <w:pPr>
        <w:pStyle w:val="Normal"/>
        <w:ind w:firstLine="284"/>
        <w:jc w:val="both"/>
        <w:rPr/>
      </w:pPr>
      <w:r>
        <w:rPr/>
        <w:t>2) до жилых и общественных зданий - на 25 % больше расстояний, указанных в п. 1;</w:t>
      </w:r>
    </w:p>
    <w:p>
      <w:pPr>
        <w:pStyle w:val="Normal"/>
        <w:ind w:firstLine="284"/>
        <w:jc w:val="both"/>
        <w:rPr/>
      </w:pPr>
      <w:r>
        <w:rPr/>
        <w:t>3) до аппаратной маслохозяйства - 8 м;</w:t>
      </w:r>
    </w:p>
    <w:p>
      <w:pPr>
        <w:pStyle w:val="Normal"/>
        <w:ind w:firstLine="284"/>
        <w:jc w:val="both"/>
        <w:rPr/>
      </w:pPr>
      <w:r>
        <w:rPr/>
        <w:t>4) до складов баллонов водорода - 20 м;</w:t>
      </w:r>
    </w:p>
    <w:p>
      <w:pPr>
        <w:pStyle w:val="Normal"/>
        <w:ind w:firstLine="284"/>
        <w:jc w:val="both"/>
        <w:rPr/>
      </w:pPr>
      <w:r>
        <w:rPr/>
        <w:t>5) до внешней ограды ПС: 6,5 м - при устройстве охранной периметральной сигнализации, 4 м - в остальных случаях.</w:t>
      </w:r>
    </w:p>
    <w:p>
      <w:pPr>
        <w:pStyle w:val="Heading3"/>
        <w:rPr/>
      </w:pPr>
      <w:r>
        <w:rPr/>
        <w:t>УСТАНОВКА СИЛОВЫХ ТРАНСФОРМАТОРОВ И РЕАКТОРОВ</w:t>
      </w:r>
    </w:p>
    <w:p>
      <w:pPr>
        <w:pStyle w:val="Normal"/>
        <w:ind w:firstLine="284"/>
        <w:jc w:val="both"/>
        <w:rPr/>
      </w:pPr>
      <w:r>
        <w:rPr/>
        <w:t>4.2.203. Требования, приведенные в 4.2.204 - 4.2.236, распространяются на стационарную установку в помещениях и на открытом воздухе силовых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pPr>
        <w:pStyle w:val="Normal"/>
        <w:ind w:firstLine="284"/>
        <w:jc w:val="both"/>
        <w:rPr/>
      </w:pPr>
      <w:r>
        <w:rPr/>
        <w:t>Трансформаторы, автотрансформаторы и реакторы, указанные в настоящем параграфе, поименованы в 4.2.204 - 4.2.236 термином «трансформаторы».</w:t>
      </w:r>
    </w:p>
    <w:p>
      <w:pPr>
        <w:pStyle w:val="Normal"/>
        <w:ind w:firstLine="284"/>
        <w:jc w:val="both"/>
        <w:rPr/>
      </w:pPr>
      <w:r>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pPr>
        <w:pStyle w:val="Normal"/>
        <w:ind w:firstLine="284"/>
        <w:jc w:val="both"/>
        <w:rPr/>
      </w:pPr>
      <w:r>
        <w:rPr/>
        <w:t>Требования 4.2.212, 4.2.217, 4.2.218 не относятся к установке трансформаторов, входящих в КТП с высшим напряжением до 35 кВ.</w:t>
      </w:r>
    </w:p>
    <w:p>
      <w:pPr>
        <w:pStyle w:val="Normal"/>
        <w:ind w:firstLine="284"/>
        <w:jc w:val="both"/>
        <w:rPr/>
      </w:pPr>
      <w:r>
        <w:rPr/>
        <w:t>4.2.204. В регионах с холодным климатом, с повышенной сейсмичностью должны применяться трансформаторы соответствующего исполнения.</w:t>
      </w:r>
    </w:p>
    <w:p>
      <w:pPr>
        <w:pStyle w:val="Normal"/>
        <w:ind w:firstLine="284"/>
        <w:jc w:val="both"/>
        <w:rPr/>
      </w:pPr>
      <w:r>
        <w:rPr/>
        <w:t>4.2.205. Установка трансформаторов должна обеспечивать удобные и безопасные условия его осмотра без снятия напряжения.</w:t>
      </w:r>
    </w:p>
    <w:p>
      <w:pPr>
        <w:pStyle w:val="Normal"/>
        <w:ind w:firstLine="284"/>
        <w:jc w:val="both"/>
        <w:rPr/>
      </w:pPr>
      <w:r>
        <w:rPr/>
        <w:t>4.2.206. Фундаменты трансформаторов напряжением 35 - 500 кВ должны предусматривать их установку непосредственно на фундамент без кареток (катков) и рельс.</w:t>
      </w:r>
    </w:p>
    <w:p>
      <w:pPr>
        <w:pStyle w:val="Normal"/>
        <w:ind w:firstLine="284"/>
        <w:jc w:val="both"/>
        <w:rPr/>
      </w:pPr>
      <w:r>
        <w:rP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размещением трансформаторов в закрытых помещениях, следует устанавливать на каретках (катках).</w:t>
      </w:r>
    </w:p>
    <w:p>
      <w:pPr>
        <w:pStyle w:val="Normal"/>
        <w:ind w:firstLine="284"/>
        <w:jc w:val="both"/>
        <w:rPr/>
      </w:pPr>
      <w:r>
        <w:rP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p>
    <w:p>
      <w:pPr>
        <w:pStyle w:val="Normal"/>
        <w:ind w:firstLine="284"/>
        <w:jc w:val="both"/>
        <w:rPr/>
      </w:pPr>
      <w:r>
        <w:rPr/>
        <w:t>На фундаментах трансформаторов должны быть предусмотрены места для установки домкратов.</w:t>
      </w:r>
    </w:p>
    <w:p>
      <w:pPr>
        <w:pStyle w:val="Normal"/>
        <w:ind w:firstLine="284"/>
        <w:jc w:val="both"/>
        <w:rPr/>
      </w:pPr>
      <w:r>
        <w:rPr/>
        <w:t>4.2.207. Уклон масляного трансформатора, необходимый для обеспечения поступления газа к газовому реле, должен создаваться путем установки подкладок.</w:t>
      </w:r>
    </w:p>
    <w:p>
      <w:pPr>
        <w:pStyle w:val="Normal"/>
        <w:ind w:firstLine="284"/>
        <w:jc w:val="both"/>
        <w:rPr/>
      </w:pPr>
      <w:r>
        <w:rPr/>
        <w:t>4.2.208. 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pPr>
        <w:pStyle w:val="Normal"/>
        <w:ind w:firstLine="284"/>
        <w:jc w:val="both"/>
        <w:rPr/>
      </w:pPr>
      <w:r>
        <w:rP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можно использовать портал ячейки трансформатора.</w:t>
      </w:r>
    </w:p>
    <w:p>
      <w:pPr>
        <w:pStyle w:val="Normal"/>
        <w:ind w:firstLine="284"/>
        <w:jc w:val="both"/>
        <w:rPr/>
      </w:pPr>
      <w:r>
        <w:rPr/>
        <w:t>4.2.209. Трансформаторы необходимо устанавливать так, чтобы отверстие защитного устройства выброса масла не было направлено на близко установленное оборудование. Для защиты оборудования допускается установка заградительного щита между трансформатором и оборудованием.</w:t>
      </w:r>
    </w:p>
    <w:p>
      <w:pPr>
        <w:pStyle w:val="Normal"/>
        <w:ind w:firstLine="284"/>
        <w:jc w:val="both"/>
        <w:rPr/>
      </w:pPr>
      <w:r>
        <w:rPr/>
        <w:t>4.2.210.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pPr>
        <w:pStyle w:val="Normal"/>
        <w:ind w:firstLine="284"/>
        <w:jc w:val="both"/>
        <w:rPr/>
      </w:pPr>
      <w:r>
        <w:rPr/>
        <w:t>4.2.211. Расстояния в свету между открыто установленными трансформаторами определяются технологическими требованиями и должны быть не менее 1,25 м.</w:t>
      </w:r>
    </w:p>
    <w:p>
      <w:pPr>
        <w:pStyle w:val="Normal"/>
        <w:ind w:firstLine="284"/>
        <w:jc w:val="both"/>
        <w:rPr/>
      </w:pPr>
      <w:r>
        <w:rPr/>
        <w:t>4.2.212. Разделительные перегородки между открыто установленными трансформаторами напряжением 110 кВ и выше единичной мощностью 63 МВ·А и более, должны предусматриваться:</w:t>
      </w:r>
    </w:p>
    <w:p>
      <w:pPr>
        <w:pStyle w:val="Normal"/>
        <w:ind w:firstLine="284"/>
        <w:jc w:val="both"/>
        <w:rPr/>
      </w:pPr>
      <w:r>
        <w:rPr/>
        <w:t>при расстояниях менее 15 м между трансформаторами (реакторами), а также между ними и трансформаторами любой мощности, включая регулировочные и собственных нужд;</w:t>
      </w:r>
    </w:p>
    <w:p>
      <w:pPr>
        <w:pStyle w:val="Normal"/>
        <w:ind w:firstLine="284"/>
        <w:jc w:val="both"/>
        <w:rPr/>
      </w:pPr>
      <w:r>
        <w:rPr/>
        <w:t>при расстояниях менее 25 м между трансформаторами, установленными вдоль наружных стен зданий электростанции на расстоянии от стен менее 40 м.</w:t>
      </w:r>
    </w:p>
    <w:p>
      <w:pPr>
        <w:pStyle w:val="Normal"/>
        <w:ind w:firstLine="284"/>
        <w:jc w:val="both"/>
        <w:rPr/>
      </w:pPr>
      <w:r>
        <w:rPr/>
        <w:t>Разделительные перегородки должны иметь предел огнестойкости не менее 1,5 ч, ширину - не менее ширины маслоприемника и высоту - не менее высоты вводов высшего напряжения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1,5 м.</w:t>
      </w:r>
    </w:p>
    <w:p>
      <w:pPr>
        <w:pStyle w:val="Normal"/>
        <w:ind w:firstLine="284"/>
        <w:jc w:val="both"/>
        <w:rPr/>
      </w:pPr>
      <w:r>
        <w:rPr/>
        <w:t>Указанные расстояния принимаются до наиболее выступающих частей трансформаторов.</w:t>
      </w:r>
    </w:p>
    <w:p>
      <w:pPr>
        <w:pStyle w:val="Normal"/>
        <w:ind w:firstLine="284"/>
        <w:jc w:val="both"/>
        <w:rPr/>
      </w:pPr>
      <w:r>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сооружение общего маслоприемника.</w:t>
      </w:r>
    </w:p>
    <w:p>
      <w:pPr>
        <w:pStyle w:val="Normal"/>
        <w:ind w:firstLine="284"/>
        <w:jc w:val="both"/>
        <w:rPr/>
      </w:pPr>
      <w:r>
        <w:rPr/>
        <w:t>4.2.213. 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предусматривается установка токоограничивающего реактора.</w:t>
      </w:r>
    </w:p>
    <w:p>
      <w:pPr>
        <w:pStyle w:val="Normal"/>
        <w:ind w:firstLine="284"/>
        <w:jc w:val="both"/>
        <w:rPr/>
      </w:pPr>
      <w:r>
        <w:rPr/>
        <w:t>4.2.214. Автоматическими установками пожаротушения оснащаются:</w:t>
      </w:r>
    </w:p>
    <w:p>
      <w:pPr>
        <w:pStyle w:val="Normal"/>
        <w:ind w:firstLine="284"/>
        <w:jc w:val="both"/>
        <w:rPr/>
      </w:pPr>
      <w:r>
        <w:rPr/>
        <w:t>трансформаторы напряжением 500 - 750 кВ, независимо от мощности, а напряжением 220 - 330 кВ мощностью 250 МВ·А и более;</w:t>
      </w:r>
    </w:p>
    <w:p>
      <w:pPr>
        <w:pStyle w:val="Normal"/>
        <w:ind w:firstLine="284"/>
        <w:jc w:val="both"/>
        <w:rPr/>
      </w:pPr>
      <w:r>
        <w:rPr/>
        <w:t>трансформаторы напряжением 110 кВ и выше мощностью 63 МВ·А и более, устанавливаемые в камерах подстанций и у зданий ГЭС;</w:t>
      </w:r>
    </w:p>
    <w:p>
      <w:pPr>
        <w:pStyle w:val="Normal"/>
        <w:ind w:firstLine="284"/>
        <w:jc w:val="both"/>
        <w:rPr/>
      </w:pPr>
      <w:r>
        <w:rPr/>
        <w:t>трансформаторы напряжением 110 кВ и выше любой мощности, устанавливаемые в подземном здании ГЭС и ГАЭС.</w:t>
      </w:r>
    </w:p>
    <w:p>
      <w:pPr>
        <w:pStyle w:val="Normal"/>
        <w:ind w:firstLine="284"/>
        <w:jc w:val="both"/>
        <w:rPr/>
      </w:pPr>
      <w:r>
        <w:rPr/>
        <w:t>4.2.215. Пуск установки пожаротушения должен осуществляться автоматически, вручную и дистанционно со щита управления. Устройство ручного пуска должно располагаться вблизи установки в безопасном при пожаре месте.</w:t>
      </w:r>
    </w:p>
    <w:p>
      <w:pPr>
        <w:pStyle w:val="Normal"/>
        <w:ind w:firstLine="284"/>
        <w:jc w:val="both"/>
        <w:rPr/>
      </w:pPr>
      <w:r>
        <w:rPr/>
        <w:t>Включение установки пожаротушения группы однофазных трансформаторов должно производиться только на поврежденные фазы.</w:t>
      </w:r>
    </w:p>
    <w:p>
      <w:pPr>
        <w:pStyle w:val="Normal"/>
        <w:ind w:firstLine="284"/>
        <w:jc w:val="both"/>
        <w:rPr/>
      </w:pPr>
      <w:r>
        <w:rPr/>
        <w:t>4.2.216. Каждый масляный трансформатор, размещаемый внутри помещений следует устанавливать в отдельной камере (исключение 4.2.98), расположенной на первом этаже.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4.2.103, как для трансформаторов с объемом масла более 600 кг.</w:t>
      </w:r>
    </w:p>
    <w:p>
      <w:pPr>
        <w:pStyle w:val="Normal"/>
        <w:ind w:firstLine="284"/>
        <w:jc w:val="both"/>
        <w:rPr/>
      </w:pPr>
      <w:r>
        <w:rPr/>
        <w:t>При необходимости установки трансформаторов внутри помещений выше второго этажа или ниже пола первого этажа более чем на 1 м, они должны быть с негорючим экологически чистым диэлектриком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4.2.85.</w:t>
      </w:r>
    </w:p>
    <w:p>
      <w:pPr>
        <w:pStyle w:val="Normal"/>
        <w:ind w:firstLine="284"/>
        <w:jc w:val="both"/>
        <w:rPr/>
      </w:pPr>
      <w:r>
        <w:rP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как один агрегат.</w:t>
      </w:r>
    </w:p>
    <w:p>
      <w:pPr>
        <w:pStyle w:val="Normal"/>
        <w:ind w:firstLine="284"/>
        <w:jc w:val="both"/>
        <w:rPr/>
      </w:pPr>
      <w:r>
        <w:rPr/>
        <w:t>Сухие трансформаторы и имеющие негорючее заполнение устанавливаются в соответствии с 4.2.118.</w:t>
      </w:r>
    </w:p>
    <w:p>
      <w:pPr>
        <w:pStyle w:val="Normal"/>
        <w:ind w:firstLine="284"/>
        <w:jc w:val="both"/>
        <w:rPr/>
      </w:pPr>
      <w:r>
        <w:rPr/>
        <w:t>4.2.217. Для трансформаторов, устанавливаемых внутри помещений, расстояния в свету от наиболее выступающих частей трансформаторов, расположенных на высоте 1,9 м и менее от пола, должны быть:</w:t>
      </w:r>
    </w:p>
    <w:p>
      <w:pPr>
        <w:pStyle w:val="Normal"/>
        <w:ind w:firstLine="284"/>
        <w:jc w:val="both"/>
        <w:rPr/>
      </w:pPr>
      <w:r>
        <w:rPr/>
        <w:t>до задней и боковых стен не менее - 0,3 м для трансформаторов мощностью до 0,63 МВ·А и 0,6 м - для трансформаторов большей мощности;</w:t>
      </w:r>
    </w:p>
    <w:p>
      <w:pPr>
        <w:pStyle w:val="Normal"/>
        <w:ind w:firstLine="284"/>
        <w:jc w:val="both"/>
        <w:rPr/>
      </w:pPr>
      <w:r>
        <w:rPr/>
        <w:t>со стороны входа до полотна двери или выступающих частей стены не менее: 0,6 м - для трансформаторов мощностью до 0,63 МВ·А; 0,8 м - для трансформаторов до 1,6 МВ·А и 1 м - для трансформаторов мощностью более 1,6 МВ·А.</w:t>
      </w:r>
    </w:p>
    <w:p>
      <w:pPr>
        <w:pStyle w:val="Normal"/>
        <w:ind w:firstLine="284"/>
        <w:jc w:val="both"/>
        <w:rPr/>
      </w:pPr>
      <w:r>
        <w:rPr/>
        <w:t>4.2.218. Пол камер масляных трансформаторов должен иметь 2 %-ный уклон в сторону маслоприемника.</w:t>
      </w:r>
    </w:p>
    <w:p>
      <w:pPr>
        <w:pStyle w:val="Normal"/>
        <w:ind w:firstLine="284"/>
        <w:jc w:val="both"/>
        <w:rPr/>
      </w:pPr>
      <w:r>
        <w:rPr/>
        <w:t>4.2.219. В камерах трансформаторов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pPr>
        <w:pStyle w:val="Normal"/>
        <w:ind w:firstLine="284"/>
        <w:jc w:val="both"/>
        <w:rPr/>
      </w:pPr>
      <w:r>
        <w:rPr/>
        <w:t>4.2.220. Каждая камера масляных трансформаторов должна иметь отдельный выход наружу или в смежное помещение категорий Г или Д.</w:t>
      </w:r>
    </w:p>
    <w:p>
      <w:pPr>
        <w:pStyle w:val="Normal"/>
        <w:ind w:firstLine="284"/>
        <w:jc w:val="both"/>
        <w:rPr/>
      </w:pPr>
      <w:r>
        <w:rPr/>
        <w:t>4.2.221. 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1 м.</w:t>
      </w:r>
    </w:p>
    <w:p>
      <w:pPr>
        <w:pStyle w:val="Normal"/>
        <w:ind w:firstLine="284"/>
        <w:jc w:val="both"/>
        <w:rPr/>
      </w:pPr>
      <w:r>
        <w:rPr/>
        <w:t>Выкатка трансформаторов мощностью 0,25 МВ·А и более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p>
      <w:pPr>
        <w:pStyle w:val="Normal"/>
        <w:ind w:firstLine="284"/>
        <w:jc w:val="both"/>
        <w:rPr/>
      </w:pPr>
      <w:r>
        <w:rPr/>
        <w:t>4.2.222. Вентиляционная система камер трансформаторов должна обеспечивать отвод выделяемого ими тепла (4.2.104) и не должна быть связана с другими вентиляционными системами.</w:t>
      </w:r>
    </w:p>
    <w:p>
      <w:pPr>
        <w:pStyle w:val="Normal"/>
        <w:ind w:firstLine="284"/>
        <w:jc w:val="both"/>
        <w:rPr/>
      </w:pPr>
      <w:r>
        <w:rPr/>
        <w:t>Стенки вентиляционных каналов и шахт должны быть выполнены из материалов с пределом огнестойкости не менее 45 мин.</w:t>
      </w:r>
    </w:p>
    <w:p>
      <w:pPr>
        <w:pStyle w:val="Normal"/>
        <w:ind w:firstLine="284"/>
        <w:jc w:val="both"/>
        <w:rPr/>
      </w:pPr>
      <w:r>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pPr>
        <w:pStyle w:val="Normal"/>
        <w:ind w:firstLine="284"/>
        <w:jc w:val="both"/>
        <w:rPr/>
      </w:pPr>
      <w:r>
        <w:rPr/>
        <w:t>Вентиляционные проемы должны быть закрыты сетками с размером ячейки не более 1×1 см и защищены от попадания через них дождя и снега.</w:t>
      </w:r>
    </w:p>
    <w:p>
      <w:pPr>
        <w:pStyle w:val="Normal"/>
        <w:ind w:firstLine="284"/>
        <w:jc w:val="both"/>
        <w:rPr/>
      </w:pPr>
      <w:r>
        <w:rPr/>
        <w:t>4.2.223. Вытяжные шахты камер масляных трансформаторов, пристроенных к зданиям, имеющих кровлю из горючего материала, должны быть отнесены от стен здания не менее чем на 1,5 м или же конструкции кровли из горючего материала должны быть защищены парапетом из негорючего материала высотой не менее 0,6 м. Вывод шахт выше кровли здания в этом случае необязателен.</w:t>
      </w:r>
    </w:p>
    <w:p>
      <w:pPr>
        <w:pStyle w:val="Normal"/>
        <w:ind w:firstLine="284"/>
        <w:jc w:val="both"/>
        <w:rPr/>
      </w:pPr>
      <w:r>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pPr>
        <w:pStyle w:val="Normal"/>
        <w:ind w:firstLine="284"/>
        <w:jc w:val="both"/>
        <w:rPr/>
      </w:pPr>
      <w:r>
        <w:rPr/>
        <w:t>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0,7 м. Длина козырька должна быть более ширины окна не менее чем на 0,8 м в каждую сторону.</w:t>
      </w:r>
    </w:p>
    <w:p>
      <w:pPr>
        <w:pStyle w:val="Normal"/>
        <w:ind w:firstLine="284"/>
        <w:jc w:val="both"/>
        <w:rPr/>
      </w:pPr>
      <w:r>
        <w:rPr/>
        <w:t>4.2.224. 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pPr>
        <w:pStyle w:val="Normal"/>
        <w:ind w:firstLine="284"/>
        <w:jc w:val="both"/>
        <w:rPr/>
      </w:pPr>
      <w:r>
        <w:rPr/>
        <w:t>Автоматический пуск должен осуществляться в зависимости от температуры верхних слоев масла и, независимо от этого, по току нагрузки трансформатора.</w:t>
      </w:r>
    </w:p>
    <w:p>
      <w:pPr>
        <w:pStyle w:val="Normal"/>
        <w:ind w:firstLine="284"/>
        <w:jc w:val="both"/>
        <w:rPr/>
      </w:pPr>
      <w:r>
        <w:rPr/>
        <w:t>4.2.225. 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Поток воздуха от вентиляторов дутья не должен быть направлен на бак трансформатора.</w:t>
      </w:r>
    </w:p>
    <w:p>
      <w:pPr>
        <w:pStyle w:val="Normal"/>
        <w:ind w:firstLine="284"/>
        <w:jc w:val="both"/>
        <w:rPr/>
      </w:pPr>
      <w:r>
        <w:rPr/>
        <w:t>4.2.226.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pPr>
        <w:pStyle w:val="Normal"/>
        <w:ind w:firstLine="284"/>
        <w:jc w:val="both"/>
        <w:rPr/>
      </w:pPr>
      <w:r>
        <w:rPr/>
        <w:t>4.2.227. Охладительные колонки, адсорберы и другое оборудование, устанавливаемое в системе охлаждения Ц (OFWF), должны располагаться в помещении, температура в котором не снижается ниже + 5 °С.</w:t>
      </w:r>
    </w:p>
    <w:p>
      <w:pPr>
        <w:pStyle w:val="Normal"/>
        <w:ind w:firstLine="284"/>
        <w:jc w:val="both"/>
        <w:rPr/>
      </w:pPr>
      <w:r>
        <w:rPr/>
        <w:t>При этом должна быть обеспечена возможность замены адсорбента на месте.</w:t>
      </w:r>
    </w:p>
    <w:p>
      <w:pPr>
        <w:pStyle w:val="Normal"/>
        <w:ind w:firstLine="284"/>
        <w:jc w:val="both"/>
        <w:rPr/>
      </w:pPr>
      <w:r>
        <w:rPr/>
        <w:t>4.2.228. Внешние маслопроводы систем охлаждения ДЦ (OFАF) и Ц (OFWF) должны выполняться из нержавеющей стали или материалов, устойчивых против коррозии.</w:t>
      </w:r>
    </w:p>
    <w:p>
      <w:pPr>
        <w:pStyle w:val="Normal"/>
        <w:ind w:firstLine="284"/>
        <w:jc w:val="both"/>
        <w:rPr/>
      </w:pPr>
      <w:r>
        <w:rPr/>
        <w:t>Расположение маслопроводов около трансформатора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pPr>
        <w:pStyle w:val="Normal"/>
        <w:ind w:firstLine="284"/>
        <w:jc w:val="both"/>
        <w:rPr/>
      </w:pPr>
      <w:r>
        <w:rPr/>
        <w:t>4.2.229. 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pPr>
        <w:pStyle w:val="Normal"/>
        <w:ind w:firstLine="284"/>
        <w:jc w:val="both"/>
        <w:rPr/>
      </w:pPr>
      <w:r>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pPr>
        <w:pStyle w:val="Normal"/>
        <w:ind w:firstLine="284"/>
        <w:jc w:val="both"/>
        <w:rPr/>
      </w:pPr>
      <w:r>
        <w:rPr/>
        <w:t>4.2.230. Шкафы управления электродвигателями системы охлаждения ДЦ (OFAF), НДЦ (ODAF) и Ц (OFWF) должны устанавливаться за пределами маслоприемника. Допускается навешивание шкафа управления системой охлаждения Д (ONAF) на бак трансформатора, если шкаф рассчитан на работу в условиях вибрации, создаваемой трансформатором.</w:t>
      </w:r>
    </w:p>
    <w:p>
      <w:pPr>
        <w:pStyle w:val="Normal"/>
        <w:ind w:firstLine="284"/>
        <w:jc w:val="both"/>
        <w:rPr/>
      </w:pPr>
      <w:r>
        <w:rPr/>
        <w:t>4.2.231.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pPr>
        <w:pStyle w:val="Normal"/>
        <w:ind w:firstLine="284"/>
        <w:jc w:val="both"/>
        <w:rPr/>
      </w:pPr>
      <w:r>
        <w:rPr/>
        <w:t>4.2.232. Для шкафов приводов устройств регулирования 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pPr>
        <w:pStyle w:val="Normal"/>
        <w:ind w:firstLine="284"/>
        <w:jc w:val="both"/>
        <w:rPr/>
      </w:pPr>
      <w:r>
        <w:rPr/>
        <w:t>4.2.233. Планово-предупредительный ремонт трансформаторов на подстанциях следует предусматривать на месте их установки с помощью автокранов или (и) инвентарных устройств. При этом радом с каждым трансформатором должна быть предусмотрена площадка, рассчитанная на размещение элементов, снятых с ремонтируемого трансформатора, такелажной оснастки и оборудования, необходимого для ремонтных работ.</w:t>
      </w:r>
    </w:p>
    <w:p>
      <w:pPr>
        <w:pStyle w:val="Normal"/>
        <w:ind w:firstLine="284"/>
        <w:jc w:val="both"/>
        <w:rPr/>
      </w:pPr>
      <w:r>
        <w:rPr/>
        <w:t>В стесненных условиях ПС допускается предусматривать одну ремонтную площадку с сооружением к ней путей перекатки.</w:t>
      </w:r>
    </w:p>
    <w:p>
      <w:pPr>
        <w:pStyle w:val="Normal"/>
        <w:ind w:firstLine="284"/>
        <w:jc w:val="both"/>
        <w:rPr/>
      </w:pPr>
      <w:r>
        <w:rPr/>
        <w:t>На ПС, расположенных в удаленных и труднодоступных районах, следует предусматривать совмещенные порталы.</w:t>
      </w:r>
    </w:p>
    <w:p>
      <w:pPr>
        <w:pStyle w:val="Normal"/>
        <w:ind w:firstLine="284"/>
        <w:jc w:val="both"/>
        <w:rPr/>
      </w:pPr>
      <w:r>
        <w:rPr/>
        <w:t>На ПС напряжением 500 - 750 кВ, расположенных в районах со слаборазвитыми и ненадежными транспортными связями, а также на ОРУ электростанций при установке на них трансформаторов, если трансформаторы невозможно доставить на монтажную площадку 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маслохозяйства с коллектором для передвижных установок.</w:t>
      </w:r>
    </w:p>
    <w:p>
      <w:pPr>
        <w:pStyle w:val="Normal"/>
        <w:ind w:firstLine="284"/>
        <w:jc w:val="both"/>
        <w:rPr/>
      </w:pPr>
      <w:r>
        <w:rPr/>
        <w:t>Необходимость сооружения башни определяется заданием на проектирование.</w:t>
      </w:r>
    </w:p>
    <w:p>
      <w:pPr>
        <w:pStyle w:val="Normal"/>
        <w:ind w:firstLine="284"/>
        <w:jc w:val="both"/>
        <w:rPr/>
      </w:pPr>
      <w:r>
        <w:rPr/>
        <w:t>4.2.234.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p>
    <w:p>
      <w:pPr>
        <w:pStyle w:val="Normal"/>
        <w:ind w:firstLine="284"/>
        <w:jc w:val="both"/>
        <w:rPr/>
      </w:pPr>
      <w:r>
        <w:rPr/>
        <w:t>4.2.235. Грузоподъемность крана в трансформаторной башне должна быть рассчитана на массу съемной части бака трансформатора.</w:t>
      </w:r>
    </w:p>
    <w:p>
      <w:pPr>
        <w:pStyle w:val="Normal"/>
        <w:ind w:firstLine="284"/>
        <w:jc w:val="both"/>
        <w:rPr/>
      </w:pPr>
      <w:r>
        <w:rPr/>
        <w:t>4.2.236. Продольные пути перекатки трансформаторов на подстанциях должны предусматриваться:</w:t>
      </w:r>
    </w:p>
    <w:p>
      <w:pPr>
        <w:pStyle w:val="Normal"/>
        <w:ind w:firstLine="284"/>
        <w:jc w:val="both"/>
        <w:rPr/>
      </w:pPr>
      <w:r>
        <w:rPr/>
        <w:t>при наличии подъездной железной дороги;</w:t>
      </w:r>
    </w:p>
    <w:p>
      <w:pPr>
        <w:pStyle w:val="Normal"/>
        <w:ind w:firstLine="284"/>
        <w:jc w:val="both"/>
        <w:rPr/>
      </w:pPr>
      <w:r>
        <w:rPr/>
        <w:t>при наличии башни для ремонта трансформаторов;</w:t>
      </w:r>
    </w:p>
    <w:p>
      <w:pPr>
        <w:pStyle w:val="Normal"/>
        <w:ind w:firstLine="284"/>
        <w:jc w:val="both"/>
        <w:rPr/>
      </w:pPr>
      <w:r>
        <w:rPr/>
        <w:t>при аварийном вводе в работу резервной фазы автотрансформатора методом перекатки, если это обосновано в сравнении с другими способами.</w:t>
      </w:r>
    </w:p>
    <w:p>
      <w:pPr>
        <w:pStyle w:val="Heading1"/>
        <w:jc w:val="right"/>
        <w:rPr/>
      </w:pPr>
      <w:r>
        <w:rPr/>
        <w:t>ПРИЛОЖЕНИЕ</w:t>
      </w:r>
    </w:p>
    <w:p>
      <w:pPr>
        <w:pStyle w:val="Normal"/>
        <w:spacing w:before="120" w:after="120"/>
        <w:jc w:val="center"/>
        <w:rPr>
          <w:b/>
          <w:b/>
          <w:bCs/>
        </w:rPr>
      </w:pPr>
      <w:r>
        <w:rPr>
          <w:b/>
          <w:bCs/>
        </w:rPr>
        <w:t>СПРАВОЧНЫЙ МАТЕРИАЛ К ГЛАВЕ 4.2 ПУЭ. ПЕРЕЧЕНЬ ССЫЛОЧНЫХ НОРМАТИВНЫХ ДОКУМЕНТОВ</w:t>
      </w:r>
    </w:p>
    <w:p>
      <w:pPr>
        <w:pStyle w:val="Normal"/>
        <w:ind w:firstLine="284"/>
        <w:jc w:val="both"/>
        <w:rPr/>
      </w:pPr>
      <w:r>
        <w:rPr/>
        <w:t>В соответствии с правилами оформления нормативных документов в тексте гл. 4.2 приведены ссылки на строительные нормы и правила (СНиП), Государственные стандарты (ГОСТ) и Санитарные правила и нормы (СанПиН) в общем виде без указания их наименований.</w:t>
      </w:r>
    </w:p>
    <w:p>
      <w:pPr>
        <w:pStyle w:val="Normal"/>
        <w:spacing w:before="0" w:after="120"/>
        <w:ind w:firstLine="284"/>
        <w:jc w:val="both"/>
        <w:rPr/>
      </w:pPr>
      <w:r>
        <w:rPr/>
        <w:t>Для обеспечения удобства пользования гл. 4.2. и во избежание возникновения при этом ошибок ниже приводятся номера параграфов главы 4.2. и наименования и номера относящихся к ним СНиПов, ГОСТов и СанПиНов.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034"/>
        <w:gridCol w:w="8321"/>
      </w:tblGrid>
      <w:tr>
        <w:trPr>
          <w:tblHeader w:val="true"/>
        </w:trPr>
        <w:tc>
          <w:tcPr>
            <w:tcW w:w="1034"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overflowPunct w:val="false"/>
              <w:autoSpaceDE w:val="false"/>
              <w:jc w:val="center"/>
              <w:rPr/>
            </w:pPr>
            <w:r>
              <w:rPr/>
              <w:t>Параграф</w:t>
            </w:r>
          </w:p>
        </w:tc>
        <w:tc>
          <w:tcPr>
            <w:tcW w:w="8321"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overflowPunct w:val="false"/>
              <w:autoSpaceDE w:val="false"/>
              <w:jc w:val="center"/>
              <w:rPr/>
            </w:pPr>
            <w:r>
              <w:rPr/>
              <w:t>Нормативные документы</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4.2.54</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1516.3-96 «Электрооборудование переменного тока на напряжение от 1 до 750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4.2.72</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12.1.002-84 «Электрические поля промышленной частоты»</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4.2.73</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СанПиН 2.2.4.723-98 «Переменные магнитные поля промышленной частоты (50 Гц) в производственных условиях»</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4.2.80</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СанПиН 2.2.4.723-98 «Переменные магнитные поля промышленной частоты (50 ГЦ) в производственных условиях»</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4.2.94</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СНиП 21-01-97 «Пожарная безопасность зданий и сооружений»</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4.2.148</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1516.3-96 «Электрооборудование переменного тока на напряжение от 1 до 750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4.2.154</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номинальные напряжения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4.2.155</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4.2.160</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4.2.161</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4.2.162</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4.2.164</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r>
        <w:trPr/>
        <w:tc>
          <w:tcPr>
            <w:tcW w:w="1034" w:type="dxa"/>
            <w:tcBorders>
              <w:left w:val="single" w:sz="8" w:space="0" w:color="000000"/>
              <w:bottom w:val="single" w:sz="8" w:space="0" w:color="000000"/>
              <w:insideH w:val="single" w:sz="8" w:space="0" w:color="000000"/>
            </w:tcBorders>
            <w:shd w:fill="FFFFFF" w:val="clear"/>
          </w:tcPr>
          <w:p>
            <w:pPr>
              <w:pStyle w:val="Normal"/>
              <w:overflowPunct w:val="false"/>
              <w:autoSpaceDE w:val="false"/>
              <w:jc w:val="center"/>
              <w:rPr/>
            </w:pPr>
            <w:r>
              <w:rPr/>
              <w:t>4.2.165</w:t>
            </w:r>
          </w:p>
        </w:tc>
        <w:tc>
          <w:tcPr>
            <w:tcW w:w="832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overflowPunct w:val="false"/>
              <w:autoSpaceDE w:val="false"/>
              <w:jc w:val="both"/>
              <w:rPr/>
            </w:pPr>
            <w:r>
              <w:rPr/>
              <w:t>ГОСТ 16357-83 «Разрядники вентильные переменного тока на номинальное напряжение от 3,8 до 600 кВ»</w:t>
            </w:r>
          </w:p>
        </w:tc>
      </w:tr>
    </w:tbl>
    <w:p>
      <w:pPr>
        <w:pStyle w:val="Heading1"/>
        <w:rPr/>
      </w:pPr>
      <w:bookmarkStart w:id="19" w:name="_%D0%A0%D0%B0%D0%B7%D0%B4%D0%B5%D0%BB_6_"/>
      <w:bookmarkEnd w:id="19"/>
      <w:r>
        <w:rPr/>
        <w:t>Раздел 6 ЭЛЕКТРИЧЕСКОЕ ОСВЕЩЕНИЕ</w:t>
      </w:r>
    </w:p>
    <w:p>
      <w:pPr>
        <w:pStyle w:val="Normal"/>
        <w:jc w:val="right"/>
        <w:rPr/>
      </w:pPr>
      <w:r>
        <w:rPr/>
        <w:t>УТВЕРЖДЕНО</w:t>
      </w:r>
    </w:p>
    <w:p>
      <w:pPr>
        <w:pStyle w:val="Normal"/>
        <w:jc w:val="right"/>
        <w:rPr/>
      </w:pPr>
      <w:r>
        <w:rPr/>
        <w:t>Минтопэнерго России</w:t>
      </w:r>
    </w:p>
    <w:p>
      <w:pPr>
        <w:pStyle w:val="Normal"/>
        <w:jc w:val="right"/>
        <w:rPr/>
      </w:pPr>
      <w:r>
        <w:rPr/>
        <w:t>06 октября 1999 г.</w:t>
      </w:r>
    </w:p>
    <w:p>
      <w:pPr>
        <w:pStyle w:val="Heading2"/>
        <w:rPr/>
      </w:pPr>
      <w:bookmarkStart w:id="20" w:name="_%D0%93%D0%BB%D0%B0%D0%B2%D0%B0_6.1_%D0%"/>
      <w:bookmarkEnd w:id="20"/>
      <w:r>
        <w:rPr/>
        <w:t>Глава 6.1 ОБЩАЯ ЧАСТЬ</w:t>
      </w:r>
    </w:p>
    <w:p>
      <w:pPr>
        <w:pStyle w:val="Heading3"/>
        <w:rPr/>
      </w:pPr>
      <w:r>
        <w:rPr/>
        <w:t>Область применения. Определения</w:t>
      </w:r>
    </w:p>
    <w:p>
      <w:pPr>
        <w:pStyle w:val="Normal"/>
        <w:ind w:firstLine="284"/>
        <w:jc w:val="both"/>
        <w:rPr/>
      </w:pPr>
      <w:r>
        <w:rPr>
          <w:b/>
          <w:bCs/>
        </w:rPr>
        <w:t>6.1.1.</w:t>
      </w:r>
      <w:r>
        <w:rPr/>
        <w:t xml:space="preserve">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pPr>
        <w:pStyle w:val="Normal"/>
        <w:ind w:firstLine="284"/>
        <w:jc w:val="both"/>
        <w:rPr/>
      </w:pPr>
      <w:r>
        <w:rPr>
          <w:b/>
          <w:bCs/>
        </w:rPr>
        <w:t>6.1.2.</w:t>
      </w:r>
      <w:r>
        <w:rPr/>
        <w:t xml:space="preserve">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разд. 7.</w:t>
      </w:r>
    </w:p>
    <w:p>
      <w:pPr>
        <w:pStyle w:val="Normal"/>
        <w:ind w:firstLine="284"/>
        <w:jc w:val="both"/>
        <w:rPr/>
      </w:pPr>
      <w:r>
        <w:rPr>
          <w:b/>
          <w:bCs/>
        </w:rPr>
        <w:t>6.1.3.</w:t>
      </w:r>
      <w:r>
        <w:rPr/>
        <w:t xml:space="preserve"> </w:t>
      </w:r>
      <w:r>
        <w:rPr>
          <w:spacing w:val="20"/>
        </w:rPr>
        <w:t>Питающая осветительная сеть</w:t>
      </w:r>
      <w:r>
        <w:rPr/>
        <w:t xml:space="preserve"> - сеть от распределительного устройства подстанции или ответвления от воздушных линий электропередачи до ВУ, ВРУ, ГРЩ.</w:t>
      </w:r>
    </w:p>
    <w:p>
      <w:pPr>
        <w:pStyle w:val="Normal"/>
        <w:ind w:firstLine="284"/>
        <w:jc w:val="both"/>
        <w:rPr/>
      </w:pPr>
      <w:r>
        <w:rPr>
          <w:b/>
          <w:bCs/>
        </w:rPr>
        <w:t>6.1.4.</w:t>
      </w:r>
      <w:r>
        <w:rPr/>
        <w:t xml:space="preserve"> </w:t>
      </w:r>
      <w:r>
        <w:rPr>
          <w:spacing w:val="20"/>
        </w:rPr>
        <w:t>Распределительная сеть</w:t>
      </w:r>
      <w:r>
        <w:rPr/>
        <w:t xml:space="preserve"> - сеть от ВУ, ВРУ, ГРЩ до распределительных пунктов, щитков и пунктов питания наружного освещения.</w:t>
      </w:r>
    </w:p>
    <w:p>
      <w:pPr>
        <w:pStyle w:val="Normal"/>
        <w:ind w:firstLine="284"/>
        <w:jc w:val="both"/>
        <w:rPr/>
      </w:pPr>
      <w:r>
        <w:rPr>
          <w:b/>
          <w:bCs/>
        </w:rPr>
        <w:t>6.1.5.</w:t>
      </w:r>
      <w:r>
        <w:rPr/>
        <w:t xml:space="preserve"> </w:t>
      </w:r>
      <w:r>
        <w:rPr>
          <w:spacing w:val="20"/>
        </w:rPr>
        <w:t>Групповая сеть</w:t>
      </w:r>
      <w:r>
        <w:rPr/>
        <w:t xml:space="preserve"> - сеть от щитков до светильников, штепсельных розеток и других электроприемников.</w:t>
      </w:r>
    </w:p>
    <w:p>
      <w:pPr>
        <w:pStyle w:val="Normal"/>
        <w:ind w:firstLine="284"/>
        <w:jc w:val="both"/>
        <w:rPr/>
      </w:pPr>
      <w:r>
        <w:rPr>
          <w:b/>
          <w:bCs/>
        </w:rPr>
        <w:t>6.1.6.</w:t>
      </w:r>
      <w:r>
        <w:rPr/>
        <w:t xml:space="preserve"> </w:t>
      </w:r>
      <w:r>
        <w:rPr>
          <w:spacing w:val="20"/>
        </w:rPr>
        <w:t>Пункт питания наружного освещения</w:t>
      </w:r>
      <w:r>
        <w:rPr/>
        <w:t xml:space="preserve"> - электрическое распределительное устройство для присоединения групповой сети наружного освещения к источнику питания.</w:t>
      </w:r>
    </w:p>
    <w:p>
      <w:pPr>
        <w:pStyle w:val="Normal"/>
        <w:ind w:firstLine="284"/>
        <w:jc w:val="both"/>
        <w:rPr/>
      </w:pPr>
      <w:r>
        <w:rPr>
          <w:b/>
          <w:bCs/>
        </w:rPr>
        <w:t>6.1.7.</w:t>
      </w:r>
      <w:r>
        <w:rPr/>
        <w:t xml:space="preserve"> </w:t>
      </w:r>
      <w:r>
        <w:rPr>
          <w:spacing w:val="20"/>
        </w:rPr>
        <w:t>Фаза ночного режима</w:t>
      </w:r>
      <w:r>
        <w:rPr/>
        <w:t xml:space="preserve"> - фаза питающей или распределительной сети наружного освещения, не отключаемая в ночные часы.</w:t>
      </w:r>
    </w:p>
    <w:p>
      <w:pPr>
        <w:pStyle w:val="Normal"/>
        <w:ind w:firstLine="284"/>
        <w:jc w:val="both"/>
        <w:rPr/>
      </w:pPr>
      <w:r>
        <w:rPr>
          <w:b/>
          <w:bCs/>
        </w:rPr>
        <w:t>6.1.8.</w:t>
      </w:r>
      <w:r>
        <w:rPr/>
        <w:t xml:space="preserve"> </w:t>
      </w:r>
      <w:r>
        <w:rPr>
          <w:spacing w:val="20"/>
        </w:rPr>
        <w:t>Каскадная система управления наружным освещением</w:t>
      </w:r>
      <w:r>
        <w:rPr/>
        <w:t xml:space="preserve"> - система, осуществляющая последовательное включение (отключение) участков групповой сети наружного освещения.</w:t>
      </w:r>
    </w:p>
    <w:p>
      <w:pPr>
        <w:pStyle w:val="Normal"/>
        <w:ind w:firstLine="284"/>
        <w:jc w:val="both"/>
        <w:rPr/>
      </w:pPr>
      <w:r>
        <w:rPr>
          <w:b/>
          <w:bCs/>
        </w:rPr>
        <w:t>6.1.9.</w:t>
      </w:r>
      <w:r>
        <w:rPr/>
        <w:t xml:space="preserve"> </w:t>
      </w:r>
      <w:r>
        <w:rPr>
          <w:spacing w:val="20"/>
        </w:rPr>
        <w:t>Провода зарядки светильника</w:t>
      </w:r>
      <w:r>
        <w:rPr/>
        <w:t xml:space="preserve">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pPr>
        <w:pStyle w:val="Heading3"/>
        <w:rPr/>
      </w:pPr>
      <w:r>
        <w:rPr/>
        <w:t>Общие требования</w:t>
      </w:r>
    </w:p>
    <w:p>
      <w:pPr>
        <w:pStyle w:val="Normal"/>
        <w:ind w:firstLine="284"/>
        <w:jc w:val="both"/>
        <w:rPr/>
      </w:pPr>
      <w:r>
        <w:rPr>
          <w:b/>
          <w:bCs/>
        </w:rPr>
        <w:t>6.1.10.</w:t>
      </w:r>
      <w:r>
        <w:rP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СНиП 23-05-95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pPr>
        <w:pStyle w:val="Normal"/>
        <w:ind w:firstLine="284"/>
        <w:jc w:val="both"/>
        <w:rPr/>
      </w:pPr>
      <w:r>
        <w:rPr/>
        <w:t>Светильники должны соответствовать требованиям норм пожарной безопасности НПБ 249-97 «Светильники. Требования пожарной безопасности. Методы испытаний».</w:t>
      </w:r>
    </w:p>
    <w:p>
      <w:pPr>
        <w:pStyle w:val="Normal"/>
        <w:ind w:firstLine="284"/>
        <w:jc w:val="both"/>
        <w:rPr/>
      </w:pPr>
      <w:r>
        <w:rPr>
          <w:b/>
          <w:bCs/>
        </w:rPr>
        <w:t>6.1.11.</w:t>
      </w:r>
      <w:r>
        <w:rPr/>
        <w:t xml:space="preserve"> Для электрического освещения следует, как правило, применять разрядные лампы низкого давления (например</w:t>
      </w:r>
      <w:r>
        <w:rPr>
          <w:rFonts w:cs="Symbol" w:ascii="Symbol" w:hAnsi="Symbol"/>
        </w:rPr>
        <w:t></w:t>
      </w:r>
      <w:r>
        <w:rPr/>
        <w:t xml:space="preserve">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pPr>
        <w:pStyle w:val="Normal"/>
        <w:ind w:firstLine="284"/>
        <w:jc w:val="both"/>
        <w:rPr/>
      </w:pPr>
      <w:r>
        <w:rP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pPr>
        <w:pStyle w:val="Normal"/>
        <w:ind w:firstLine="284"/>
        <w:jc w:val="both"/>
        <w:rPr/>
      </w:pPr>
      <w:r>
        <w:rPr/>
        <w:t>При применении люминесцентных ламп в осветительных установках должны соблюдаться следующие условия для обычного исполнения светильников:</w:t>
      </w:r>
    </w:p>
    <w:p>
      <w:pPr>
        <w:pStyle w:val="Normal"/>
        <w:ind w:firstLine="284"/>
        <w:jc w:val="both"/>
        <w:rPr/>
      </w:pPr>
      <w:r>
        <w:rPr/>
        <w:t>1. Температура окружающей среды не должна быть ниже 5 °С.</w:t>
      </w:r>
    </w:p>
    <w:p>
      <w:pPr>
        <w:pStyle w:val="Normal"/>
        <w:ind w:firstLine="284"/>
        <w:jc w:val="both"/>
        <w:rPr/>
      </w:pPr>
      <w:r>
        <w:rPr/>
        <w:t>2. Напряжение у осветительных приборов должно быть не менее 90 % номинального.</w:t>
      </w:r>
    </w:p>
    <w:p>
      <w:pPr>
        <w:pStyle w:val="Normal"/>
        <w:ind w:firstLine="284"/>
        <w:jc w:val="both"/>
        <w:rPr/>
      </w:pPr>
      <w:r>
        <w:rPr>
          <w:b/>
          <w:bCs/>
        </w:rPr>
        <w:t>6.1.12.</w:t>
      </w:r>
      <w:r>
        <w:rPr/>
        <w:t xml:space="preserve"> Для аварийного освещения рекомендуется применять светильники с лампами накаливания или люминесцентными.</w:t>
      </w:r>
    </w:p>
    <w:p>
      <w:pPr>
        <w:pStyle w:val="Normal"/>
        <w:ind w:firstLine="284"/>
        <w:jc w:val="both"/>
        <w:rPr/>
      </w:pPr>
      <w:r>
        <w:rPr/>
        <w:t>Разрядные лампы высокого давления допускается использовать при обеспечении их мгновенного зажигания и перезажигания.</w:t>
      </w:r>
    </w:p>
    <w:p>
      <w:pPr>
        <w:pStyle w:val="Normal"/>
        <w:ind w:firstLine="284"/>
        <w:jc w:val="both"/>
        <w:rPr/>
      </w:pPr>
      <w:r>
        <w:rPr>
          <w:b/>
          <w:bCs/>
        </w:rPr>
        <w:t>6.1.13.</w:t>
      </w:r>
      <w:r>
        <w:rPr/>
        <w:t xml:space="preserve">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pPr>
        <w:pStyle w:val="Normal"/>
        <w:ind w:firstLine="284"/>
        <w:jc w:val="both"/>
        <w:rPr/>
      </w:pPr>
      <w:r>
        <w:rP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pPr>
        <w:pStyle w:val="Normal"/>
        <w:ind w:firstLine="284"/>
        <w:jc w:val="both"/>
        <w:rPr/>
      </w:pPr>
      <w:r>
        <w:rP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pPr>
        <w:pStyle w:val="Normal"/>
        <w:ind w:firstLine="284"/>
        <w:jc w:val="both"/>
        <w:rPr/>
      </w:pPr>
      <w:r>
        <w:rPr/>
        <w:t>2. Ввод в осветительный прибор двух или трех проводов разных фаз системы 660/380 В не допускается.</w:t>
      </w:r>
    </w:p>
    <w:p>
      <w:pPr>
        <w:pStyle w:val="Normal"/>
        <w:ind w:firstLine="284"/>
        <w:jc w:val="both"/>
        <w:rPr/>
      </w:pPr>
      <w:r>
        <w:rPr>
          <w:b/>
          <w:bCs/>
        </w:rPr>
        <w:t>6.1.14.</w:t>
      </w:r>
      <w:r>
        <w:rPr/>
        <w:t xml:space="preserve">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(УЗО) с током срабатывания до 30 мА.</w:t>
      </w:r>
    </w:p>
    <w:p>
      <w:pPr>
        <w:pStyle w:val="Normal"/>
        <w:ind w:firstLine="284"/>
        <w:jc w:val="both"/>
        <w:rPr/>
      </w:pPr>
      <w:r>
        <w:rPr/>
        <w:t>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pPr>
        <w:pStyle w:val="Normal"/>
        <w:ind w:firstLine="284"/>
        <w:jc w:val="both"/>
        <w:rPr/>
      </w:pPr>
      <w:r>
        <w:rPr>
          <w:b/>
          <w:bCs/>
        </w:rPr>
        <w:t>6.1.15.</w:t>
      </w:r>
      <w:r>
        <w:rPr/>
        <w:t xml:space="preserve">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может применяться напряжение до 380 В при степени защиты осветительных приборов не ниже IР54.</w:t>
      </w:r>
    </w:p>
    <w:p>
      <w:pPr>
        <w:pStyle w:val="Normal"/>
        <w:ind w:firstLine="284"/>
        <w:jc w:val="both"/>
        <w:rPr/>
      </w:pPr>
      <w:r>
        <w:rP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pPr>
        <w:pStyle w:val="Normal"/>
        <w:ind w:firstLine="284"/>
        <w:jc w:val="both"/>
        <w:rPr/>
      </w:pPr>
      <w:r>
        <w:rPr>
          <w:b/>
          <w:bCs/>
        </w:rPr>
        <w:t>6.1.16.</w:t>
      </w:r>
      <w:r>
        <w:rPr/>
        <w:t xml:space="preserve">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pPr>
        <w:pStyle w:val="Normal"/>
        <w:ind w:firstLine="284"/>
        <w:jc w:val="both"/>
        <w:rPr/>
      </w:pPr>
      <w:r>
        <w:rP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pPr>
        <w:pStyle w:val="Normal"/>
        <w:ind w:firstLine="284"/>
        <w:jc w:val="both"/>
        <w:rPr/>
      </w:pPr>
      <w:r>
        <w:rP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pPr>
        <w:pStyle w:val="Normal"/>
        <w:ind w:firstLine="284"/>
        <w:jc w:val="both"/>
        <w:rPr/>
      </w:pPr>
      <w:r>
        <w:rPr>
          <w:b/>
          <w:bCs/>
        </w:rPr>
        <w:t>6.1.17.</w:t>
      </w:r>
      <w:r>
        <w:rPr/>
        <w:t xml:space="preserve"> Для питания переносных светильников в помещениях с повышенной опасностью и особо опасных должно применяться напряжение не выше 50 В.</w:t>
      </w:r>
    </w:p>
    <w:p>
      <w:pPr>
        <w:pStyle w:val="Normal"/>
        <w:ind w:firstLine="284"/>
        <w:jc w:val="both"/>
        <w:rPr/>
      </w:pPr>
      <w:r>
        <w:rP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pPr>
        <w:pStyle w:val="Normal"/>
        <w:ind w:firstLine="284"/>
        <w:jc w:val="both"/>
        <w:rPr/>
      </w:pPr>
      <w:r>
        <w:rPr/>
        <w:t>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(п. 6.1.16).</w:t>
      </w:r>
    </w:p>
    <w:p>
      <w:pPr>
        <w:pStyle w:val="Normal"/>
        <w:ind w:firstLine="284"/>
        <w:jc w:val="both"/>
        <w:rPr/>
      </w:pPr>
      <w:r>
        <w:rPr/>
        <w:t>Для переносных светильников, устанавливаемых на переставных стойках на высоте 2,5 ми более, допускается применять напряжение до 380 В.</w:t>
      </w:r>
    </w:p>
    <w:p>
      <w:pPr>
        <w:pStyle w:val="Normal"/>
        <w:ind w:firstLine="284"/>
        <w:jc w:val="both"/>
        <w:rPr/>
      </w:pPr>
      <w:r>
        <w:rPr>
          <w:b/>
          <w:bCs/>
        </w:rPr>
        <w:t>6.1.18.</w:t>
      </w:r>
      <w:r>
        <w:rPr/>
        <w:t xml:space="preserve"> Питание светильников напряжением до 50 В должно производиться от разделяющих трансформаторов или автономных источников питания.</w:t>
      </w:r>
    </w:p>
    <w:p>
      <w:pPr>
        <w:pStyle w:val="Normal"/>
        <w:ind w:firstLine="284"/>
        <w:jc w:val="both"/>
        <w:rPr/>
      </w:pPr>
      <w:r>
        <w:rPr>
          <w:b/>
          <w:bCs/>
        </w:rPr>
        <w:t>6.1.19.</w:t>
      </w:r>
      <w:r>
        <w:rPr/>
        <w:t xml:space="preserve"> Допустимые отклонения и колебания напряжения у осветительных приборов не должны превышать указанных в ГОСТ 13109-87 «Электрическая энергия. Требования к качеству электрической энергии в электрических сетях общего назначения».</w:t>
      </w:r>
    </w:p>
    <w:p>
      <w:pPr>
        <w:pStyle w:val="Normal"/>
        <w:ind w:firstLine="284"/>
        <w:jc w:val="both"/>
        <w:rPr/>
      </w:pPr>
      <w:r>
        <w:rPr>
          <w:b/>
          <w:bCs/>
        </w:rPr>
        <w:t>6.1.20.</w:t>
      </w:r>
      <w:r>
        <w:rPr/>
        <w:t xml:space="preserve">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п. 6.1.19.</w:t>
      </w:r>
    </w:p>
    <w:p>
      <w:pPr>
        <w:pStyle w:val="Heading3"/>
        <w:rPr/>
      </w:pPr>
      <w:bookmarkStart w:id="21" w:name="_%D0%90%D0%B2%D0%B0%D1%80%D0%B8%D0%B9%D0"/>
      <w:bookmarkEnd w:id="21"/>
      <w:r>
        <w:rPr/>
        <w:t>Аварийное освещение</w:t>
      </w:r>
    </w:p>
    <w:p>
      <w:pPr>
        <w:pStyle w:val="Normal"/>
        <w:ind w:firstLine="284"/>
        <w:jc w:val="both"/>
        <w:rPr/>
      </w:pPr>
      <w:r>
        <w:rPr>
          <w:b/>
          <w:bCs/>
        </w:rPr>
        <w:t>6.1.21.</w:t>
      </w:r>
      <w:r>
        <w:rPr/>
        <w:t xml:space="preserve"> Аварийное освещение разделяется на освещение безопасности и эвакуационное.</w:t>
      </w:r>
    </w:p>
    <w:p>
      <w:pPr>
        <w:pStyle w:val="Normal"/>
        <w:ind w:firstLine="284"/>
        <w:jc w:val="both"/>
        <w:rPr/>
      </w:pPr>
      <w:r>
        <w:rPr/>
        <w:t>Освещение безопасности предназначено для продолжения работы при аварийном отключении рабочего освещения.</w:t>
      </w:r>
    </w:p>
    <w:p>
      <w:pPr>
        <w:pStyle w:val="Normal"/>
        <w:ind w:firstLine="284"/>
        <w:jc w:val="both"/>
        <w:rPr/>
      </w:pPr>
      <w:r>
        <w:rP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pPr>
        <w:pStyle w:val="Normal"/>
        <w:ind w:firstLine="284"/>
        <w:jc w:val="both"/>
        <w:rPr/>
      </w:pPr>
      <w:r>
        <w:rPr>
          <w:b/>
          <w:bCs/>
        </w:rPr>
        <w:t>6.1.22.</w:t>
      </w:r>
      <w:r>
        <w:rPr/>
        <w:t xml:space="preserve">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pPr>
        <w:pStyle w:val="Normal"/>
        <w:ind w:firstLine="284"/>
        <w:jc w:val="both"/>
        <w:rPr/>
      </w:pPr>
      <w:r>
        <w:rPr>
          <w:b/>
          <w:bCs/>
        </w:rPr>
        <w:t>6.1.23.</w:t>
      </w:r>
      <w:r>
        <w:rPr/>
        <w:t xml:space="preserve">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(п. 6.1.21).</w:t>
      </w:r>
    </w:p>
    <w:p>
      <w:pPr>
        <w:pStyle w:val="Normal"/>
        <w:ind w:firstLine="284"/>
        <w:jc w:val="both"/>
        <w:rPr/>
      </w:pPr>
      <w:r>
        <w:rPr/>
        <w:t>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pPr>
        <w:pStyle w:val="Normal"/>
        <w:ind w:firstLine="284"/>
        <w:jc w:val="both"/>
        <w:rPr/>
      </w:pPr>
      <w:r>
        <w:rPr>
          <w:b/>
          <w:bCs/>
        </w:rPr>
        <w:t>6.1.24.</w:t>
      </w:r>
      <w:r>
        <w:rPr/>
        <w:t xml:space="preserve">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p>
      <w:pPr>
        <w:pStyle w:val="Normal"/>
        <w:ind w:firstLine="284"/>
        <w:jc w:val="both"/>
        <w:rPr/>
      </w:pPr>
      <w:r>
        <w:rPr>
          <w:b/>
          <w:bCs/>
        </w:rPr>
        <w:t>6.1.25.</w:t>
      </w:r>
      <w:r>
        <w:rPr/>
        <w:t xml:space="preserve">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pPr>
        <w:pStyle w:val="Normal"/>
        <w:ind w:firstLine="284"/>
        <w:jc w:val="both"/>
        <w:rPr/>
      </w:pPr>
      <w:r>
        <w:rPr>
          <w:b/>
          <w:bCs/>
        </w:rPr>
        <w:t>6.1.26.</w:t>
      </w:r>
      <w:r>
        <w:rPr/>
        <w:t xml:space="preserve">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p>
      <w:pPr>
        <w:pStyle w:val="Normal"/>
        <w:ind w:firstLine="284"/>
        <w:jc w:val="both"/>
        <w:rPr/>
      </w:pPr>
      <w:r>
        <w:rPr>
          <w:b/>
          <w:bCs/>
        </w:rPr>
        <w:t>6.1.27.</w:t>
      </w:r>
      <w:r>
        <w:rPr/>
        <w:t xml:space="preserve">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w:t>
      </w:r>
    </w:p>
    <w:p>
      <w:pPr>
        <w:pStyle w:val="Normal"/>
        <w:ind w:firstLine="284"/>
        <w:jc w:val="both"/>
        <w:rPr/>
      </w:pPr>
      <w:r>
        <w:rPr/>
        <w:t>Разрешается питание освещения безопасности и эвакуационного освещения от общих щитков.</w:t>
      </w:r>
    </w:p>
    <w:p>
      <w:pPr>
        <w:pStyle w:val="Normal"/>
        <w:ind w:firstLine="284"/>
        <w:jc w:val="both"/>
        <w:rPr/>
      </w:pPr>
      <w:r>
        <w:rPr>
          <w:b/>
          <w:bCs/>
        </w:rPr>
        <w:t>6.1.28.</w:t>
      </w:r>
      <w:r>
        <w:rP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pPr>
        <w:pStyle w:val="Normal"/>
        <w:ind w:firstLine="284"/>
        <w:jc w:val="both"/>
        <w:rPr/>
      </w:pPr>
      <w:r>
        <w:rPr>
          <w:b/>
          <w:bCs/>
        </w:rPr>
        <w:t>6.1.29.</w:t>
      </w:r>
      <w:r>
        <w:rPr/>
        <w:t xml:space="preserve">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w:t>
      </w:r>
      <w:r>
        <w:rPr>
          <w:vertAlign w:val="superscript"/>
        </w:rPr>
        <w:t>2</w:t>
      </w:r>
      <w:r>
        <w:rPr/>
        <w:t>).</w:t>
      </w:r>
    </w:p>
    <w:p>
      <w:pPr>
        <w:pStyle w:val="Heading3"/>
        <w:rPr/>
      </w:pPr>
      <w:bookmarkStart w:id="22" w:name="_%D0%92%D1%8B%D0%BF%D0%BE%D0%BB%D0%BD%D0"/>
      <w:bookmarkEnd w:id="22"/>
      <w:r>
        <w:rPr/>
        <w:t>Выполнение и защита осветительных сетей</w:t>
      </w:r>
    </w:p>
    <w:p>
      <w:pPr>
        <w:pStyle w:val="Normal"/>
        <w:ind w:firstLine="284"/>
        <w:jc w:val="both"/>
        <w:rPr/>
      </w:pPr>
      <w:r>
        <w:rPr>
          <w:b/>
          <w:bCs/>
        </w:rPr>
        <w:t>6.1.30.</w:t>
      </w:r>
      <w:r>
        <w:rPr/>
        <w:t xml:space="preserve"> Осветительные сети должны быть выполнены в соответствии с требованиями гл. 2.1-2.4, а также дополнительными требованиями, приведенными в гл. 6.2-6.4 и 7.1-7.4.</w:t>
      </w:r>
    </w:p>
    <w:p>
      <w:pPr>
        <w:pStyle w:val="Normal"/>
        <w:ind w:firstLine="284"/>
        <w:jc w:val="both"/>
        <w:rPr/>
      </w:pPr>
      <w:r>
        <w:rPr>
          <w:b/>
          <w:bCs/>
        </w:rPr>
        <w:t>6.1.31.</w:t>
      </w:r>
      <w:r>
        <w:rPr/>
        <w:t xml:space="preserve">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pPr>
        <w:pStyle w:val="Normal"/>
        <w:ind w:firstLine="284"/>
        <w:jc w:val="both"/>
        <w:rPr/>
      </w:pPr>
      <w:r>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pPr>
        <w:pStyle w:val="Normal"/>
        <w:ind w:firstLine="284"/>
        <w:jc w:val="both"/>
        <w:rPr/>
      </w:pPr>
      <w:r>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Pr>
          <w:vertAlign w:val="superscript"/>
        </w:rPr>
        <w:t>2</w:t>
      </w:r>
      <w:r>
        <w:rPr/>
        <w:t xml:space="preserve"> для медных и 25 мм</w:t>
      </w:r>
      <w:r>
        <w:rPr>
          <w:vertAlign w:val="superscript"/>
        </w:rPr>
        <w:t>2</w:t>
      </w:r>
      <w:r>
        <w:rPr/>
        <w:t xml:space="preserve"> для алюминиевых проводов и не менее 50 % сечения фазных проводников при больших сечениях, но не менее 16 мм</w:t>
      </w:r>
      <w:r>
        <w:rPr>
          <w:vertAlign w:val="superscript"/>
        </w:rPr>
        <w:t>2</w:t>
      </w:r>
      <w:r>
        <w:rPr/>
        <w:t xml:space="preserve"> для медных и 25 мм</w:t>
      </w:r>
      <w:r>
        <w:rPr>
          <w:vertAlign w:val="superscript"/>
        </w:rPr>
        <w:t>2</w:t>
      </w:r>
      <w:r>
        <w:rPr/>
        <w:t xml:space="preserve"> для алюминиевых проводов.</w:t>
      </w:r>
    </w:p>
    <w:p>
      <w:pPr>
        <w:pStyle w:val="Normal"/>
        <w:ind w:firstLine="284"/>
        <w:jc w:val="both"/>
        <w:rPr/>
      </w:pPr>
      <w:r>
        <w:rPr>
          <w:b/>
          <w:bCs/>
        </w:rPr>
        <w:t>6.1.32.</w:t>
      </w:r>
      <w:r>
        <w:rPr/>
        <w:t xml:space="preserve">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pPr>
        <w:pStyle w:val="Normal"/>
        <w:ind w:firstLine="284"/>
        <w:jc w:val="both"/>
        <w:rPr/>
      </w:pPr>
      <w:r>
        <w:rPr>
          <w:b/>
          <w:bCs/>
        </w:rPr>
        <w:t>6.1.33.</w:t>
      </w:r>
      <w:r>
        <w:rPr/>
        <w:t xml:space="preserve"> Защита осветительных сетей должна выполняться в соответствии с требованиями гл. 3.1 с дополнениями, приведенными в пп. 6.1.34-6.1.35, 6.2.9-6.2.11, 6.3.40, 6.4.10.</w:t>
      </w:r>
    </w:p>
    <w:p>
      <w:pPr>
        <w:pStyle w:val="Normal"/>
        <w:ind w:firstLine="284"/>
        <w:jc w:val="both"/>
        <w:rPr/>
      </w:pPr>
      <w:r>
        <w:rPr/>
        <w:t>При выборе токов аппаратов защиты должны учитываться пусковые токи при включении мощных ламп накаливания и ламп ДРЛ, ДРИ, ДРИЗ, ДНаТ.</w:t>
      </w:r>
    </w:p>
    <w:p>
      <w:pPr>
        <w:pStyle w:val="Normal"/>
        <w:ind w:firstLine="284"/>
        <w:jc w:val="both"/>
        <w:rPr/>
      </w:pPr>
      <w:r>
        <w:rP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(п. 6.2.7).</w:t>
      </w:r>
    </w:p>
    <w:p>
      <w:pPr>
        <w:pStyle w:val="Normal"/>
        <w:ind w:firstLine="284"/>
        <w:jc w:val="both"/>
        <w:rPr/>
      </w:pPr>
      <w:r>
        <w:rPr>
          <w:b/>
          <w:bCs/>
        </w:rPr>
        <w:t>6.1.34.</w:t>
      </w:r>
      <w:r>
        <w:rPr/>
        <w:t xml:space="preserve"> Аппараты защиты независимо от требований пп. 6.2.7 и 6.2.8 в питающей осветительной сети следует устанавливать на вводах в здания.</w:t>
      </w:r>
    </w:p>
    <w:p>
      <w:pPr>
        <w:pStyle w:val="Normal"/>
        <w:ind w:firstLine="284"/>
        <w:jc w:val="both"/>
        <w:rPr/>
      </w:pPr>
      <w:r>
        <w:rPr>
          <w:b/>
          <w:bCs/>
        </w:rPr>
        <w:t>6.1.35.</w:t>
      </w:r>
      <w:r>
        <w:rPr/>
        <w:t xml:space="preserve">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pPr>
        <w:pStyle w:val="Normal"/>
        <w:ind w:firstLine="284"/>
        <w:jc w:val="both"/>
        <w:rPr/>
      </w:pPr>
      <w:r>
        <w:rP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pPr>
        <w:pStyle w:val="Normal"/>
        <w:ind w:firstLine="284"/>
        <w:jc w:val="both"/>
        <w:rPr/>
      </w:pPr>
      <w:r>
        <w:rPr>
          <w:b/>
          <w:bCs/>
        </w:rPr>
        <w:t>6.1.36.</w:t>
      </w:r>
      <w:r>
        <w:rPr/>
        <w:t xml:space="preserve">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pPr>
        <w:pStyle w:val="Heading3"/>
        <w:rPr/>
      </w:pPr>
      <w:bookmarkStart w:id="23" w:name="_%D0%97%D0%B0%D1%89%D0%B8%D1%82%D0%BD%D1"/>
      <w:bookmarkEnd w:id="23"/>
      <w:r>
        <w:rPr/>
        <w:t>Защитные меры безопасности</w:t>
      </w:r>
    </w:p>
    <w:p>
      <w:pPr>
        <w:pStyle w:val="Normal"/>
        <w:ind w:firstLine="284"/>
        <w:jc w:val="both"/>
        <w:rPr/>
      </w:pPr>
      <w:r>
        <w:rPr>
          <w:b/>
          <w:bCs/>
        </w:rPr>
        <w:t>6.1.37.</w:t>
      </w:r>
      <w:r>
        <w:rPr/>
        <w:t xml:space="preserve"> 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пп. 6.1.38-6.1.47, 6.4.9 и гл. 7.1-7.4.</w:t>
      </w:r>
    </w:p>
    <w:p>
      <w:pPr>
        <w:pStyle w:val="Normal"/>
        <w:ind w:firstLine="284"/>
        <w:jc w:val="both"/>
        <w:rPr/>
      </w:pPr>
      <w:r>
        <w:rPr>
          <w:b/>
          <w:bCs/>
        </w:rPr>
        <w:t>6.1.38.</w:t>
      </w:r>
      <w:r>
        <w:rPr/>
        <w:t xml:space="preserve">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pPr>
        <w:pStyle w:val="Normal"/>
        <w:ind w:firstLine="284"/>
        <w:jc w:val="both"/>
        <w:rPr/>
      </w:pPr>
      <w:r>
        <w:rPr/>
        <w:t>1. В сетях с заземленной нейтралью - присоединением к заземляющему винту корпуса светильника РЕ проводника.</w:t>
      </w:r>
    </w:p>
    <w:p>
      <w:pPr>
        <w:pStyle w:val="Normal"/>
        <w:ind w:firstLine="284"/>
        <w:jc w:val="both"/>
        <w:rPr/>
      </w:pPr>
      <w:r>
        <w:rPr/>
        <w:t>Заземление корпуса светильника ответвлением от нулевого рабочего провода внутри светильника запрещается.</w:t>
      </w:r>
    </w:p>
    <w:p>
      <w:pPr>
        <w:pStyle w:val="Normal"/>
        <w:ind w:firstLine="284"/>
        <w:jc w:val="both"/>
        <w:rPr/>
      </w:pPr>
      <w:r>
        <w:rP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pPr>
        <w:pStyle w:val="Normal"/>
        <w:ind w:firstLine="284"/>
        <w:jc w:val="both"/>
        <w:rPr/>
      </w:pPr>
      <w:r>
        <w:rPr/>
        <w:t>При вводе в светильник проводов, не имеющих механической защиты, защитный проводник должен быть гибким.</w:t>
      </w:r>
    </w:p>
    <w:p>
      <w:pPr>
        <w:pStyle w:val="Normal"/>
        <w:ind w:firstLine="284"/>
        <w:jc w:val="both"/>
        <w:rPr/>
      </w:pPr>
      <w:r>
        <w:rPr>
          <w:b/>
          <w:bCs/>
        </w:rPr>
        <w:t>6.1.39.</w:t>
      </w:r>
      <w:r>
        <w:rPr/>
        <w:t xml:space="preserve">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p>
      <w:pPr>
        <w:pStyle w:val="Normal"/>
        <w:ind w:firstLine="284"/>
        <w:jc w:val="both"/>
        <w:rPr/>
      </w:pPr>
      <w:r>
        <w:rPr>
          <w:b/>
          <w:bCs/>
        </w:rPr>
        <w:t>6.1.40.</w:t>
      </w:r>
      <w:r>
        <w:rPr/>
        <w:t xml:space="preserve"> Металлические отражатели светильников с корпусами из изолирующих материалов заземлять не требуется.</w:t>
      </w:r>
    </w:p>
    <w:p>
      <w:pPr>
        <w:pStyle w:val="Normal"/>
        <w:ind w:firstLine="284"/>
        <w:jc w:val="both"/>
        <w:rPr/>
      </w:pPr>
      <w:r>
        <w:rPr>
          <w:b/>
          <w:bCs/>
        </w:rPr>
        <w:t>6.1.41.</w:t>
      </w:r>
      <w:r>
        <w:rPr/>
        <w:t xml:space="preserve"> Защитное заземление металлических корпусов светильников местного освещения на напряжение выше 50 В должно удовлетворять следующим требованиям:</w:t>
      </w:r>
    </w:p>
    <w:p>
      <w:pPr>
        <w:pStyle w:val="Normal"/>
        <w:ind w:firstLine="284"/>
        <w:jc w:val="both"/>
        <w:rPr/>
      </w:pPr>
      <w:r>
        <w:rP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pPr>
        <w:pStyle w:val="Normal"/>
        <w:ind w:firstLine="284"/>
        <w:jc w:val="both"/>
        <w:rPr/>
      </w:pPr>
      <w:r>
        <w:rPr/>
        <w:t>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pPr>
        <w:pStyle w:val="Normal"/>
        <w:ind w:firstLine="284"/>
        <w:jc w:val="both"/>
        <w:rPr/>
      </w:pPr>
      <w:r>
        <w:rPr>
          <w:b/>
          <w:bCs/>
        </w:rPr>
        <w:t>6.1.42.</w:t>
      </w:r>
      <w:r>
        <w:rPr/>
        <w:t xml:space="preserve">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гл. 7.1.</w:t>
      </w:r>
    </w:p>
    <w:p>
      <w:pPr>
        <w:pStyle w:val="Normal"/>
        <w:ind w:firstLine="284"/>
        <w:jc w:val="both"/>
        <w:rPr/>
      </w:pPr>
      <w:r>
        <w:rPr>
          <w:b/>
          <w:bCs/>
        </w:rPr>
        <w:t>6.1.43.</w:t>
      </w:r>
      <w:r>
        <w:rPr/>
        <w:t xml:space="preserve">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1 по ГОСТ 12.2.007.0-75 «ССБТ. Изделия электротехнические. Общие требования безопасности».</w:t>
      </w:r>
    </w:p>
    <w:p>
      <w:pPr>
        <w:pStyle w:val="Normal"/>
        <w:ind w:firstLine="284"/>
        <w:jc w:val="both"/>
        <w:rPr/>
      </w:pPr>
      <w:r>
        <w:rPr/>
        <w:t>Групповые линии, питающие штепсельные розетки, должны выполняться в соответствии с требованиями гл. 7.1, при этом в сетях с изолированной нейтралью защитный проводник следует подключать к заземлителю.</w:t>
      </w:r>
    </w:p>
    <w:p>
      <w:pPr>
        <w:pStyle w:val="Normal"/>
        <w:ind w:firstLine="284"/>
        <w:jc w:val="both"/>
        <w:rPr/>
      </w:pPr>
      <w:r>
        <w:rPr>
          <w:b/>
          <w:bCs/>
        </w:rPr>
        <w:t>6.1.44.</w:t>
      </w:r>
      <w:r>
        <w:rPr/>
        <w:t xml:space="preserve"> Защитные проводники в сетях с заземленной нейтралью в групповых линиях, питающих светильники общего освещения и штепсельные розетки (пп. 6.1.42, 6.1.43), нулевой рабочий и нулевой защитный проводники не допускается подключать под общий контактный зажим.</w:t>
      </w:r>
    </w:p>
    <w:p>
      <w:pPr>
        <w:pStyle w:val="Normal"/>
        <w:ind w:firstLine="284"/>
        <w:jc w:val="both"/>
        <w:rPr/>
      </w:pPr>
      <w:r>
        <w:rPr>
          <w:b/>
          <w:bCs/>
        </w:rPr>
        <w:t>6.1.45.</w:t>
      </w:r>
      <w:r>
        <w:rPr/>
        <w:t xml:space="preserve">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(РЕN) проводнику в сетях с заземленной нейтралью.</w:t>
      </w:r>
    </w:p>
    <w:p>
      <w:pPr>
        <w:pStyle w:val="Normal"/>
        <w:ind w:firstLine="284"/>
        <w:jc w:val="both"/>
        <w:rPr/>
      </w:pPr>
      <w:r>
        <w:rPr>
          <w:b/>
          <w:bCs/>
        </w:rPr>
        <w:t>6.1.46.</w:t>
      </w:r>
      <w:r>
        <w:rPr/>
        <w:t xml:space="preserve">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РЕN проводнику линии.</w:t>
      </w:r>
    </w:p>
    <w:p>
      <w:pPr>
        <w:pStyle w:val="Normal"/>
        <w:ind w:firstLine="284"/>
        <w:jc w:val="both"/>
        <w:rPr/>
      </w:pPr>
      <w:r>
        <w:rPr>
          <w:b/>
          <w:bCs/>
        </w:rPr>
        <w:t>6.1.47.</w:t>
      </w:r>
      <w:r>
        <w:rPr/>
        <w:t xml:space="preserve"> При питании наружного освещения воздушными линиями должна выполняться защита от атмосферных перенапряжений в соответствии с гл. 2.4.</w:t>
      </w:r>
    </w:p>
    <w:p>
      <w:pPr>
        <w:pStyle w:val="Normal"/>
        <w:ind w:firstLine="284"/>
        <w:jc w:val="both"/>
        <w:rPr/>
      </w:pPr>
      <w:r>
        <w:rPr>
          <w:b/>
          <w:bCs/>
        </w:rPr>
        <w:t>6.1.48.</w:t>
      </w:r>
      <w:r>
        <w:rPr/>
        <w:t xml:space="preserve"> При выполнении схем питания светильников и штепсельных розеток следует выполнять требования по установке УЗО, изложенные в гл. 7.1 и 7.2.</w:t>
      </w:r>
    </w:p>
    <w:p>
      <w:pPr>
        <w:pStyle w:val="Normal"/>
        <w:ind w:firstLine="284"/>
        <w:jc w:val="both"/>
        <w:rPr/>
      </w:pPr>
      <w:r>
        <w:rPr>
          <w:b/>
          <w:bCs/>
        </w:rPr>
        <w:t>6.1.49.</w:t>
      </w:r>
      <w:r>
        <w:rPr/>
        <w:t xml:space="preserve"> Для установок наружного освещения: освещения фасадов зданий, монументов и т.п., наружной световой рекламы и указателей в сетях ТN-S или ТN-С-S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p>
      <w:pPr>
        <w:pStyle w:val="Heading2"/>
        <w:rPr/>
      </w:pPr>
      <w:bookmarkStart w:id="24" w:name="_%D0%93%D0%BB%D0%B0%D0%B2%D0%B0_6.2_%D0%"/>
      <w:bookmarkEnd w:id="24"/>
      <w:r>
        <w:rPr/>
        <w:t>Глава 6.2 ВНУТРЕННЕЕ ОСВЕЩЕНИЕ</w:t>
      </w:r>
    </w:p>
    <w:p>
      <w:pPr>
        <w:pStyle w:val="Heading3"/>
        <w:rPr/>
      </w:pPr>
      <w:r>
        <w:rPr/>
        <w:t>Общие требования</w:t>
      </w:r>
    </w:p>
    <w:p>
      <w:pPr>
        <w:pStyle w:val="Normal"/>
        <w:ind w:firstLine="284"/>
        <w:jc w:val="both"/>
        <w:rPr/>
      </w:pPr>
      <w:r>
        <w:rPr>
          <w:b/>
          <w:bCs/>
        </w:rPr>
        <w:t>6.2.1.</w:t>
      </w:r>
      <w:r>
        <w:rPr/>
        <w:t xml:space="preserve">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pPr>
        <w:pStyle w:val="Normal"/>
        <w:ind w:firstLine="284"/>
        <w:jc w:val="both"/>
        <w:rPr/>
      </w:pPr>
      <w:r>
        <w:rP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pPr>
        <w:pStyle w:val="Normal"/>
        <w:ind w:firstLine="284"/>
        <w:jc w:val="both"/>
        <w:rPr/>
      </w:pPr>
      <w:r>
        <w:rPr>
          <w:b/>
          <w:bCs/>
        </w:rPr>
        <w:t>6.2.2.</w:t>
      </w:r>
      <w:r>
        <w:rPr/>
        <w:t xml:space="preserve"> 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станка, для которых предназначен светильник.</w:t>
      </w:r>
    </w:p>
    <w:p>
      <w:pPr>
        <w:pStyle w:val="Normal"/>
        <w:ind w:firstLine="284"/>
        <w:jc w:val="both"/>
        <w:rPr/>
      </w:pPr>
      <w:r>
        <w:rP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pPr>
        <w:pStyle w:val="Normal"/>
        <w:ind w:firstLine="284"/>
        <w:jc w:val="both"/>
        <w:rPr/>
      </w:pPr>
      <w:r>
        <w:rPr/>
        <w:t>Ответвление к светильникам местного освещения при напряжении более 50 В в пределах рабочего места должно выполняться в трубах и коробах из негорючих материалов и других механически прочных конструкциях.</w:t>
      </w:r>
    </w:p>
    <w:p>
      <w:pPr>
        <w:pStyle w:val="Normal"/>
        <w:ind w:firstLine="284"/>
        <w:jc w:val="both"/>
        <w:rPr/>
      </w:pPr>
      <w:r>
        <w:rPr>
          <w:b/>
          <w:bCs/>
        </w:rPr>
        <w:t>6.2.3.</w:t>
      </w:r>
      <w:r>
        <w:rPr/>
        <w:t xml:space="preserve">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pPr>
        <w:pStyle w:val="Heading3"/>
        <w:rPr/>
      </w:pPr>
      <w:bookmarkStart w:id="25" w:name="_%D0%9F%D0%B8%D1%82%D0%B0%D1%8E%D1%89%D0"/>
      <w:bookmarkEnd w:id="25"/>
      <w:r>
        <w:rPr/>
        <w:t>Питающая осветительная сеть</w:t>
      </w:r>
    </w:p>
    <w:p>
      <w:pPr>
        <w:pStyle w:val="Normal"/>
        <w:ind w:firstLine="284"/>
        <w:jc w:val="both"/>
        <w:rPr/>
      </w:pPr>
      <w:r>
        <w:rPr>
          <w:b/>
          <w:bCs/>
        </w:rPr>
        <w:t>6.2.4.</w:t>
      </w:r>
      <w:r>
        <w:rPr/>
        <w:t xml:space="preserve">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pPr>
        <w:pStyle w:val="Normal"/>
        <w:ind w:firstLine="284"/>
        <w:jc w:val="both"/>
        <w:rPr/>
      </w:pPr>
      <w:r>
        <w:rPr>
          <w:b/>
          <w:bCs/>
        </w:rPr>
        <w:t>6.2.5.</w:t>
      </w:r>
      <w:r>
        <w:rPr/>
        <w:t xml:space="preserve">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п. 6.1.28). При этом должны соблюдаться требования к допустимым отклонениям и колебаниям напряжения в осветительной сети в соответствии с ГОСТ 13109-87.</w:t>
      </w:r>
    </w:p>
    <w:p>
      <w:pPr>
        <w:pStyle w:val="Normal"/>
        <w:ind w:firstLine="284"/>
        <w:jc w:val="both"/>
        <w:rPr/>
      </w:pPr>
      <w:r>
        <w:rPr>
          <w:b/>
          <w:bCs/>
        </w:rPr>
        <w:t>6.2.6.</w:t>
      </w:r>
      <w:r>
        <w:rPr/>
        <w:t xml:space="preserve">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pPr>
        <w:pStyle w:val="Normal"/>
        <w:ind w:firstLine="284"/>
        <w:jc w:val="both"/>
        <w:rPr/>
      </w:pPr>
      <w:r>
        <w:rP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pPr>
        <w:pStyle w:val="Normal"/>
        <w:ind w:firstLine="284"/>
        <w:jc w:val="both"/>
        <w:rPr/>
      </w:pPr>
      <w:r>
        <w:rPr>
          <w:b/>
          <w:bCs/>
        </w:rPr>
        <w:t>6.2.7.</w:t>
      </w:r>
      <w:r>
        <w:rPr/>
        <w:t xml:space="preserve">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pPr>
        <w:pStyle w:val="Normal"/>
        <w:ind w:firstLine="284"/>
        <w:jc w:val="both"/>
        <w:rPr/>
      </w:pPr>
      <w:r>
        <w:rPr>
          <w:b/>
          <w:bCs/>
        </w:rPr>
        <w:t>6.2.8.</w:t>
      </w:r>
      <w:r>
        <w:rPr/>
        <w:t xml:space="preserve"> В местах присоединения линий питающей осветительной сети к линии питания электросиловых установок или к силовым распределительным пунктам (п. 6.2.5) должны устанавливаться аппараты защиты и управления.</w:t>
      </w:r>
    </w:p>
    <w:p>
      <w:pPr>
        <w:pStyle w:val="Normal"/>
        <w:ind w:firstLine="284"/>
        <w:jc w:val="both"/>
        <w:rPr/>
      </w:pPr>
      <w:r>
        <w:rP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pPr>
        <w:pStyle w:val="Heading3"/>
        <w:rPr/>
      </w:pPr>
      <w:bookmarkStart w:id="26" w:name="_%D0%93%D1%80%D1%83%D0%BF%D0%BF%D0%BE%D0"/>
      <w:bookmarkEnd w:id="26"/>
      <w:r>
        <w:rPr/>
        <w:t>Групповая сеть</w:t>
      </w:r>
    </w:p>
    <w:p>
      <w:pPr>
        <w:pStyle w:val="Normal"/>
        <w:ind w:firstLine="284"/>
        <w:jc w:val="both"/>
        <w:rPr/>
      </w:pPr>
      <w:r>
        <w:rPr>
          <w:b/>
          <w:bCs/>
        </w:rPr>
        <w:t>6.2.9.</w:t>
      </w:r>
      <w:r>
        <w:rPr/>
        <w:t xml:space="preserve"> Линии групповой сети внутреннего освещения должны быть защищены предохранителями или автоматическими выключателями.</w:t>
      </w:r>
    </w:p>
    <w:p>
      <w:pPr>
        <w:pStyle w:val="Normal"/>
        <w:ind w:firstLine="284"/>
        <w:jc w:val="both"/>
        <w:rPr/>
      </w:pPr>
      <w:r>
        <w:rPr>
          <w:b/>
          <w:bCs/>
        </w:rPr>
        <w:t>6.2.10.</w:t>
      </w:r>
      <w:r>
        <w:rP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pPr>
        <w:pStyle w:val="Normal"/>
        <w:ind w:firstLine="284"/>
        <w:jc w:val="both"/>
        <w:rPr/>
      </w:pPr>
      <w:r>
        <w:rP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pPr>
        <w:pStyle w:val="Normal"/>
        <w:ind w:firstLine="284"/>
        <w:jc w:val="both"/>
        <w:rPr/>
      </w:pPr>
      <w:r>
        <w:rPr/>
        <w:t>Для групповых линий, питающих световые карнизы, световые потолки и т.п.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pPr>
        <w:pStyle w:val="Normal"/>
        <w:ind w:firstLine="284"/>
        <w:jc w:val="both"/>
        <w:rPr/>
      </w:pPr>
      <w:r>
        <w:rPr/>
        <w:t>Для групповых линий, питающих многоламповые люстры, число ламп любого типа на фазу не ограничивается.</w:t>
      </w:r>
    </w:p>
    <w:p>
      <w:pPr>
        <w:pStyle w:val="Normal"/>
        <w:ind w:firstLine="284"/>
        <w:jc w:val="both"/>
        <w:rPr/>
      </w:pPr>
      <w:r>
        <w:rPr/>
        <w:t>В групповых линиях, питающих лампы мощностью 10 кВт и больше, каждая лампа должна иметь самостоятельный аппарат защиты.</w:t>
      </w:r>
    </w:p>
    <w:p>
      <w:pPr>
        <w:pStyle w:val="Normal"/>
        <w:ind w:firstLine="284"/>
        <w:jc w:val="both"/>
        <w:rPr/>
      </w:pPr>
      <w:r>
        <w:rPr>
          <w:b/>
          <w:bCs/>
        </w:rPr>
        <w:t>6.2.11.</w:t>
      </w:r>
      <w:r>
        <w:rPr/>
        <w:t xml:space="preserve">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pPr>
        <w:pStyle w:val="Normal"/>
        <w:ind w:firstLine="284"/>
        <w:jc w:val="both"/>
        <w:rPr/>
      </w:pPr>
      <w:r>
        <w:rPr>
          <w:b/>
          <w:bCs/>
        </w:rPr>
        <w:t>6.2.12.</w:t>
      </w:r>
      <w:r>
        <w:rPr/>
        <w:t xml:space="preserve">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pPr>
        <w:pStyle w:val="Normal"/>
        <w:ind w:firstLine="284"/>
        <w:jc w:val="both"/>
        <w:rPr/>
      </w:pPr>
      <w:r>
        <w:rPr>
          <w:b/>
          <w:bCs/>
        </w:rPr>
        <w:t>6.2.13.</w:t>
      </w:r>
      <w:r>
        <w:rPr/>
        <w:t xml:space="preserve">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pPr>
        <w:pStyle w:val="Normal"/>
        <w:ind w:firstLine="284"/>
        <w:jc w:val="both"/>
        <w:rPr/>
      </w:pPr>
      <w:r>
        <w:rP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pPr>
        <w:pStyle w:val="Normal"/>
        <w:ind w:firstLine="284"/>
        <w:jc w:val="both"/>
        <w:rPr/>
      </w:pPr>
      <w:r>
        <w:rPr>
          <w:b/>
          <w:bCs/>
        </w:rPr>
        <w:t>6.2.14.</w:t>
      </w:r>
      <w:r>
        <w:rPr/>
        <w:t xml:space="preserve">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pPr>
        <w:pStyle w:val="Normal"/>
        <w:ind w:firstLine="284"/>
        <w:jc w:val="both"/>
        <w:rPr/>
      </w:pPr>
      <w:r>
        <w:rPr>
          <w:b/>
          <w:bCs/>
        </w:rPr>
        <w:t>6.2.15.</w:t>
      </w:r>
      <w:r>
        <w:rPr/>
        <w:t xml:space="preserve">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НПБ 249-97.</w:t>
      </w:r>
    </w:p>
    <w:p>
      <w:pPr>
        <w:pStyle w:val="Heading2"/>
        <w:rPr/>
      </w:pPr>
      <w:bookmarkStart w:id="27" w:name="_%D0%93%D0%BB%D0%B0%D0%B2%D0%B0_6.3_%D0%"/>
      <w:bookmarkEnd w:id="27"/>
      <w:r>
        <w:rPr/>
        <w:t>Глава 6.3 НАРУЖНОЕ ОСВЕЩЕНИЕ</w:t>
      </w:r>
    </w:p>
    <w:p>
      <w:pPr>
        <w:pStyle w:val="Heading3"/>
        <w:rPr/>
      </w:pPr>
      <w:r>
        <w:rPr/>
        <w:t>Источники света, установка осветительных приборов и опор</w:t>
      </w:r>
    </w:p>
    <w:p>
      <w:pPr>
        <w:pStyle w:val="Normal"/>
        <w:ind w:firstLine="284"/>
        <w:jc w:val="both"/>
        <w:rPr/>
      </w:pPr>
      <w:r>
        <w:rPr>
          <w:b/>
          <w:bCs/>
        </w:rPr>
        <w:t>6.3.1.</w:t>
      </w:r>
      <w:r>
        <w:rPr/>
        <w:t xml:space="preserve"> Для наружного освещения могут применяться любые источники света (см. п. 6.1.11).</w:t>
      </w:r>
    </w:p>
    <w:p>
      <w:pPr>
        <w:pStyle w:val="Normal"/>
        <w:ind w:firstLine="284"/>
        <w:jc w:val="both"/>
        <w:rPr/>
      </w:pPr>
      <w:r>
        <w:rP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pPr>
        <w:pStyle w:val="Normal"/>
        <w:ind w:firstLine="284"/>
        <w:jc w:val="both"/>
        <w:rPr/>
      </w:pPr>
      <w:r>
        <w:rPr>
          <w:b/>
          <w:bCs/>
        </w:rPr>
        <w:t>6.3.2.</w:t>
      </w:r>
      <w:r>
        <w:rPr/>
        <w:t xml:space="preserve">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pPr>
        <w:pStyle w:val="Normal"/>
        <w:ind w:firstLine="284"/>
        <w:jc w:val="both"/>
        <w:rPr/>
      </w:pPr>
      <w:r>
        <w:rPr>
          <w:b/>
          <w:bCs/>
        </w:rPr>
        <w:t>6.3.3.</w:t>
      </w:r>
      <w:r>
        <w:rPr/>
        <w:t xml:space="preserve"> Установка светильников наружного освещения на опорах ВЛ до 1 кВ должна выполняться:</w:t>
      </w:r>
    </w:p>
    <w:p>
      <w:pPr>
        <w:pStyle w:val="Normal"/>
        <w:ind w:firstLine="284"/>
        <w:jc w:val="both"/>
        <w:rPr/>
      </w:pPr>
      <w:r>
        <w:rPr/>
        <w:t>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w:t>
      </w:r>
    </w:p>
    <w:p>
      <w:pPr>
        <w:pStyle w:val="Normal"/>
        <w:ind w:firstLine="284"/>
        <w:jc w:val="both"/>
        <w:rPr/>
      </w:pPr>
      <w:r>
        <w:rPr/>
        <w:t>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p>
      <w:pPr>
        <w:pStyle w:val="Normal"/>
        <w:ind w:firstLine="284"/>
        <w:jc w:val="both"/>
        <w:rPr/>
      </w:pPr>
      <w:r>
        <w:rPr>
          <w:b/>
          <w:bCs/>
        </w:rPr>
        <w:t>6.3.4.</w:t>
      </w:r>
      <w:r>
        <w:rPr/>
        <w:t xml:space="preserve"> При подвеске светильников на тросах должны приниматься меры по исключению раскачивания светильников от воздействия ветра.</w:t>
      </w:r>
    </w:p>
    <w:p>
      <w:pPr>
        <w:pStyle w:val="Normal"/>
        <w:ind w:firstLine="284"/>
        <w:jc w:val="both"/>
        <w:rPr/>
      </w:pPr>
      <w:r>
        <w:rPr>
          <w:b/>
          <w:bCs/>
        </w:rPr>
        <w:t>6.3.5.</w:t>
      </w:r>
      <w:r>
        <w:rPr/>
        <w:t xml:space="preserve"> Над проезжей частью улиц, дорог и площадей светильники должны устанавливаться на высоте не менее 6,5 м.</w:t>
      </w:r>
    </w:p>
    <w:p>
      <w:pPr>
        <w:pStyle w:val="Normal"/>
        <w:ind w:firstLine="284"/>
        <w:jc w:val="both"/>
        <w:rPr/>
      </w:pPr>
      <w:r>
        <w:rPr/>
        <w:t>При установке светильников над контактной сетью трамвая высота установки светильников должна быть не менее 8 м до головки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 м.</w:t>
      </w:r>
    </w:p>
    <w:p>
      <w:pPr>
        <w:pStyle w:val="Normal"/>
        <w:ind w:firstLine="284"/>
        <w:jc w:val="both"/>
        <w:rPr/>
      </w:pPr>
      <w:r>
        <w:rPr>
          <w:b/>
          <w:bCs/>
        </w:rPr>
        <w:t>6.3.6.</w:t>
      </w:r>
      <w:r>
        <w:rPr/>
        <w:t xml:space="preserve"> Над бульварами и пешеходными дорогами светильники должны устанавливаться на высоте не менее 3 м.</w:t>
      </w:r>
    </w:p>
    <w:p>
      <w:pPr>
        <w:pStyle w:val="Normal"/>
        <w:ind w:firstLine="284"/>
        <w:jc w:val="both"/>
        <w:rPr/>
      </w:pPr>
      <w:r>
        <w:rPr/>
        <w:t>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п. 6.1.15.</w:t>
      </w:r>
    </w:p>
    <w:p>
      <w:pPr>
        <w:pStyle w:val="Normal"/>
        <w:ind w:firstLine="284"/>
        <w:jc w:val="both"/>
        <w:rPr/>
      </w:pPr>
      <w:r>
        <w:rP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pPr>
        <w:pStyle w:val="Normal"/>
        <w:ind w:firstLine="284"/>
        <w:jc w:val="both"/>
        <w:rPr/>
      </w:pPr>
      <w:r>
        <w:rPr>
          <w:b/>
          <w:bCs/>
        </w:rPr>
        <w:t>6.3.7.</w:t>
      </w:r>
      <w:r>
        <w:rPr/>
        <w:t xml:space="preserve">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и т.п.).</w:t>
      </w:r>
    </w:p>
    <w:p>
      <w:pPr>
        <w:pStyle w:val="Normal"/>
        <w:ind w:firstLine="284"/>
        <w:jc w:val="both"/>
        <w:rPr/>
      </w:pPr>
      <w:r>
        <w:rPr/>
        <w:t>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p>
      <w:pPr>
        <w:pStyle w:val="Normal"/>
        <w:ind w:firstLine="284"/>
        <w:jc w:val="both"/>
        <w:rPr/>
      </w:pPr>
      <w:r>
        <w:rPr>
          <w:b/>
          <w:bCs/>
        </w:rPr>
        <w:t>6.3.8.</w:t>
      </w:r>
      <w:r>
        <w:rPr/>
        <w:t xml:space="preserve">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w:t>
      </w:r>
    </w:p>
    <w:p>
      <w:pPr>
        <w:pStyle w:val="Normal"/>
        <w:ind w:firstLine="284"/>
        <w:jc w:val="both"/>
        <w:rPr/>
      </w:pPr>
      <w:r>
        <w:rPr/>
        <w:t>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p>
      <w:pPr>
        <w:pStyle w:val="Normal"/>
        <w:ind w:firstLine="284"/>
        <w:jc w:val="both"/>
        <w:rPr/>
      </w:pPr>
      <w:r>
        <w:rPr>
          <w:b/>
          <w:bCs/>
        </w:rPr>
        <w:t>6.3.9.</w:t>
      </w:r>
      <w:r>
        <w:rPr/>
        <w:t xml:space="preserve"> Опоры освещения улиц и дорог, имеющих разделительные полосы шириной 4 м и более, могут устанавливаться по центру разделительных полос.</w:t>
      </w:r>
    </w:p>
    <w:p>
      <w:pPr>
        <w:pStyle w:val="Normal"/>
        <w:ind w:firstLine="284"/>
        <w:jc w:val="both"/>
        <w:rPr/>
      </w:pPr>
      <w:r>
        <w:rPr>
          <w:b/>
          <w:bCs/>
        </w:rPr>
        <w:t>6.3.10.</w:t>
      </w:r>
      <w:r>
        <w:rPr/>
        <w:t xml:space="preserve">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w:t>
      </w:r>
    </w:p>
    <w:p>
      <w:pPr>
        <w:pStyle w:val="Normal"/>
        <w:ind w:firstLine="284"/>
        <w:jc w:val="both"/>
        <w:rPr/>
      </w:pPr>
      <w:r>
        <w:rPr/>
        <w:t>Опора не должна находиться между пожарным гидрантом и проезжей частью.</w:t>
      </w:r>
    </w:p>
    <w:p>
      <w:pPr>
        <w:pStyle w:val="Normal"/>
        <w:ind w:firstLine="284"/>
        <w:jc w:val="both"/>
        <w:rPr/>
      </w:pPr>
      <w:r>
        <w:rPr>
          <w:b/>
          <w:bCs/>
        </w:rPr>
        <w:t>6.3.11.</w:t>
      </w:r>
      <w:r>
        <w:rPr/>
        <w:t xml:space="preserve">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p>
      <w:pPr>
        <w:pStyle w:val="Normal"/>
        <w:ind w:firstLine="284"/>
        <w:jc w:val="both"/>
        <w:rPr/>
      </w:pPr>
      <w:r>
        <w:rPr>
          <w:b/>
          <w:bCs/>
        </w:rPr>
        <w:t>6.3.12.</w:t>
      </w:r>
      <w:r>
        <w:rPr/>
        <w:t xml:space="preserve"> Опоры наружного освещения на инженерных 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pPr>
        <w:pStyle w:val="Normal"/>
        <w:ind w:firstLine="284"/>
        <w:jc w:val="both"/>
        <w:rPr/>
      </w:pPr>
      <w:r>
        <w:rPr>
          <w:b/>
          <w:bCs/>
        </w:rPr>
        <w:t>6.3.13.</w:t>
      </w:r>
      <w:r>
        <w:rPr/>
        <w:t xml:space="preserve"> Опоры для светильников освещения аллей и пешеходных дорог должны располагаться вне пешеходной части.</w:t>
      </w:r>
    </w:p>
    <w:p>
      <w:pPr>
        <w:pStyle w:val="Normal"/>
        <w:ind w:firstLine="284"/>
        <w:jc w:val="both"/>
        <w:rPr/>
      </w:pPr>
      <w:r>
        <w:rPr>
          <w:b/>
          <w:bCs/>
        </w:rPr>
        <w:t>6.3.14.</w:t>
      </w:r>
      <w:r>
        <w:rP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pPr>
        <w:pStyle w:val="Heading3"/>
        <w:rPr/>
      </w:pPr>
      <w:r>
        <w:rPr/>
        <w:t>Питание установок наружного освещения</w:t>
      </w:r>
    </w:p>
    <w:p>
      <w:pPr>
        <w:pStyle w:val="Normal"/>
        <w:ind w:firstLine="284"/>
        <w:jc w:val="both"/>
        <w:rPr/>
      </w:pPr>
      <w:r>
        <w:rPr>
          <w:b/>
          <w:bCs/>
        </w:rPr>
        <w:t>6.3.15.</w:t>
      </w:r>
      <w:r>
        <w:rPr/>
        <w:t xml:space="preserve">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pPr>
        <w:pStyle w:val="Normal"/>
        <w:ind w:firstLine="284"/>
        <w:jc w:val="both"/>
        <w:rPr/>
      </w:pPr>
      <w:r>
        <w:rPr>
          <w:b/>
          <w:bCs/>
        </w:rPr>
        <w:t>6.3.16.</w:t>
      </w:r>
      <w:r>
        <w:rPr/>
        <w:t xml:space="preserve">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pPr>
        <w:pStyle w:val="Normal"/>
        <w:ind w:firstLine="284"/>
        <w:jc w:val="both"/>
        <w:rPr/>
      </w:pPr>
      <w:r>
        <w:rP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pPr>
        <w:pStyle w:val="Normal"/>
        <w:ind w:firstLine="284"/>
        <w:jc w:val="both"/>
        <w:rPr/>
      </w:pPr>
      <w:r>
        <w:rPr>
          <w:b/>
          <w:bCs/>
        </w:rPr>
        <w:t>6.3.17.</w:t>
      </w:r>
      <w:r>
        <w:rPr/>
        <w:t xml:space="preserve">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pPr>
        <w:pStyle w:val="Normal"/>
        <w:ind w:firstLine="284"/>
        <w:jc w:val="both"/>
        <w:rPr/>
      </w:pPr>
      <w:r>
        <w:rPr>
          <w:b/>
          <w:bCs/>
        </w:rPr>
        <w:t>6.3.18.</w:t>
      </w:r>
      <w:r>
        <w:rPr/>
        <w:t xml:space="preserve">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п. 6.5.27.</w:t>
      </w:r>
    </w:p>
    <w:p>
      <w:pPr>
        <w:pStyle w:val="Normal"/>
        <w:ind w:firstLine="284"/>
        <w:jc w:val="both"/>
        <w:rPr/>
      </w:pPr>
      <w:r>
        <w:rPr>
          <w:b/>
          <w:bCs/>
        </w:rPr>
        <w:t>6.3.19.</w:t>
      </w:r>
      <w:r>
        <w:rPr/>
        <w:t xml:space="preserve">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pPr>
        <w:pStyle w:val="Normal"/>
        <w:ind w:firstLine="284"/>
        <w:jc w:val="both"/>
        <w:rPr/>
      </w:pPr>
      <w:r>
        <w:rPr>
          <w:b/>
          <w:bCs/>
        </w:rPr>
        <w:t>6.3.20.</w:t>
      </w:r>
      <w:r>
        <w:rPr/>
        <w:t xml:space="preserve"> Охранное освещение рекомендуется питать, как правило, по самостоятельным линиям.</w:t>
      </w:r>
    </w:p>
    <w:p>
      <w:pPr>
        <w:pStyle w:val="Normal"/>
        <w:ind w:firstLine="284"/>
        <w:jc w:val="both"/>
        <w:rPr/>
      </w:pPr>
      <w:r>
        <w:rPr>
          <w:b/>
          <w:bCs/>
        </w:rPr>
        <w:t>6.3.21.</w:t>
      </w:r>
      <w:r>
        <w:rPr/>
        <w:t xml:space="preserve">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pPr>
        <w:pStyle w:val="Normal"/>
        <w:ind w:firstLine="284"/>
        <w:jc w:val="both"/>
        <w:rPr/>
      </w:pPr>
      <w:r>
        <w:rPr>
          <w:b/>
          <w:bCs/>
        </w:rPr>
        <w:t>6.3.22.</w:t>
      </w:r>
      <w:r>
        <w:rPr/>
        <w:t xml:space="preserve">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pPr>
        <w:pStyle w:val="Normal"/>
        <w:ind w:firstLine="284"/>
        <w:jc w:val="both"/>
        <w:rPr/>
      </w:pPr>
      <w:r>
        <w:rPr>
          <w:b/>
          <w:bCs/>
        </w:rPr>
        <w:t>6.3.23. В</w:t>
      </w:r>
      <w:r>
        <w:rPr/>
        <w:t xml:space="preserve">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pPr>
        <w:pStyle w:val="Normal"/>
        <w:ind w:firstLine="284"/>
        <w:jc w:val="both"/>
        <w:rPr/>
      </w:pPr>
      <w:r>
        <w:rPr>
          <w:b/>
          <w:bCs/>
        </w:rPr>
        <w:t>6.3.24.</w:t>
      </w:r>
      <w:r>
        <w:rPr/>
        <w:t xml:space="preserve"> При применении прожекторов с разрядными источниками света допускается групповая компенсация реактивной мощности.</w:t>
      </w:r>
    </w:p>
    <w:p>
      <w:pPr>
        <w:pStyle w:val="Normal"/>
        <w:ind w:firstLine="284"/>
        <w:jc w:val="both"/>
        <w:rPr/>
      </w:pPr>
      <w:r>
        <w:rP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pPr>
        <w:pStyle w:val="Heading3"/>
        <w:rPr/>
      </w:pPr>
      <w:r>
        <w:rPr/>
        <w:t>Выполнение и защита сетей наружного освещения</w:t>
      </w:r>
    </w:p>
    <w:p>
      <w:pPr>
        <w:pStyle w:val="Normal"/>
        <w:ind w:firstLine="284"/>
        <w:jc w:val="both"/>
        <w:rPr/>
      </w:pPr>
      <w:r>
        <w:rPr>
          <w:b/>
          <w:bCs/>
        </w:rPr>
        <w:t>6.3.25.</w:t>
      </w:r>
      <w:r>
        <w:rPr/>
        <w:t xml:space="preserve">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неизопированных проводов.</w:t>
      </w:r>
    </w:p>
    <w:p>
      <w:pPr>
        <w:pStyle w:val="Normal"/>
        <w:ind w:firstLine="284"/>
        <w:jc w:val="both"/>
        <w:rPr/>
      </w:pPr>
      <w:r>
        <w:rPr>
          <w:b/>
          <w:bCs/>
        </w:rPr>
        <w:t>6.3.26.</w:t>
      </w:r>
      <w:r>
        <w:rPr/>
        <w:t xml:space="preserve">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pPr>
        <w:pStyle w:val="Normal"/>
        <w:ind w:firstLine="284"/>
        <w:jc w:val="both"/>
        <w:rPr/>
      </w:pPr>
      <w:r>
        <w:rPr>
          <w:b/>
          <w:bCs/>
        </w:rPr>
        <w:t>6.3.27.</w:t>
      </w:r>
      <w:r>
        <w:rPr/>
        <w:t xml:space="preserve"> Воздушные линии наружного освещения должны выполняться согласно требованиям гл. 2.4.</w:t>
      </w:r>
    </w:p>
    <w:p>
      <w:pPr>
        <w:pStyle w:val="Normal"/>
        <w:ind w:firstLine="284"/>
        <w:jc w:val="both"/>
        <w:rPr/>
      </w:pPr>
      <w:r>
        <w:rPr/>
        <w:t>Пересечения линий с улицами и дорогами при пролетах не более 40 м допускается выполнять без применения анкерных опор и двойного крепления проводов.</w:t>
      </w:r>
    </w:p>
    <w:p>
      <w:pPr>
        <w:pStyle w:val="Normal"/>
        <w:ind w:firstLine="284"/>
        <w:jc w:val="both"/>
        <w:rPr/>
      </w:pPr>
      <w:r>
        <w:rPr>
          <w:b/>
          <w:bCs/>
        </w:rPr>
        <w:t>6.3.28.</w:t>
      </w:r>
      <w:r>
        <w:rPr/>
        <w:t xml:space="preserve">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pPr>
        <w:pStyle w:val="Normal"/>
        <w:ind w:firstLine="284"/>
        <w:jc w:val="both"/>
        <w:rPr/>
      </w:pPr>
      <w:r>
        <w:rP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pPr>
        <w:pStyle w:val="Normal"/>
        <w:ind w:firstLine="284"/>
        <w:jc w:val="both"/>
        <w:rPr/>
      </w:pPr>
      <w:r>
        <w:rPr>
          <w:b/>
          <w:bCs/>
        </w:rPr>
        <w:t>6.3.29.</w:t>
      </w:r>
      <w:r>
        <w:rPr/>
        <w:t xml:space="preserve"> 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pPr>
        <w:pStyle w:val="Normal"/>
        <w:ind w:firstLine="284"/>
        <w:jc w:val="both"/>
        <w:rPr/>
      </w:pPr>
      <w:r>
        <w:rPr>
          <w:b/>
          <w:bCs/>
        </w:rPr>
        <w:t>6.3.30. В</w:t>
      </w:r>
      <w:r>
        <w:rPr/>
        <w:t xml:space="preserve">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pPr>
        <w:pStyle w:val="Normal"/>
        <w:ind w:firstLine="284"/>
        <w:jc w:val="both"/>
        <w:rPr/>
      </w:pPr>
      <w:r>
        <w:rPr/>
        <w:t>При использовании указанных перемычек, в отступление от п. 6.1.19, снижение напряжения у осветительных приборов допускается увеличивать до 10 % номинального.</w:t>
      </w:r>
    </w:p>
    <w:p>
      <w:pPr>
        <w:pStyle w:val="Normal"/>
        <w:ind w:firstLine="284"/>
        <w:jc w:val="both"/>
        <w:rPr/>
      </w:pPr>
      <w:r>
        <w:rPr>
          <w:b/>
          <w:bCs/>
        </w:rPr>
        <w:t>6.3.31.</w:t>
      </w:r>
      <w:r>
        <w:rPr/>
        <w:t xml:space="preserve"> Воздушные линии наружного освещения должны выполняться без учета резервирования, а их провода могут быть разного сечения по длине линии.</w:t>
      </w:r>
    </w:p>
    <w:p>
      <w:pPr>
        <w:pStyle w:val="Normal"/>
        <w:ind w:firstLine="284"/>
        <w:jc w:val="both"/>
        <w:rPr/>
      </w:pPr>
      <w:r>
        <w:rPr>
          <w:b/>
          <w:bCs/>
        </w:rPr>
        <w:t>6.3.32.</w:t>
      </w:r>
      <w:r>
        <w:rPr/>
        <w:t xml:space="preserve"> Ответвления к светильникам от кабельных линий наружного освещения рекомендуется выполнять, как правило, без разрезания жил кабеля.</w:t>
      </w:r>
    </w:p>
    <w:p>
      <w:pPr>
        <w:pStyle w:val="Normal"/>
        <w:ind w:firstLine="284"/>
        <w:jc w:val="both"/>
        <w:rPr/>
      </w:pPr>
      <w:r>
        <w:rP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pPr>
        <w:pStyle w:val="Normal"/>
        <w:ind w:firstLine="284"/>
        <w:jc w:val="both"/>
        <w:rPr/>
      </w:pPr>
      <w:r>
        <w:rPr>
          <w:b/>
          <w:bCs/>
        </w:rPr>
        <w:t>6.3.33.</w:t>
      </w:r>
      <w:r>
        <w:rPr/>
        <w:t xml:space="preserve">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pPr>
        <w:pStyle w:val="Normal"/>
        <w:ind w:firstLine="284"/>
        <w:jc w:val="both"/>
        <w:rPr/>
      </w:pPr>
      <w:r>
        <w:rPr/>
        <w:t>Допускается использовать специальные ящики ввода, устанавливаемые на опорах.</w:t>
      </w:r>
    </w:p>
    <w:p>
      <w:pPr>
        <w:pStyle w:val="Normal"/>
        <w:ind w:firstLine="284"/>
        <w:jc w:val="both"/>
        <w:rPr/>
      </w:pPr>
      <w:r>
        <w:rPr>
          <w:b/>
          <w:bCs/>
        </w:rPr>
        <w:t>6.3.34.</w:t>
      </w:r>
      <w:r>
        <w:rPr/>
        <w:t xml:space="preserve">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pPr>
        <w:pStyle w:val="Normal"/>
        <w:ind w:firstLine="284"/>
        <w:jc w:val="both"/>
        <w:rPr/>
      </w:pPr>
      <w:r>
        <w:rPr>
          <w:b/>
          <w:bCs/>
        </w:rPr>
        <w:t>6.3.35.</w:t>
      </w:r>
      <w:r>
        <w:rP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 2.</w:t>
      </w:r>
    </w:p>
    <w:p>
      <w:pPr>
        <w:pStyle w:val="Normal"/>
        <w:ind w:firstLine="284"/>
        <w:jc w:val="both"/>
        <w:rPr/>
      </w:pPr>
      <w:r>
        <w:rPr>
          <w:b/>
          <w:bCs/>
        </w:rPr>
        <w:t>6.3.36.</w:t>
      </w:r>
      <w:r>
        <w:rPr/>
        <w:t xml:space="preserve"> Тросы для подвески светильников и питающих линий сети допускается крепить к конструкциям зданий. При этом тросы должны иметь амортизаторы.</w:t>
      </w:r>
    </w:p>
    <w:p>
      <w:pPr>
        <w:pStyle w:val="Normal"/>
        <w:ind w:firstLine="284"/>
        <w:jc w:val="both"/>
        <w:rPr/>
      </w:pPr>
      <w:r>
        <w:rPr>
          <w:b/>
          <w:bCs/>
        </w:rPr>
        <w:t>6.3.37.</w:t>
      </w:r>
      <w:r>
        <w:rPr/>
        <w:t xml:space="preserve">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pPr>
        <w:pStyle w:val="Normal"/>
        <w:ind w:firstLine="284"/>
        <w:jc w:val="both"/>
        <w:rPr/>
      </w:pPr>
      <w:r>
        <w:rPr/>
        <w:t>В трехфазных сетях при одновременном отключении всех фазных проводов линии сечение нулевых рабочих проводников должно выбираться:</w:t>
      </w:r>
    </w:p>
    <w:p>
      <w:pPr>
        <w:pStyle w:val="Normal"/>
        <w:ind w:firstLine="284"/>
        <w:jc w:val="both"/>
        <w:rPr/>
      </w:pPr>
      <w:r>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pPr>
        <w:pStyle w:val="Normal"/>
        <w:ind w:firstLine="284"/>
        <w:jc w:val="both"/>
        <w:rPr/>
      </w:pPr>
      <w:r>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Pr>
          <w:vertAlign w:val="superscript"/>
        </w:rPr>
        <w:t>2</w:t>
      </w:r>
      <w:r>
        <w:rPr/>
        <w:t xml:space="preserve"> для медных и 25 мм</w:t>
      </w:r>
      <w:r>
        <w:rPr>
          <w:vertAlign w:val="superscript"/>
        </w:rPr>
        <w:t>2</w:t>
      </w:r>
      <w:r>
        <w:rPr/>
        <w:t xml:space="preserve"> для алюминиевых проводов и не менее 50 % сечения фазных проводников при больших сечениях, но не менее 16 мм</w:t>
      </w:r>
      <w:r>
        <w:rPr>
          <w:vertAlign w:val="superscript"/>
        </w:rPr>
        <w:t>2</w:t>
      </w:r>
      <w:r>
        <w:rPr/>
        <w:t xml:space="preserve"> для медных и 25 мм</w:t>
      </w:r>
      <w:r>
        <w:rPr>
          <w:vertAlign w:val="superscript"/>
        </w:rPr>
        <w:t>2</w:t>
      </w:r>
      <w:r>
        <w:rPr/>
        <w:t xml:space="preserve"> для алюминиевых проводов.</w:t>
      </w:r>
    </w:p>
    <w:p>
      <w:pPr>
        <w:pStyle w:val="Normal"/>
        <w:ind w:firstLine="284"/>
        <w:jc w:val="both"/>
        <w:rPr/>
      </w:pPr>
      <w:r>
        <w:rPr>
          <w:b/>
          <w:bCs/>
        </w:rPr>
        <w:t>6.3.38.</w:t>
      </w:r>
      <w:r>
        <w:rPr/>
        <w:t xml:space="preserve">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pPr>
        <w:pStyle w:val="Normal"/>
        <w:ind w:firstLine="284"/>
        <w:jc w:val="both"/>
        <w:rPr/>
      </w:pPr>
      <w:r>
        <w:rPr>
          <w:b/>
          <w:bCs/>
        </w:rPr>
        <w:t>6.3.39.</w:t>
      </w:r>
      <w:r>
        <w:rPr/>
        <w:t xml:space="preserve"> Коэффициент спроса при расчете сети наружного освещения следует принимать равным 1,0.</w:t>
      </w:r>
    </w:p>
    <w:p>
      <w:pPr>
        <w:pStyle w:val="Normal"/>
        <w:ind w:firstLine="284"/>
        <w:jc w:val="both"/>
        <w:rPr/>
      </w:pPr>
      <w:r>
        <w:rPr>
          <w:b/>
          <w:bCs/>
        </w:rPr>
        <w:t>6.3.40.</w:t>
      </w:r>
      <w:r>
        <w:rPr/>
        <w:t xml:space="preserve">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pPr>
        <w:pStyle w:val="Heading2"/>
        <w:rPr/>
      </w:pPr>
      <w:bookmarkStart w:id="28" w:name="_%D0%93%D0%BB%D0%B0%D0%B2%D0%B0_6.4_%D0%"/>
      <w:bookmarkEnd w:id="28"/>
      <w:r>
        <w:rPr/>
        <w:t>Глава 6.4 СВЕТОВАЯ РЕКЛАМА, ЗНАКИ И ИЛЛЮМИНАЦИЯ</w:t>
      </w:r>
    </w:p>
    <w:p>
      <w:pPr>
        <w:pStyle w:val="Normal"/>
        <w:ind w:firstLine="284"/>
        <w:jc w:val="both"/>
        <w:rPr/>
      </w:pPr>
      <w:r>
        <w:rPr>
          <w:b/>
          <w:bCs/>
        </w:rPr>
        <w:t>6.4.1.</w:t>
      </w:r>
      <w:r>
        <w:rPr/>
        <w:t xml:space="preserve">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pPr>
        <w:pStyle w:val="Normal"/>
        <w:ind w:firstLine="284"/>
        <w:jc w:val="both"/>
        <w:rPr/>
      </w:pPr>
      <w:r>
        <w:rPr/>
        <w:t>Открытые токоведущие части открыто установленных трансформаторов должны быть удалены от горючих материалов и конструкций не менее чем на 50 мм.</w:t>
      </w:r>
    </w:p>
    <w:p>
      <w:pPr>
        <w:pStyle w:val="Normal"/>
        <w:ind w:firstLine="284"/>
        <w:jc w:val="both"/>
        <w:rPr/>
      </w:pPr>
      <w:r>
        <w:rPr>
          <w:b/>
          <w:bCs/>
        </w:rPr>
        <w:t>6.4.2.</w:t>
      </w:r>
      <w:r>
        <w:rPr/>
        <w:t xml:space="preserve">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pPr>
        <w:pStyle w:val="Normal"/>
        <w:ind w:firstLine="284"/>
        <w:jc w:val="both"/>
        <w:rPr/>
      </w:pPr>
      <w:r>
        <w:rPr>
          <w:b/>
          <w:bCs/>
        </w:rPr>
        <w:t>6.4.3.</w:t>
      </w:r>
      <w:r>
        <w:rPr/>
        <w:t xml:space="preserve">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p>
      <w:pPr>
        <w:pStyle w:val="Normal"/>
        <w:ind w:firstLine="284"/>
        <w:jc w:val="both"/>
        <w:rPr/>
      </w:pPr>
      <w:r>
        <w:rPr>
          <w:b/>
          <w:bCs/>
        </w:rPr>
        <w:t>6.4.4.</w:t>
      </w:r>
      <w:r>
        <w:rPr/>
        <w:t xml:space="preserve">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pPr>
        <w:pStyle w:val="Normal"/>
        <w:ind w:firstLine="284"/>
        <w:jc w:val="both"/>
        <w:rPr/>
      </w:pPr>
      <w:r>
        <w:rPr>
          <w:b/>
          <w:bCs/>
        </w:rPr>
        <w:t>6.4.5.</w:t>
      </w:r>
      <w:r>
        <w:rPr/>
        <w:t xml:space="preserve">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p>
      <w:pPr>
        <w:pStyle w:val="Normal"/>
        <w:ind w:firstLine="284"/>
        <w:jc w:val="both"/>
        <w:rPr/>
      </w:pPr>
      <w:r>
        <w:rPr>
          <w:b/>
          <w:bCs/>
        </w:rPr>
        <w:t>6.4.6.</w:t>
      </w:r>
      <w:r>
        <w:rPr/>
        <w:t xml:space="preserve">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pPr>
        <w:pStyle w:val="Normal"/>
        <w:ind w:firstLine="284"/>
        <w:jc w:val="both"/>
        <w:rPr/>
      </w:pPr>
      <w:r>
        <w:rPr>
          <w:b/>
          <w:bCs/>
        </w:rPr>
        <w:t>6.4.7.</w:t>
      </w:r>
      <w:r>
        <w:rPr/>
        <w:t xml:space="preserve">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части - не менее 10 мм.</w:t>
      </w:r>
    </w:p>
    <w:p>
      <w:pPr>
        <w:pStyle w:val="Normal"/>
        <w:ind w:firstLine="284"/>
        <w:jc w:val="both"/>
        <w:rPr/>
      </w:pPr>
      <w:r>
        <w:rPr>
          <w:b/>
          <w:bCs/>
        </w:rPr>
        <w:t>6.4.8.</w:t>
      </w:r>
      <w:r>
        <w:rPr/>
        <w:t xml:space="preserve"> Расстояние между открытыми токоведущими частями газосветных трубок, не находящимися под одинаковым потенциалом, должно быть не менее 50 мм.</w:t>
      </w:r>
    </w:p>
    <w:p>
      <w:pPr>
        <w:pStyle w:val="Normal"/>
        <w:ind w:firstLine="284"/>
        <w:jc w:val="both"/>
        <w:rPr/>
      </w:pPr>
      <w:r>
        <w:rPr>
          <w:b/>
          <w:bCs/>
        </w:rPr>
        <w:t>6.4.9.</w:t>
      </w:r>
      <w:r>
        <w:rPr/>
        <w:t xml:space="preserve">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pPr>
        <w:pStyle w:val="Normal"/>
        <w:ind w:firstLine="284"/>
        <w:jc w:val="both"/>
        <w:rPr/>
      </w:pPr>
      <w:r>
        <w:rPr>
          <w:b/>
          <w:bCs/>
        </w:rPr>
        <w:t>6.4.10.</w:t>
      </w:r>
      <w:r>
        <w:rPr/>
        <w:t xml:space="preserve">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pPr>
        <w:pStyle w:val="Normal"/>
        <w:ind w:firstLine="284"/>
        <w:jc w:val="both"/>
        <w:rPr/>
      </w:pPr>
      <w:r>
        <w:rPr/>
        <w:t>Для отключения трансформаторов допускается применять пакетные выключатели с фиксированным положением рукоятки (головки).</w:t>
      </w:r>
    </w:p>
    <w:p>
      <w:pPr>
        <w:pStyle w:val="Normal"/>
        <w:ind w:firstLine="284"/>
        <w:jc w:val="both"/>
        <w:rPr/>
      </w:pPr>
      <w:r>
        <w:rPr>
          <w:b/>
          <w:bCs/>
        </w:rPr>
        <w:t>6.4.11.</w:t>
      </w:r>
      <w:r>
        <w:rPr/>
        <w:t xml:space="preserve"> Электроды газосветных трубок в местах присоединения проводов не должны испытывать натяжения.</w:t>
      </w:r>
    </w:p>
    <w:p>
      <w:pPr>
        <w:pStyle w:val="Normal"/>
        <w:ind w:firstLine="284"/>
        <w:jc w:val="both"/>
        <w:rPr/>
      </w:pPr>
      <w:r>
        <w:rPr>
          <w:b/>
          <w:bCs/>
        </w:rPr>
        <w:t>6.4.12.</w:t>
      </w:r>
      <w:r>
        <w:rPr/>
        <w:t xml:space="preserve">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pPr>
        <w:pStyle w:val="Normal"/>
        <w:ind w:firstLine="284"/>
        <w:jc w:val="both"/>
        <w:rPr/>
      </w:pPr>
      <w:r>
        <w:rPr/>
        <w:t>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п. 6.4.7.</w:t>
      </w:r>
    </w:p>
    <w:p>
      <w:pPr>
        <w:pStyle w:val="Normal"/>
        <w:ind w:firstLine="284"/>
        <w:jc w:val="both"/>
        <w:rPr/>
      </w:pPr>
      <w:r>
        <w:rPr>
          <w:b/>
          <w:bCs/>
        </w:rPr>
        <w:t>6.4.13.</w:t>
      </w:r>
      <w:r>
        <w:rPr/>
        <w:t xml:space="preserve">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p>
      <w:pPr>
        <w:pStyle w:val="Normal"/>
        <w:ind w:firstLine="284"/>
        <w:jc w:val="both"/>
        <w:rPr/>
      </w:pPr>
      <w:r>
        <w:rPr>
          <w:b/>
          <w:bCs/>
        </w:rPr>
        <w:t>6.4.14. В</w:t>
      </w:r>
      <w:r>
        <w:rPr/>
        <w:t xml:space="preserve">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p>
      <w:pPr>
        <w:pStyle w:val="Normal"/>
        <w:ind w:firstLine="284"/>
        <w:jc w:val="both"/>
        <w:rPr/>
      </w:pPr>
      <w:r>
        <w:rPr>
          <w:b/>
          <w:bCs/>
        </w:rPr>
        <w:t>6.4.15.</w:t>
      </w:r>
      <w:r>
        <w:rPr/>
        <w:t xml:space="preserve">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п. 6.4.17).</w:t>
      </w:r>
    </w:p>
    <w:p>
      <w:pPr>
        <w:pStyle w:val="Normal"/>
        <w:ind w:firstLine="284"/>
        <w:jc w:val="both"/>
        <w:rPr/>
      </w:pPr>
      <w:r>
        <w:rPr/>
        <w:t>Информационные световые табло и указатели направления движения пешеходов в пешеходных тоннелях должны быть включены круглосуточно.</w:t>
      </w:r>
    </w:p>
    <w:p>
      <w:pPr>
        <w:pStyle w:val="Normal"/>
        <w:ind w:firstLine="284"/>
        <w:jc w:val="both"/>
        <w:rPr/>
      </w:pPr>
      <w:r>
        <w:rPr>
          <w:b/>
          <w:bCs/>
        </w:rPr>
        <w:t>6.4.16.</w:t>
      </w:r>
      <w:r>
        <w:rPr/>
        <w:t xml:space="preserve">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pPr>
        <w:pStyle w:val="Normal"/>
        <w:ind w:firstLine="284"/>
        <w:jc w:val="both"/>
        <w:rPr/>
      </w:pPr>
      <w:r>
        <w:rPr>
          <w:b/>
          <w:bCs/>
        </w:rPr>
        <w:t>6.4.17.</w:t>
      </w:r>
      <w:r>
        <w:rPr/>
        <w:t xml:space="preserve"> Присоединение к сетям освещения улиц, дорог и площадей номерных знаков зданий и витрин не допускается (см. п. 7.1.20).</w:t>
      </w:r>
    </w:p>
    <w:p>
      <w:pPr>
        <w:pStyle w:val="Normal"/>
        <w:ind w:firstLine="284"/>
        <w:jc w:val="both"/>
        <w:rPr/>
      </w:pPr>
      <w:r>
        <w:rPr>
          <w:b/>
          <w:bCs/>
        </w:rPr>
        <w:t>6.4.18.</w:t>
      </w:r>
      <w:r>
        <w:rPr/>
        <w:t xml:space="preserve">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pPr>
        <w:pStyle w:val="Normal"/>
        <w:ind w:firstLine="284"/>
        <w:jc w:val="both"/>
        <w:rPr/>
      </w:pPr>
      <w:r>
        <w:rPr/>
        <w:t>Для линии должна предусматриваться защита от сверхтока и токов утечки (УЗО).</w:t>
      </w:r>
    </w:p>
    <w:p>
      <w:pPr>
        <w:pStyle w:val="Heading2"/>
        <w:rPr/>
      </w:pPr>
      <w:bookmarkStart w:id="29" w:name="_%D0%93%D0%BB%D0%B0%D0%B2%D0%B0_6.5_%D0%"/>
      <w:bookmarkEnd w:id="29"/>
      <w:r>
        <w:rPr/>
        <w:t>Глава 6.5 УПРАВЛЕНИЕ ОСВЕЩЕНИЕМ</w:t>
      </w:r>
    </w:p>
    <w:p>
      <w:pPr>
        <w:pStyle w:val="Heading3"/>
        <w:rPr/>
      </w:pPr>
      <w:r>
        <w:rPr/>
        <w:t>Общие требования</w:t>
      </w:r>
    </w:p>
    <w:p>
      <w:pPr>
        <w:pStyle w:val="Normal"/>
        <w:ind w:firstLine="284"/>
        <w:jc w:val="both"/>
        <w:rPr/>
      </w:pPr>
      <w:r>
        <w:rPr>
          <w:b/>
          <w:bCs/>
        </w:rPr>
        <w:t>6.5.1.</w:t>
      </w:r>
      <w:r>
        <w:rPr/>
        <w:t xml:space="preserve"> Управление наружным освещением должно выполняться независимым от управления внутренним освещением.</w:t>
      </w:r>
    </w:p>
    <w:p>
      <w:pPr>
        <w:pStyle w:val="Normal"/>
        <w:ind w:firstLine="284"/>
        <w:jc w:val="both"/>
        <w:rPr/>
      </w:pPr>
      <w:r>
        <w:rPr>
          <w:b/>
          <w:bCs/>
        </w:rPr>
        <w:t>6.5.2.</w:t>
      </w:r>
      <w:r>
        <w:rPr/>
        <w:t xml:space="preserve"> В городах и населенных пунктах, на промышленных предприятиях должно предусматриваться централизованное управление наружным освещением (см. также пп. 6.5.24, 6.5.27, 6.5.28).</w:t>
      </w:r>
    </w:p>
    <w:p>
      <w:pPr>
        <w:pStyle w:val="Normal"/>
        <w:ind w:firstLine="284"/>
        <w:jc w:val="both"/>
        <w:rPr/>
      </w:pPr>
      <w:r>
        <w:rP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pPr>
        <w:pStyle w:val="Normal"/>
        <w:ind w:firstLine="284"/>
        <w:jc w:val="both"/>
        <w:rPr/>
      </w:pPr>
      <w:r>
        <w:rP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pPr>
        <w:pStyle w:val="Normal"/>
        <w:ind w:firstLine="284"/>
        <w:jc w:val="both"/>
        <w:rPr/>
      </w:pPr>
      <w:r>
        <w:rPr>
          <w:b/>
          <w:bCs/>
        </w:rPr>
        <w:t>6.5.3.</w:t>
      </w:r>
      <w:r>
        <w:rPr/>
        <w:t xml:space="preserve">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pPr>
        <w:pStyle w:val="Normal"/>
        <w:ind w:firstLine="284"/>
        <w:jc w:val="both"/>
        <w:rPr/>
      </w:pPr>
      <w:r>
        <w:rPr>
          <w:b/>
          <w:bCs/>
        </w:rPr>
        <w:t>6.5.4.</w:t>
      </w:r>
      <w:r>
        <w:rPr/>
        <w:t xml:space="preserve"> Централизованное управление освещением рекомендуется производить:</w:t>
      </w:r>
    </w:p>
    <w:p>
      <w:pPr>
        <w:pStyle w:val="Normal"/>
        <w:ind w:left="567" w:hanging="283"/>
        <w:jc w:val="both"/>
        <w:rPr/>
      </w:pPr>
      <w:r>
        <w:rPr>
          <w:rFonts w:cs="Symbol" w:ascii="Symbol" w:hAnsi="Symbol"/>
        </w:rPr>
        <w:t></w:t>
      </w:r>
      <w:r>
        <w:rPr>
          <w:sz w:val="14"/>
          <w:szCs w:val="14"/>
        </w:rPr>
        <w:t xml:space="preserve">    </w:t>
      </w:r>
      <w:r>
        <w:rP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pPr>
        <w:pStyle w:val="Normal"/>
        <w:ind w:left="567" w:hanging="283"/>
        <w:jc w:val="both"/>
        <w:rPr/>
      </w:pPr>
      <w:r>
        <w:rPr>
          <w:rFonts w:cs="Symbol" w:ascii="Symbol" w:hAnsi="Symbol"/>
        </w:rPr>
        <w:t></w:t>
      </w:r>
      <w:r>
        <w:rPr>
          <w:sz w:val="14"/>
          <w:szCs w:val="14"/>
        </w:rPr>
        <w:t xml:space="preserve">    </w:t>
      </w:r>
      <w:r>
        <w:rPr/>
        <w:t>наружным освещением городов и населенных пунктов - из пункта управления наружным освещением;</w:t>
      </w:r>
    </w:p>
    <w:p>
      <w:pPr>
        <w:pStyle w:val="Normal"/>
        <w:ind w:left="567" w:hanging="283"/>
        <w:jc w:val="both"/>
        <w:rPr/>
      </w:pPr>
      <w:r>
        <w:rPr>
          <w:rFonts w:cs="Symbol" w:ascii="Symbol" w:hAnsi="Symbol"/>
        </w:rPr>
        <w:t></w:t>
      </w:r>
      <w:r>
        <w:rPr>
          <w:sz w:val="14"/>
          <w:szCs w:val="14"/>
        </w:rPr>
        <w:t xml:space="preserve">    </w:t>
      </w:r>
      <w:r>
        <w:rPr/>
        <w:t>внутренним освещением - из помещения, в котором находится обслуживающий персонал.</w:t>
      </w:r>
    </w:p>
    <w:p>
      <w:pPr>
        <w:pStyle w:val="Normal"/>
        <w:ind w:firstLine="284"/>
        <w:jc w:val="both"/>
        <w:rPr/>
      </w:pPr>
      <w:r>
        <w:rPr>
          <w:b/>
          <w:bCs/>
        </w:rPr>
        <w:t>6.5.5.</w:t>
      </w:r>
      <w:r>
        <w:rPr/>
        <w:t xml:space="preserve"> Питание устройств централизованного управления наружным и внутренним освещением рекомендуется предусматривать от двух независимых источников.</w:t>
      </w:r>
    </w:p>
    <w:p>
      <w:pPr>
        <w:pStyle w:val="Normal"/>
        <w:ind w:firstLine="284"/>
        <w:jc w:val="both"/>
        <w:rPr/>
      </w:pPr>
      <w:r>
        <w:rPr/>
        <w:t>Питание децентрализованных устройств управления допускается выполнять от линий, питающих осветительные установки.</w:t>
      </w:r>
    </w:p>
    <w:p>
      <w:pPr>
        <w:pStyle w:val="Normal"/>
        <w:ind w:firstLine="284"/>
        <w:jc w:val="both"/>
        <w:rPr/>
      </w:pPr>
      <w:r>
        <w:rPr>
          <w:b/>
          <w:bCs/>
        </w:rPr>
        <w:t>6.5.6.</w:t>
      </w:r>
      <w:r>
        <w:rPr/>
        <w:t xml:space="preserve">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pPr>
        <w:pStyle w:val="Normal"/>
        <w:ind w:firstLine="284"/>
        <w:jc w:val="both"/>
        <w:rPr/>
      </w:pPr>
      <w:r>
        <w:rPr>
          <w:b/>
          <w:bCs/>
        </w:rPr>
        <w:t>6.5.7.</w:t>
      </w:r>
      <w:r>
        <w:rPr/>
        <w:t xml:space="preserve">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pPr>
        <w:pStyle w:val="Normal"/>
        <w:ind w:firstLine="284"/>
        <w:jc w:val="both"/>
        <w:rPr/>
      </w:pPr>
      <w:r>
        <w:rPr>
          <w:b/>
          <w:bCs/>
        </w:rPr>
        <w:t>6.5.8.</w:t>
      </w:r>
      <w:r>
        <w:rPr/>
        <w:t xml:space="preserve">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pPr>
        <w:pStyle w:val="Normal"/>
        <w:ind w:firstLine="284"/>
        <w:jc w:val="both"/>
        <w:rPr/>
      </w:pPr>
      <w:r>
        <w:rPr>
          <w:b/>
          <w:bCs/>
        </w:rPr>
        <w:t>6.5.9.</w:t>
      </w:r>
      <w:r>
        <w:rPr/>
        <w:t xml:space="preserve">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pPr>
        <w:pStyle w:val="Normal"/>
        <w:ind w:firstLine="284"/>
        <w:jc w:val="both"/>
        <w:rPr/>
      </w:pPr>
      <w:r>
        <w:rP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pPr>
        <w:pStyle w:val="Normal"/>
        <w:ind w:firstLine="284"/>
        <w:jc w:val="both"/>
        <w:rPr/>
      </w:pPr>
      <w:r>
        <w:rPr/>
        <w:t>В каскадных контролируемых схемах централизованного управления наружным освещением (пп. 6.1.8, 6.5.29) допускается не более двух неконтролируемых пунктов питания.</w:t>
      </w:r>
    </w:p>
    <w:p>
      <w:pPr>
        <w:pStyle w:val="Heading3"/>
        <w:rPr/>
      </w:pPr>
      <w:r>
        <w:rPr/>
        <w:t>Управление внутренним освещением</w:t>
      </w:r>
    </w:p>
    <w:p>
      <w:pPr>
        <w:pStyle w:val="Normal"/>
        <w:ind w:firstLine="284"/>
        <w:jc w:val="both"/>
        <w:rPr/>
      </w:pPr>
      <w:r>
        <w:rPr>
          <w:b/>
          <w:bCs/>
        </w:rPr>
        <w:t>6.5.10.</w:t>
      </w:r>
      <w:r>
        <w:rPr/>
        <w:t xml:space="preserve">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pPr>
        <w:pStyle w:val="Normal"/>
        <w:ind w:firstLine="284"/>
        <w:jc w:val="both"/>
        <w:rPr/>
      </w:pPr>
      <w:r>
        <w:rPr>
          <w:b/>
          <w:bCs/>
        </w:rPr>
        <w:t>6.5.11.</w:t>
      </w:r>
      <w:r>
        <w:rPr/>
        <w:t xml:space="preserve">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pPr>
        <w:pStyle w:val="Normal"/>
        <w:ind w:firstLine="284"/>
        <w:jc w:val="both"/>
        <w:rPr/>
      </w:pPr>
      <w:r>
        <w:rPr>
          <w:b/>
          <w:bCs/>
        </w:rPr>
        <w:t>6.5.12.</w:t>
      </w:r>
      <w:r>
        <w:rPr/>
        <w:t xml:space="preserve">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pPr>
        <w:pStyle w:val="Normal"/>
        <w:ind w:firstLine="284"/>
        <w:jc w:val="both"/>
        <w:rPr/>
      </w:pPr>
      <w:r>
        <w:rPr>
          <w:b/>
          <w:bCs/>
        </w:rPr>
        <w:t>6.5.13.</w:t>
      </w:r>
      <w:r>
        <w:rPr/>
        <w:t xml:space="preserve">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pPr>
        <w:pStyle w:val="Normal"/>
        <w:ind w:firstLine="284"/>
        <w:jc w:val="both"/>
        <w:rPr/>
      </w:pPr>
      <w:r>
        <w:rPr/>
        <w:t>Выключатели светильников душевых и раздевалок при них, горячих цехов столовых должны устанавливаться вне этих помещений.</w:t>
      </w:r>
    </w:p>
    <w:p>
      <w:pPr>
        <w:pStyle w:val="Normal"/>
        <w:ind w:firstLine="284"/>
        <w:jc w:val="both"/>
        <w:rPr/>
      </w:pPr>
      <w:r>
        <w:rPr>
          <w:b/>
          <w:bCs/>
        </w:rPr>
        <w:t>6.5.14.</w:t>
      </w:r>
      <w:r>
        <w:rPr/>
        <w:t xml:space="preserve">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pPr>
        <w:pStyle w:val="Normal"/>
        <w:ind w:firstLine="284"/>
        <w:jc w:val="both"/>
        <w:rPr/>
      </w:pPr>
      <w:r>
        <w:rPr>
          <w:b/>
          <w:bCs/>
        </w:rPr>
        <w:t>6.5.15.</w:t>
      </w:r>
      <w:r>
        <w:rPr/>
        <w:t xml:space="preserve">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pPr>
        <w:pStyle w:val="Normal"/>
        <w:ind w:firstLine="284"/>
        <w:jc w:val="both"/>
        <w:rPr/>
      </w:pPr>
      <w:r>
        <w:rPr>
          <w:b/>
          <w:bCs/>
        </w:rPr>
        <w:t>6.5.16.</w:t>
      </w:r>
      <w:r>
        <w:rPr/>
        <w:t xml:space="preserve">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p>
      <w:pPr>
        <w:pStyle w:val="Normal"/>
        <w:ind w:firstLine="284"/>
        <w:jc w:val="both"/>
        <w:rPr/>
      </w:pPr>
      <w:r>
        <w:rPr>
          <w:b/>
          <w:bCs/>
        </w:rPr>
        <w:t>6.5.17.</w:t>
      </w:r>
      <w:r>
        <w:rPr/>
        <w:t xml:space="preserve">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pPr>
        <w:pStyle w:val="Normal"/>
        <w:ind w:firstLine="284"/>
        <w:jc w:val="both"/>
        <w:rPr/>
      </w:pPr>
      <w:r>
        <w:rPr>
          <w:b/>
          <w:bCs/>
        </w:rPr>
        <w:t>6.5.18.</w:t>
      </w:r>
      <w:r>
        <w:rPr/>
        <w:t xml:space="preserve">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pPr>
        <w:pStyle w:val="Heading3"/>
        <w:rPr/>
      </w:pPr>
      <w:r>
        <w:rPr/>
        <w:t>Управление наружным освещением</w:t>
      </w:r>
    </w:p>
    <w:p>
      <w:pPr>
        <w:pStyle w:val="Normal"/>
        <w:ind w:firstLine="284"/>
        <w:jc w:val="both"/>
        <w:rPr/>
      </w:pPr>
      <w:r>
        <w:rPr>
          <w:b/>
          <w:bCs/>
        </w:rPr>
        <w:t>6.5.19.</w:t>
      </w:r>
      <w:r>
        <w:rPr/>
        <w:t xml:space="preserve"> Система управления наружным освещением должна обеспечивать его отключение в течение не более 3 мин.</w:t>
      </w:r>
    </w:p>
    <w:p>
      <w:pPr>
        <w:pStyle w:val="Normal"/>
        <w:ind w:firstLine="284"/>
        <w:jc w:val="both"/>
        <w:rPr/>
      </w:pPr>
      <w:r>
        <w:rPr/>
        <w:t>Управление наружным освещением рекомендуется осуществлять из ограниченного числа мест.</w:t>
      </w:r>
    </w:p>
    <w:p>
      <w:pPr>
        <w:pStyle w:val="Normal"/>
        <w:ind w:firstLine="284"/>
        <w:jc w:val="both"/>
        <w:rPr/>
      </w:pPr>
      <w:r>
        <w:rPr>
          <w:b/>
          <w:bCs/>
        </w:rPr>
        <w:t>6.5.20.</w:t>
      </w:r>
      <w:r>
        <w:rPr/>
        <w:t xml:space="preserve">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p>
      <w:pPr>
        <w:pStyle w:val="Normal"/>
        <w:ind w:firstLine="284"/>
        <w:jc w:val="both"/>
        <w:rPr/>
      </w:pPr>
      <w:r>
        <w:rPr>
          <w:b/>
          <w:bCs/>
        </w:rPr>
        <w:t>6.5.21.</w:t>
      </w:r>
      <w:r>
        <w:rPr/>
        <w:t xml:space="preserve"> Централизованное управление наружным освещением городов и населенных пунктов рекомендуется выполнять:</w:t>
      </w:r>
    </w:p>
    <w:p>
      <w:pPr>
        <w:pStyle w:val="Normal"/>
        <w:ind w:left="567" w:hanging="283"/>
        <w:jc w:val="both"/>
        <w:rPr/>
      </w:pPr>
      <w:r>
        <w:rPr>
          <w:rFonts w:cs="Symbol" w:ascii="Symbol" w:hAnsi="Symbol"/>
        </w:rPr>
        <w:t></w:t>
      </w:r>
      <w:r>
        <w:rPr>
          <w:sz w:val="14"/>
          <w:szCs w:val="14"/>
        </w:rPr>
        <w:t xml:space="preserve">    </w:t>
      </w:r>
      <w:r>
        <w:rPr/>
        <w:t>телемеханическим - при количестве жителей более 50 тыс.;</w:t>
      </w:r>
    </w:p>
    <w:p>
      <w:pPr>
        <w:pStyle w:val="Normal"/>
        <w:ind w:left="567" w:hanging="283"/>
        <w:jc w:val="both"/>
        <w:rPr/>
      </w:pPr>
      <w:r>
        <w:rPr>
          <w:rFonts w:cs="Symbol" w:ascii="Symbol" w:hAnsi="Symbol"/>
        </w:rPr>
        <w:t></w:t>
      </w:r>
      <w:r>
        <w:rPr>
          <w:sz w:val="14"/>
          <w:szCs w:val="14"/>
        </w:rPr>
        <w:t xml:space="preserve">    </w:t>
      </w:r>
      <w:r>
        <w:rPr/>
        <w:t>телемеханическим или дистанционным - при количестве жителей от 20 до 50 тыс.;</w:t>
      </w:r>
    </w:p>
    <w:p>
      <w:pPr>
        <w:pStyle w:val="Normal"/>
        <w:ind w:left="567" w:hanging="283"/>
        <w:jc w:val="both"/>
        <w:rPr/>
      </w:pPr>
      <w:r>
        <w:rPr>
          <w:rFonts w:cs="Symbol" w:ascii="Symbol" w:hAnsi="Symbol"/>
        </w:rPr>
        <w:t></w:t>
      </w:r>
      <w:r>
        <w:rPr>
          <w:sz w:val="14"/>
          <w:szCs w:val="14"/>
        </w:rPr>
        <w:t xml:space="preserve">    </w:t>
      </w:r>
      <w:r>
        <w:rPr/>
        <w:t>дистанционным - при количестве жителей до 20 тыс.</w:t>
      </w:r>
    </w:p>
    <w:p>
      <w:pPr>
        <w:pStyle w:val="Normal"/>
        <w:ind w:firstLine="284"/>
        <w:jc w:val="both"/>
        <w:rPr/>
      </w:pPr>
      <w:r>
        <w:rPr>
          <w:b/>
          <w:bCs/>
        </w:rPr>
        <w:t>6.5.22.</w:t>
      </w:r>
      <w:r>
        <w:rPr/>
        <w:t xml:space="preserve">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pPr>
        <w:pStyle w:val="Normal"/>
        <w:ind w:firstLine="284"/>
        <w:jc w:val="both"/>
        <w:rPr/>
      </w:pPr>
      <w:r>
        <w:rPr>
          <w:b/>
          <w:bCs/>
        </w:rPr>
        <w:t>6.5.23.</w:t>
      </w:r>
      <w:r>
        <w:rPr/>
        <w:t xml:space="preserve">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pPr>
        <w:pStyle w:val="Normal"/>
        <w:ind w:firstLine="284"/>
        <w:jc w:val="both"/>
        <w:rPr/>
      </w:pPr>
      <w:r>
        <w:rPr>
          <w:b/>
          <w:bCs/>
        </w:rPr>
        <w:t>6.5.24.</w:t>
      </w:r>
      <w:r>
        <w:rPr/>
        <w:t xml:space="preserve">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pPr>
        <w:pStyle w:val="Normal"/>
        <w:ind w:firstLine="284"/>
        <w:jc w:val="both"/>
        <w:rPr/>
      </w:pPr>
      <w:r>
        <w:rPr/>
        <w:t>Между центральным и районным диспетчерскими пунктами необходима прямая телефонная связь.</w:t>
      </w:r>
    </w:p>
    <w:p>
      <w:pPr>
        <w:pStyle w:val="Normal"/>
        <w:ind w:firstLine="284"/>
        <w:jc w:val="both"/>
        <w:rPr/>
      </w:pPr>
      <w:r>
        <w:rPr>
          <w:b/>
          <w:bCs/>
        </w:rPr>
        <w:t>6.5.25.</w:t>
      </w:r>
      <w:r>
        <w:rPr/>
        <w:t xml:space="preserve">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pPr>
        <w:pStyle w:val="Normal"/>
        <w:ind w:firstLine="284"/>
        <w:jc w:val="both"/>
        <w:rPr/>
      </w:pPr>
      <w:r>
        <w:rPr>
          <w:b/>
          <w:bCs/>
        </w:rPr>
        <w:t>6.5.26.</w:t>
      </w:r>
      <w:r>
        <w:rPr/>
        <w:t xml:space="preserve">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p>
      <w:pPr>
        <w:pStyle w:val="Normal"/>
        <w:ind w:firstLine="284"/>
        <w:jc w:val="both"/>
        <w:rPr/>
      </w:pPr>
      <w:r>
        <w:rPr>
          <w:b/>
          <w:bCs/>
        </w:rPr>
        <w:t>6.5.27.</w:t>
      </w:r>
      <w:r>
        <w:rPr/>
        <w:t xml:space="preserve">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pPr>
        <w:pStyle w:val="Normal"/>
        <w:ind w:firstLine="284"/>
        <w:jc w:val="both"/>
        <w:rPr/>
      </w:pPr>
      <w:r>
        <w:rP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pPr>
        <w:pStyle w:val="Normal"/>
        <w:ind w:firstLine="284"/>
        <w:jc w:val="both"/>
        <w:rPr/>
      </w:pPr>
      <w:r>
        <w:rPr>
          <w:b/>
          <w:bCs/>
        </w:rPr>
        <w:t>6.5.28.</w:t>
      </w:r>
      <w:r>
        <w:rPr/>
        <w:t xml:space="preserve">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pPr>
        <w:pStyle w:val="Normal"/>
        <w:ind w:firstLine="284"/>
        <w:jc w:val="both"/>
        <w:rPr/>
      </w:pPr>
      <w:r>
        <w:rPr>
          <w:b/>
          <w:bCs/>
        </w:rPr>
        <w:t>6.5.29.</w:t>
      </w:r>
      <w:r>
        <w:rPr/>
        <w:t xml:space="preserve">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pPr>
        <w:pStyle w:val="Normal"/>
        <w:ind w:firstLine="284"/>
        <w:jc w:val="both"/>
        <w:rPr/>
      </w:pPr>
      <w:r>
        <w:rP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pPr>
        <w:pStyle w:val="Normal"/>
        <w:ind w:firstLine="284"/>
        <w:jc w:val="both"/>
        <w:rPr/>
      </w:pPr>
      <w:r>
        <w:rPr/>
        <w:t>В воздушно-кабельных сетях допускается включение в один каскад до 10 пунктов питания, а в кабельных - до 15 пунктов питания сети уличного освещения.</w:t>
      </w:r>
    </w:p>
    <w:p>
      <w:pPr>
        <w:pStyle w:val="Heading2"/>
        <w:rPr/>
      </w:pPr>
      <w:bookmarkStart w:id="30" w:name="_%D0%93%D0%BB%D0%B0%D0%B2%D0%B0_6.6_%D0%"/>
      <w:bookmarkEnd w:id="30"/>
      <w:r>
        <w:rPr/>
        <w:t>Глава 6.6 ОСВЕТИТЕЛЬНЫЕ ПРИБОРЫ И ЭЛЕКТРОУСТАНОВОЧНЫЕ УСТРОЙСТВА</w:t>
      </w:r>
    </w:p>
    <w:p>
      <w:pPr>
        <w:pStyle w:val="Heading3"/>
        <w:rPr/>
      </w:pPr>
      <w:bookmarkStart w:id="31" w:name="_%D0%9E%D1%81%D0%B2%D0%B5%D1%82%D0%B8%D1"/>
      <w:bookmarkEnd w:id="31"/>
      <w:r>
        <w:rPr/>
        <w:t>Осветительные приборы</w:t>
      </w:r>
    </w:p>
    <w:p>
      <w:pPr>
        <w:pStyle w:val="Normal"/>
        <w:ind w:firstLine="284"/>
        <w:jc w:val="both"/>
        <w:rPr/>
      </w:pPr>
      <w:r>
        <w:rPr>
          <w:b/>
          <w:bCs/>
        </w:rPr>
        <w:t>6.6.1.</w:t>
      </w:r>
      <w:r>
        <w:rPr/>
        <w:t xml:space="preserve">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pPr>
        <w:pStyle w:val="Normal"/>
        <w:ind w:firstLine="284"/>
        <w:jc w:val="both"/>
        <w:rPr/>
      </w:pPr>
      <w:r>
        <w:rPr/>
        <w:t>В производственных помещениях, оборудованных мостовыми кранами, участвующими в непрерывном производственном процессе, а также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могут производиться на специальных стационарных мостиках, выполненных из негорючих материалов. Ширина мостиков должна быть не менее 0,6 м, они должны иметь ограждения высотой не менее 1 м.</w:t>
      </w:r>
    </w:p>
    <w:p>
      <w:pPr>
        <w:pStyle w:val="Normal"/>
        <w:ind w:firstLine="284"/>
        <w:jc w:val="both"/>
        <w:rPr/>
      </w:pPr>
      <w:r>
        <w:rP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pPr>
        <w:pStyle w:val="Normal"/>
        <w:ind w:firstLine="284"/>
        <w:jc w:val="both"/>
        <w:rPr/>
      </w:pPr>
      <w:r>
        <w:rPr>
          <w:b/>
          <w:bCs/>
        </w:rPr>
        <w:t>6.6.2.</w:t>
      </w:r>
      <w:r>
        <w:rPr/>
        <w:t xml:space="preserve">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pPr>
        <w:pStyle w:val="Normal"/>
        <w:ind w:firstLine="284"/>
        <w:jc w:val="both"/>
        <w:rPr/>
      </w:pPr>
      <w:r>
        <w:rPr>
          <w:b/>
          <w:bCs/>
        </w:rPr>
        <w:t>6.6.3.</w:t>
      </w:r>
      <w:r>
        <w:rPr/>
        <w:t xml:space="preserve">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pPr>
        <w:pStyle w:val="Normal"/>
        <w:ind w:firstLine="284"/>
        <w:jc w:val="both"/>
        <w:rPr/>
      </w:pPr>
      <w:r>
        <w:rPr>
          <w:b/>
          <w:bCs/>
        </w:rPr>
        <w:t>6.6.4.</w:t>
      </w:r>
      <w:r>
        <w:rPr/>
        <w:t xml:space="preserve">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p>
      <w:pPr>
        <w:pStyle w:val="Normal"/>
        <w:ind w:firstLine="284"/>
        <w:jc w:val="both"/>
        <w:rPr/>
      </w:pPr>
      <w:r>
        <w:rPr>
          <w:b/>
          <w:bCs/>
        </w:rPr>
        <w:t>6.6.5.</w:t>
      </w:r>
      <w:r>
        <w:rPr/>
        <w:t xml:space="preserve"> Во взрывоопасных зонах все стационарно установленные осветительные приборы должны быть жестко укреплены для исключения раскачивания.</w:t>
      </w:r>
    </w:p>
    <w:p>
      <w:pPr>
        <w:pStyle w:val="Normal"/>
        <w:ind w:firstLine="284"/>
        <w:jc w:val="both"/>
        <w:rPr/>
      </w:pPr>
      <w:r>
        <w:rPr/>
        <w:t>При применении во взрывоопасных зонах щелевых световодов должны соблюдаться требования гл. 7.3.</w:t>
      </w:r>
    </w:p>
    <w:p>
      <w:pPr>
        <w:pStyle w:val="Normal"/>
        <w:ind w:firstLine="284"/>
        <w:jc w:val="both"/>
        <w:rPr/>
      </w:pPr>
      <w:r>
        <w:rPr/>
        <w:t>Для помещений, отнесенных к пожароопасным зонам П-IIa, должны быть использованы светильники с негорючими рассеивателями в виде сплошного силикатного стекла.</w:t>
      </w:r>
    </w:p>
    <w:p>
      <w:pPr>
        <w:pStyle w:val="Normal"/>
        <w:ind w:firstLine="284"/>
        <w:jc w:val="both"/>
        <w:rPr/>
      </w:pPr>
      <w:r>
        <w:rPr>
          <w:b/>
          <w:bCs/>
        </w:rPr>
        <w:t>6.6.6.</w:t>
      </w:r>
      <w:r>
        <w:rPr/>
        <w:t xml:space="preserve">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pPr>
        <w:pStyle w:val="Normal"/>
        <w:ind w:firstLine="284"/>
        <w:jc w:val="both"/>
        <w:rPr/>
      </w:pPr>
      <w:r>
        <w:rPr>
          <w:b/>
          <w:bCs/>
        </w:rPr>
        <w:t>6.6.7.</w:t>
      </w:r>
      <w:r>
        <w:rPr/>
        <w:t xml:space="preserve"> Для освещения транспортных тоннелей в городах и на автомобильных дорогах рекомендуется применять светильники со степенью защиты IР65.</w:t>
      </w:r>
    </w:p>
    <w:p>
      <w:pPr>
        <w:pStyle w:val="Normal"/>
        <w:ind w:firstLine="284"/>
        <w:jc w:val="both"/>
        <w:rPr/>
      </w:pPr>
      <w:r>
        <w:rPr>
          <w:b/>
          <w:bCs/>
        </w:rPr>
        <w:t>6.6.8.</w:t>
      </w:r>
      <w:r>
        <w:rPr/>
        <w:t xml:space="preserve"> Светильники местного освещения должны быть укреплены жестко или так, чтобы после перемещения они устойчиво сохраняли свое положение.</w:t>
      </w:r>
    </w:p>
    <w:p>
      <w:pPr>
        <w:pStyle w:val="Normal"/>
        <w:ind w:firstLine="284"/>
        <w:jc w:val="both"/>
        <w:rPr/>
      </w:pPr>
      <w:r>
        <w:rPr>
          <w:b/>
          <w:bCs/>
        </w:rPr>
        <w:t>6.6.9.</w:t>
      </w:r>
      <w:r>
        <w:rPr/>
        <w:t xml:space="preserve">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p>
      <w:pPr>
        <w:pStyle w:val="Normal"/>
        <w:ind w:firstLine="284"/>
        <w:jc w:val="both"/>
        <w:rPr/>
      </w:pPr>
      <w:r>
        <w:rPr>
          <w:b/>
          <w:bCs/>
        </w:rPr>
        <w:t>6.6.10.</w:t>
      </w:r>
      <w:r>
        <w:rPr/>
        <w:t xml:space="preserve">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pPr>
        <w:pStyle w:val="Normal"/>
        <w:ind w:firstLine="284"/>
        <w:jc w:val="both"/>
        <w:rPr/>
      </w:pPr>
      <w:r>
        <w:rP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pPr>
        <w:pStyle w:val="Normal"/>
        <w:ind w:firstLine="284"/>
        <w:jc w:val="both"/>
        <w:rPr/>
      </w:pPr>
      <w:r>
        <w:rPr>
          <w:b/>
          <w:bCs/>
        </w:rPr>
        <w:t>6.6.11.</w:t>
      </w:r>
      <w:r>
        <w:rPr/>
        <w:t xml:space="preserve"> 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обшитых листовой сталью по асбесту.</w:t>
      </w:r>
    </w:p>
    <w:p>
      <w:pPr>
        <w:pStyle w:val="Normal"/>
        <w:ind w:firstLine="284"/>
        <w:jc w:val="both"/>
        <w:rPr/>
      </w:pPr>
      <w:r>
        <w:rPr>
          <w:b/>
          <w:bCs/>
        </w:rPr>
        <w:t>6.6.12.</w:t>
      </w:r>
      <w:r>
        <w:rPr/>
        <w:t xml:space="preserve">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pPr>
        <w:pStyle w:val="Normal"/>
        <w:ind w:firstLine="284"/>
        <w:jc w:val="both"/>
        <w:rPr/>
      </w:pPr>
      <w:r>
        <w:rPr>
          <w:b/>
          <w:bCs/>
        </w:rPr>
        <w:t>6.6.13.</w:t>
      </w:r>
      <w:r>
        <w:rPr/>
        <w:t xml:space="preserve">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pPr>
        <w:pStyle w:val="Normal"/>
        <w:ind w:firstLine="284"/>
        <w:jc w:val="both"/>
        <w:rPr/>
      </w:pPr>
      <w:r>
        <w:rPr>
          <w:b/>
          <w:bCs/>
        </w:rPr>
        <w:t>6.6.14.</w:t>
      </w:r>
      <w:r>
        <w:rPr/>
        <w:t xml:space="preserve">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pPr>
        <w:pStyle w:val="Normal"/>
        <w:ind w:firstLine="284"/>
        <w:jc w:val="both"/>
        <w:rPr/>
      </w:pPr>
      <w:r>
        <w:rPr>
          <w:b/>
          <w:bCs/>
        </w:rPr>
        <w:t>6.6.15.</w:t>
      </w:r>
      <w:r>
        <w:rPr/>
        <w:t xml:space="preserve">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w:t>
      </w:r>
    </w:p>
    <w:p>
      <w:pPr>
        <w:pStyle w:val="Normal"/>
        <w:ind w:firstLine="284"/>
        <w:jc w:val="both"/>
        <w:rPr/>
      </w:pPr>
      <w:r>
        <w:rP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Pr>
          <w:vertAlign w:val="superscript"/>
        </w:rPr>
        <w:t>2</w:t>
      </w:r>
      <w:r>
        <w:rPr/>
        <w:t xml:space="preserve"> внутри зданий и 1 мм</w:t>
      </w:r>
      <w:r>
        <w:rPr>
          <w:vertAlign w:val="superscript"/>
        </w:rPr>
        <w:t>2</w:t>
      </w:r>
      <w:r>
        <w:rPr/>
        <w:t xml:space="preserve">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w:t>
      </w:r>
    </w:p>
    <w:p>
      <w:pPr>
        <w:pStyle w:val="Normal"/>
        <w:ind w:firstLine="284"/>
        <w:jc w:val="both"/>
        <w:rPr/>
      </w:pPr>
      <w:r>
        <w:rPr/>
        <w:t>Вводимые в свободно подвешиваемые светильники незащищенные провода должны иметь медные жилы.</w:t>
      </w:r>
    </w:p>
    <w:p>
      <w:pPr>
        <w:pStyle w:val="Normal"/>
        <w:ind w:firstLine="284"/>
        <w:jc w:val="both"/>
        <w:rPr/>
      </w:pPr>
      <w:r>
        <w:rPr/>
        <w:t>Провода, прокладываемые внутри осветительной арматуры, должны иметь изоляцию, соответствующую номинальному напряжению сети (см. также п. 6.3.34).</w:t>
      </w:r>
    </w:p>
    <w:p>
      <w:pPr>
        <w:pStyle w:val="Normal"/>
        <w:ind w:firstLine="284"/>
        <w:jc w:val="both"/>
        <w:rPr/>
      </w:pPr>
      <w:r>
        <w:rPr>
          <w:b/>
          <w:bCs/>
        </w:rPr>
        <w:t>6.6.16.</w:t>
      </w:r>
      <w:r>
        <w:rPr/>
        <w:t xml:space="preserve">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Pr>
          <w:vertAlign w:val="superscript"/>
        </w:rPr>
        <w:t>2</w:t>
      </w:r>
      <w:r>
        <w:rPr/>
        <w:t xml:space="preserve"> для подвесных светильников и не менее 1 мм</w:t>
      </w:r>
      <w:r>
        <w:rPr>
          <w:vertAlign w:val="superscript"/>
        </w:rPr>
        <w:t>2</w:t>
      </w:r>
      <w:r>
        <w:rPr/>
        <w:t xml:space="preserve"> для консольных. Ответвления от воздушных линий рекомендуется выполнять с использованием специальных переходных ответвительных зажимов.</w:t>
      </w:r>
    </w:p>
    <w:p>
      <w:pPr>
        <w:pStyle w:val="Normal"/>
        <w:ind w:firstLine="284"/>
        <w:jc w:val="both"/>
        <w:rPr/>
      </w:pPr>
      <w:r>
        <w:rPr>
          <w:b/>
          <w:bCs/>
        </w:rPr>
        <w:t>6.6.17.</w:t>
      </w:r>
      <w:r>
        <w:rPr/>
        <w:t xml:space="preserve">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Pr>
          <w:vertAlign w:val="superscript"/>
        </w:rPr>
        <w:t>2</w:t>
      </w:r>
      <w:r>
        <w:rPr/>
        <w:t>.</w:t>
      </w:r>
    </w:p>
    <w:p>
      <w:pPr>
        <w:pStyle w:val="Normal"/>
        <w:ind w:firstLine="284"/>
        <w:jc w:val="both"/>
        <w:rPr/>
      </w:pPr>
      <w:r>
        <w:rPr>
          <w:b/>
          <w:bCs/>
        </w:rPr>
        <w:t>6.6.18.</w:t>
      </w:r>
      <w:r>
        <w:rPr/>
        <w:t xml:space="preserve"> Для зарядки стационарных светильников местного освещения должны применяться гибкие провода с медными жилами сечением не менее 1 мм</w:t>
      </w:r>
      <w:r>
        <w:rPr>
          <w:vertAlign w:val="superscript"/>
        </w:rPr>
        <w:t>2</w:t>
      </w:r>
      <w:r>
        <w:rPr/>
        <w:t xml:space="preserve"> для подвижных конструкций и не менее 0,5 мм</w:t>
      </w:r>
      <w:r>
        <w:rPr>
          <w:vertAlign w:val="superscript"/>
        </w:rPr>
        <w:t>2</w:t>
      </w:r>
      <w:r>
        <w:rPr/>
        <w:t xml:space="preserve"> для неподвижных.</w:t>
      </w:r>
    </w:p>
    <w:p>
      <w:pPr>
        <w:pStyle w:val="Normal"/>
        <w:ind w:firstLine="284"/>
        <w:jc w:val="both"/>
        <w:rPr/>
      </w:pPr>
      <w:r>
        <w:rPr/>
        <w:t>Изоляция проводов должна соответствовать номинальному напряжению сети.</w:t>
      </w:r>
    </w:p>
    <w:p>
      <w:pPr>
        <w:pStyle w:val="Normal"/>
        <w:ind w:firstLine="284"/>
        <w:jc w:val="both"/>
        <w:rPr/>
      </w:pPr>
      <w:r>
        <w:rPr>
          <w:b/>
          <w:bCs/>
        </w:rPr>
        <w:t>6.6.19.</w:t>
      </w:r>
      <w:r>
        <w:rPr/>
        <w:t xml:space="preserve"> Зарядка кронштейнов осветительной арматуры местного освещения должна соответствовать следующим требованиям:</w:t>
      </w:r>
    </w:p>
    <w:p>
      <w:pPr>
        <w:pStyle w:val="Normal"/>
        <w:ind w:firstLine="284"/>
        <w:jc w:val="both"/>
        <w:rPr/>
      </w:pPr>
      <w:r>
        <w:rP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pPr>
        <w:pStyle w:val="Normal"/>
        <w:ind w:firstLine="284"/>
        <w:jc w:val="both"/>
        <w:rPr/>
      </w:pPr>
      <w:r>
        <w:rPr/>
        <w:t>2. При наличии шарниров провода внутри шарнирных частей не должны подвергаться натяжению или перетиранию.</w:t>
      </w:r>
    </w:p>
    <w:p>
      <w:pPr>
        <w:pStyle w:val="Normal"/>
        <w:ind w:firstLine="284"/>
        <w:jc w:val="both"/>
        <w:rPr/>
      </w:pPr>
      <w:r>
        <w:rPr/>
        <w:t>3. Отверстия для проводов в кронштейнах должны иметь диаметр не менее 8 мм с допуском местных сужений до 6 мм; в местах вводов проводов должны применяться изолирующие втулки.</w:t>
      </w:r>
    </w:p>
    <w:p>
      <w:pPr>
        <w:pStyle w:val="Normal"/>
        <w:ind w:firstLine="284"/>
        <w:jc w:val="both"/>
        <w:rPr/>
      </w:pPr>
      <w:r>
        <w:rP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pPr>
        <w:pStyle w:val="Normal"/>
        <w:ind w:firstLine="284"/>
        <w:jc w:val="both"/>
        <w:rPr/>
      </w:pPr>
      <w:r>
        <w:rPr>
          <w:b/>
          <w:bCs/>
        </w:rPr>
        <w:t>6.6.20.</w:t>
      </w:r>
      <w:r>
        <w:rPr/>
        <w:t xml:space="preserve"> Присоединение прожекторов к сети должно выполняться гибким кабелем с медными жилами сечением не менее 1 мм</w:t>
      </w:r>
      <w:r>
        <w:rPr>
          <w:vertAlign w:val="superscript"/>
        </w:rPr>
        <w:t>2</w:t>
      </w:r>
      <w:r>
        <w:rPr/>
        <w:t xml:space="preserve"> длиной не менее 1,5 м. Защитное заземление прожекторов должно выполняться отдельной жилой.</w:t>
      </w:r>
    </w:p>
    <w:p>
      <w:pPr>
        <w:pStyle w:val="Heading3"/>
        <w:rPr/>
      </w:pPr>
      <w:bookmarkStart w:id="32" w:name="_%D0%AD%D0%BB%D0%B5%D0%BA%D1%82%D1%80%D0"/>
      <w:bookmarkEnd w:id="32"/>
      <w:r>
        <w:rPr/>
        <w:t>Электроустановочные устройства</w:t>
      </w:r>
    </w:p>
    <w:p>
      <w:pPr>
        <w:pStyle w:val="Normal"/>
        <w:ind w:firstLine="284"/>
        <w:jc w:val="both"/>
        <w:rPr/>
      </w:pPr>
      <w:r>
        <w:rPr>
          <w:b/>
          <w:bCs/>
        </w:rPr>
        <w:t>6.6.21.</w:t>
      </w:r>
      <w:r>
        <w:rPr/>
        <w:t xml:space="preserve"> Требования, приведенные в пп. 6.6.22-6.6.31,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pPr>
        <w:pStyle w:val="Normal"/>
        <w:ind w:firstLine="284"/>
        <w:jc w:val="both"/>
        <w:rPr/>
      </w:pPr>
      <w:r>
        <w:rPr>
          <w:b/>
          <w:bCs/>
        </w:rPr>
        <w:t>6.6.22.</w:t>
      </w:r>
      <w:r>
        <w:rPr/>
        <w:t xml:space="preserve">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p>
      <w:pPr>
        <w:pStyle w:val="Normal"/>
        <w:ind w:firstLine="284"/>
        <w:jc w:val="both"/>
        <w:rPr/>
      </w:pPr>
      <w:r>
        <w:rPr>
          <w:b/>
          <w:bCs/>
        </w:rPr>
        <w:t>6.6.23.</w:t>
      </w:r>
      <w:r>
        <w:rPr/>
        <w:t xml:space="preserve">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pPr>
        <w:pStyle w:val="Normal"/>
        <w:ind w:firstLine="284"/>
        <w:jc w:val="both"/>
        <w:rPr/>
      </w:pPr>
      <w:r>
        <w:rPr>
          <w:b/>
          <w:bCs/>
        </w:rPr>
        <w:t>6.6.24.</w:t>
      </w:r>
      <w:r>
        <w:rPr/>
        <w:t xml:space="preserve">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pPr>
        <w:pStyle w:val="Normal"/>
        <w:ind w:firstLine="284"/>
        <w:jc w:val="both"/>
        <w:rPr/>
      </w:pPr>
      <w:r>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pPr>
        <w:pStyle w:val="Normal"/>
        <w:ind w:firstLine="284"/>
        <w:jc w:val="both"/>
        <w:rPr/>
      </w:pPr>
      <w:r>
        <w:rPr>
          <w:b/>
          <w:bCs/>
        </w:rPr>
        <w:t>6.6.25.</w:t>
      </w:r>
      <w:r>
        <w:rPr/>
        <w:t xml:space="preserve">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pPr>
        <w:pStyle w:val="Normal"/>
        <w:ind w:firstLine="284"/>
        <w:jc w:val="both"/>
        <w:rPr/>
      </w:pPr>
      <w:r>
        <w:rPr>
          <w:b/>
          <w:bCs/>
        </w:rPr>
        <w:t>6.6.26.</w:t>
      </w:r>
      <w:r>
        <w:rPr/>
        <w:t xml:space="preserve"> Конструкция вилок штепсельных соединителей должна исключать натяжение или излом присоединяемых к ним проводов в местах присоединения.</w:t>
      </w:r>
    </w:p>
    <w:p>
      <w:pPr>
        <w:pStyle w:val="Normal"/>
        <w:ind w:firstLine="284"/>
        <w:jc w:val="both"/>
        <w:rPr/>
      </w:pPr>
      <w:r>
        <w:rPr>
          <w:b/>
          <w:bCs/>
        </w:rPr>
        <w:t>6.6.27.</w:t>
      </w:r>
      <w:r>
        <w:rPr/>
        <w:t xml:space="preserve">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pPr>
        <w:pStyle w:val="Normal"/>
        <w:ind w:firstLine="284"/>
        <w:jc w:val="both"/>
        <w:rPr/>
      </w:pPr>
      <w:r>
        <w:rPr>
          <w:b/>
          <w:bCs/>
        </w:rPr>
        <w:t>6.6.28.</w:t>
      </w:r>
      <w:r>
        <w:rPr/>
        <w:t xml:space="preserve">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pPr>
        <w:pStyle w:val="Normal"/>
        <w:ind w:firstLine="284"/>
        <w:jc w:val="both"/>
        <w:rPr/>
      </w:pPr>
      <w:r>
        <w:rPr>
          <w:b/>
          <w:bCs/>
        </w:rPr>
        <w:t>6.6.29.</w:t>
      </w:r>
      <w:r>
        <w:rPr/>
        <w:t xml:space="preserve">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pPr>
        <w:pStyle w:val="Normal"/>
        <w:ind w:firstLine="284"/>
        <w:jc w:val="both"/>
        <w:rPr/>
      </w:pPr>
      <w:r>
        <w:rPr>
          <w:b/>
          <w:bCs/>
        </w:rPr>
        <w:t>6.6.30.</w:t>
      </w:r>
      <w:r>
        <w:rPr/>
        <w:t xml:space="preserve"> Штепсельные розетки должны устанавливаться:</w:t>
      </w:r>
    </w:p>
    <w:p>
      <w:pPr>
        <w:pStyle w:val="Normal"/>
        <w:ind w:firstLine="284"/>
        <w:jc w:val="both"/>
        <w:rPr/>
      </w:pPr>
      <w:r>
        <w:rPr/>
        <w:t>1. В производственных помещениях, как правило, на высоте 0,8-1 м; при подводе проводов сверху допускается установка на высоте до 1,5 м.</w:t>
      </w:r>
    </w:p>
    <w:p>
      <w:pPr>
        <w:pStyle w:val="Normal"/>
        <w:ind w:firstLine="284"/>
        <w:jc w:val="both"/>
        <w:rPr/>
      </w:pPr>
      <w:r>
        <w:rPr/>
        <w:t>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(на) специально приспособленных для этого плинтусах, выполненных из негорючих материалов.</w:t>
      </w:r>
    </w:p>
    <w:p>
      <w:pPr>
        <w:pStyle w:val="Normal"/>
        <w:ind w:firstLine="284"/>
        <w:jc w:val="both"/>
        <w:rPr/>
      </w:pPr>
      <w:r>
        <w:rPr/>
        <w:t>3. В школах и детских учреждениях (в помещениях для пребывания детей) на высоте 1,8 м.</w:t>
      </w:r>
    </w:p>
    <w:p>
      <w:pPr>
        <w:pStyle w:val="Normal"/>
        <w:ind w:firstLine="284"/>
        <w:jc w:val="both"/>
        <w:rPr/>
      </w:pPr>
      <w:r>
        <w:rPr>
          <w:b/>
          <w:bCs/>
        </w:rPr>
        <w:t>6.6.31.</w:t>
      </w:r>
      <w:r>
        <w:rPr/>
        <w:t xml:space="preserve">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при помощи шнура.</w:t>
      </w:r>
    </w:p>
    <w:p>
      <w:pPr>
        <w:pStyle w:val="Heading1"/>
        <w:rPr/>
      </w:pPr>
      <w:bookmarkStart w:id="33" w:name="_%D0%A0%D0%B0%D0%B7%D0%B4%D0%B5%D0%BB_7_"/>
      <w:bookmarkEnd w:id="33"/>
      <w:r>
        <w:rPr/>
        <w:t>Раздел 7 ЭЛЕКТРООБОРУДОВАНИЕ СПЕЦИАЛЬНЫХ УСТАНОВОК</w:t>
      </w:r>
    </w:p>
    <w:p>
      <w:pPr>
        <w:pStyle w:val="Normal"/>
        <w:jc w:val="right"/>
        <w:rPr/>
      </w:pPr>
      <w:r>
        <w:rPr/>
        <w:t>УТВЕРЖДЕНО</w:t>
      </w:r>
    </w:p>
    <w:p>
      <w:pPr>
        <w:pStyle w:val="Normal"/>
        <w:jc w:val="right"/>
        <w:rPr/>
      </w:pPr>
      <w:r>
        <w:rPr/>
        <w:t>Минтопэнерго России</w:t>
      </w:r>
    </w:p>
    <w:p>
      <w:pPr>
        <w:pStyle w:val="Normal"/>
        <w:spacing w:before="0" w:after="120"/>
        <w:jc w:val="right"/>
        <w:rPr/>
      </w:pPr>
      <w:r>
        <w:rPr/>
        <w:t>06 октября 1999 г.</w:t>
      </w:r>
    </w:p>
    <w:p>
      <w:pPr>
        <w:pStyle w:val="Heading2"/>
        <w:rPr/>
      </w:pPr>
      <w:bookmarkStart w:id="34" w:name="_%D0%93%D0%BB%D0%B0%D0%B2%D0%B0_7.1_%D0%"/>
      <w:bookmarkEnd w:id="34"/>
      <w:r>
        <w:rPr/>
        <w:t>Глава 7.1 ЭЛЕКТРОУСТАНОВКИ ЖИЛЫХ, ОБЩЕСТВЕННЫХ, АДМИНИСТРАТИВНЫХ И БЫТОВЫХ ЗДАНИЙ*</w:t>
      </w:r>
    </w:p>
    <w:p>
      <w:pPr>
        <w:pStyle w:val="Heading3"/>
        <w:rPr/>
      </w:pPr>
      <w:r>
        <w:rPr/>
        <w:t>Область применения. Определения</w:t>
      </w:r>
    </w:p>
    <w:p>
      <w:pPr>
        <w:pStyle w:val="Normal"/>
        <w:ind w:firstLine="284"/>
        <w:jc w:val="both"/>
        <w:rPr/>
      </w:pPr>
      <w:r>
        <w:rPr>
          <w:b/>
          <w:bCs/>
        </w:rPr>
        <w:t>7.1.1.</w:t>
      </w:r>
      <w:r>
        <w:rPr/>
        <w:t xml:space="preserve"> Настоящая глава Правил распространяется на электроустановки: жилых зданий, перечисленных в СНиП 2.08.01-89 «Жилые здания»; общественных зданий, перечисленных в СНиП 2.08.02-89 «Общественные здания и сооружения» (за исключением зданий и помещений, перечисленных в гл. 7.2); административных и бытовых зданий, перечисленных в СНиП 2.09.04-87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pPr>
        <w:pStyle w:val="Normal"/>
        <w:ind w:firstLine="284"/>
        <w:jc w:val="both"/>
        <w:rPr/>
      </w:pPr>
      <w:r>
        <w:rPr/>
        <w:t>Далее по тексту, если нет уточнения, под словом «здания» понимаются все типы зданий, на которые распространяется данная глава.</w:t>
      </w:r>
    </w:p>
    <w:p>
      <w:pPr>
        <w:pStyle w:val="Normal"/>
        <w:jc w:val="both"/>
        <w:rPr/>
      </w:pPr>
      <w:r>
        <w:rPr/>
        <w:t>______________________</w:t>
      </w:r>
    </w:p>
    <w:p>
      <w:pPr>
        <w:pStyle w:val="Normal"/>
        <w:spacing w:before="0" w:after="120"/>
        <w:ind w:firstLine="284"/>
        <w:jc w:val="both"/>
        <w:rPr/>
      </w:pPr>
      <w:r>
        <w:rPr/>
        <w:t>*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pPr>
        <w:pStyle w:val="Normal"/>
        <w:ind w:firstLine="284"/>
        <w:jc w:val="both"/>
        <w:rPr/>
      </w:pPr>
      <w:r>
        <w:rP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pPr>
        <w:pStyle w:val="Normal"/>
        <w:ind w:firstLine="284"/>
        <w:jc w:val="both"/>
        <w:rPr/>
      </w:pPr>
      <w:r>
        <w:rPr>
          <w:b/>
          <w:bCs/>
        </w:rPr>
        <w:t>7.1.2.</w:t>
      </w:r>
      <w:r>
        <w:rPr/>
        <w:t xml:space="preserve">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pPr>
        <w:pStyle w:val="Normal"/>
        <w:ind w:firstLine="284"/>
        <w:jc w:val="both"/>
        <w:rPr/>
      </w:pPr>
      <w:r>
        <w:rPr>
          <w:b/>
          <w:bCs/>
        </w:rPr>
        <w:t>7.1.3.</w:t>
      </w:r>
      <w:r>
        <w:rPr/>
        <w:t xml:space="preserve"> </w:t>
      </w:r>
      <w:r>
        <w:rPr>
          <w:spacing w:val="20"/>
        </w:rPr>
        <w:t>Вводное устройство</w:t>
      </w:r>
      <w:r>
        <w:rPr/>
        <w:t xml:space="preserve"> (ВУ) - совокупность конструкций, аппаратов и приборов, устанавливаемых на вводе питающей линии в здание или в его обособленную часть.</w:t>
      </w:r>
    </w:p>
    <w:p>
      <w:pPr>
        <w:pStyle w:val="Normal"/>
        <w:ind w:firstLine="284"/>
        <w:jc w:val="both"/>
        <w:rPr/>
      </w:pPr>
      <w:r>
        <w:rPr/>
        <w:t>Вводное устройство, включающее в себя также аппараты и приборы отходящих линий, называется вводно-распределительным (ВРУ).</w:t>
      </w:r>
    </w:p>
    <w:p>
      <w:pPr>
        <w:pStyle w:val="Normal"/>
        <w:ind w:firstLine="284"/>
        <w:jc w:val="both"/>
        <w:rPr/>
      </w:pPr>
      <w:r>
        <w:rPr>
          <w:b/>
          <w:bCs/>
        </w:rPr>
        <w:t>7.1.4.</w:t>
      </w:r>
      <w:r>
        <w:rPr/>
        <w:t xml:space="preserve"> </w:t>
      </w:r>
      <w:r>
        <w:rPr>
          <w:spacing w:val="20"/>
        </w:rPr>
        <w:t>Главный распределительный щит</w:t>
      </w:r>
      <w:r>
        <w:rPr/>
        <w:t xml:space="preserve"> (ГРЩ) - распределительный щит, через который снабжается электроэнергией все здание или его обособленная часть. Роль ГРЩ может выполнять ВРУ или щит низкого напряжения подстанции.</w:t>
      </w:r>
    </w:p>
    <w:p>
      <w:pPr>
        <w:pStyle w:val="Normal"/>
        <w:ind w:firstLine="284"/>
        <w:jc w:val="both"/>
        <w:rPr/>
      </w:pPr>
      <w:r>
        <w:rPr>
          <w:b/>
          <w:bCs/>
        </w:rPr>
        <w:t>7.1.5.</w:t>
      </w:r>
      <w:r>
        <w:rPr/>
        <w:t xml:space="preserve"> </w:t>
      </w:r>
      <w:r>
        <w:rPr>
          <w:spacing w:val="20"/>
        </w:rPr>
        <w:t>Распределительный пункт</w:t>
      </w:r>
      <w:r>
        <w:rPr/>
        <w:t xml:space="preserve">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pPr>
        <w:pStyle w:val="Normal"/>
        <w:ind w:firstLine="284"/>
        <w:jc w:val="both"/>
        <w:rPr/>
      </w:pPr>
      <w:r>
        <w:rPr>
          <w:b/>
          <w:bCs/>
        </w:rPr>
        <w:t>7.1.6.</w:t>
      </w:r>
      <w:r>
        <w:rPr/>
        <w:t xml:space="preserve"> </w:t>
      </w:r>
      <w:r>
        <w:rPr>
          <w:spacing w:val="20"/>
        </w:rPr>
        <w:t>Групповой щиток</w:t>
      </w:r>
      <w:r>
        <w:rPr/>
        <w:t xml:space="preserve">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pPr>
        <w:pStyle w:val="Normal"/>
        <w:ind w:firstLine="284"/>
        <w:jc w:val="both"/>
        <w:rPr/>
      </w:pPr>
      <w:r>
        <w:rPr>
          <w:b/>
          <w:bCs/>
        </w:rPr>
        <w:t>7.1.7.</w:t>
      </w:r>
      <w:r>
        <w:rPr/>
        <w:t xml:space="preserve"> </w:t>
      </w:r>
      <w:r>
        <w:rPr>
          <w:spacing w:val="20"/>
        </w:rPr>
        <w:t>Квартирный щиток</w:t>
      </w:r>
      <w:r>
        <w:rPr/>
        <w:t xml:space="preserve">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pPr>
        <w:pStyle w:val="Normal"/>
        <w:ind w:firstLine="284"/>
        <w:jc w:val="both"/>
        <w:rPr/>
      </w:pPr>
      <w:r>
        <w:rPr>
          <w:b/>
          <w:bCs/>
        </w:rPr>
        <w:t>7.1.8.</w:t>
      </w:r>
      <w:r>
        <w:rPr/>
        <w:t xml:space="preserve"> </w:t>
      </w:r>
      <w:r>
        <w:rPr>
          <w:spacing w:val="20"/>
        </w:rPr>
        <w:t>Этажный распределительный щиток</w:t>
      </w:r>
      <w:r>
        <w:rPr/>
        <w:t xml:space="preserve"> - щиток, установленный на этажах жилых домов и предназначенный для питания квартир или квартирных щитков.</w:t>
      </w:r>
    </w:p>
    <w:p>
      <w:pPr>
        <w:pStyle w:val="Normal"/>
        <w:ind w:firstLine="284"/>
        <w:jc w:val="both"/>
        <w:rPr/>
      </w:pPr>
      <w:r>
        <w:rPr>
          <w:b/>
          <w:bCs/>
        </w:rPr>
        <w:t>7.1.9.</w:t>
      </w:r>
      <w:r>
        <w:rPr/>
        <w:t xml:space="preserve"> </w:t>
      </w:r>
      <w:r>
        <w:rPr>
          <w:spacing w:val="20"/>
        </w:rPr>
        <w:t>Электрощитовое помещение</w:t>
      </w:r>
      <w:r>
        <w:rPr/>
        <w:t xml:space="preserve">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pPr>
        <w:pStyle w:val="Normal"/>
        <w:ind w:firstLine="284"/>
        <w:jc w:val="both"/>
        <w:rPr/>
      </w:pPr>
      <w:r>
        <w:rPr>
          <w:b/>
          <w:bCs/>
        </w:rPr>
        <w:t>7.1.10.</w:t>
      </w:r>
      <w:r>
        <w:rPr/>
        <w:t xml:space="preserve"> Питающая сеть - сеть от распределительного устройства подстанции или ответвления от воздушных линий электропередачи до ВУ, ВРУ, ГРЩ.</w:t>
      </w:r>
    </w:p>
    <w:p>
      <w:pPr>
        <w:pStyle w:val="Normal"/>
        <w:ind w:firstLine="284"/>
        <w:jc w:val="both"/>
        <w:rPr/>
      </w:pPr>
      <w:r>
        <w:rPr>
          <w:b/>
          <w:bCs/>
        </w:rPr>
        <w:t>7.1.11.</w:t>
      </w:r>
      <w:r>
        <w:rPr/>
        <w:t xml:space="preserve"> Распределительная сеть - сеть от ВУ, ВРУ, ГРЩ до распределительных пунктов и щитков.</w:t>
      </w:r>
    </w:p>
    <w:p>
      <w:pPr>
        <w:pStyle w:val="Normal"/>
        <w:ind w:firstLine="284"/>
        <w:jc w:val="both"/>
        <w:rPr/>
      </w:pPr>
      <w:r>
        <w:rPr>
          <w:b/>
          <w:bCs/>
        </w:rPr>
        <w:t>7.1.12.</w:t>
      </w:r>
      <w:r>
        <w:rPr/>
        <w:t xml:space="preserve"> Групповая сеть - сеть от щитков и распределительных пунктов до светильников, штепсельных розеток и других электроприемников.</w:t>
      </w:r>
    </w:p>
    <w:p>
      <w:pPr>
        <w:pStyle w:val="Heading3"/>
        <w:rPr/>
      </w:pPr>
      <w:r>
        <w:rPr/>
        <w:t>Общие требования. Электроснабжение</w:t>
      </w:r>
    </w:p>
    <w:p>
      <w:pPr>
        <w:pStyle w:val="Normal"/>
        <w:ind w:firstLine="284"/>
        <w:jc w:val="both"/>
        <w:rPr/>
      </w:pPr>
      <w:r>
        <w:rPr>
          <w:b/>
          <w:bCs/>
        </w:rPr>
        <w:t>7.1.13.</w:t>
      </w:r>
      <w:r>
        <w:rPr/>
        <w:t xml:space="preserve"> Питание электроприемников должно выполняться от сети 380/220 В с системой заземления ТN-S или ТN-С-S.</w:t>
      </w:r>
    </w:p>
    <w:p>
      <w:pPr>
        <w:pStyle w:val="Normal"/>
        <w:ind w:firstLine="284"/>
        <w:jc w:val="both"/>
        <w:rPr/>
      </w:pPr>
      <w:r>
        <w:rPr/>
        <w:t>При реконструкции жилых и общественных зданий, имеющих напряжение сети 220/127 В или 3</w:t>
      </w:r>
      <w:r>
        <w:rPr>
          <w:rFonts w:cs="Symbol" w:ascii="Symbol" w:hAnsi="Symbol"/>
        </w:rPr>
        <w:t></w:t>
      </w:r>
      <w:r>
        <w:rPr/>
        <w:t>220 В, следует предусматривать перевод сети на напряжение 380/220 В с системой заземления ТN-S или ТN-С-S.</w:t>
      </w:r>
    </w:p>
    <w:p>
      <w:pPr>
        <w:pStyle w:val="Normal"/>
        <w:ind w:firstLine="284"/>
        <w:jc w:val="both"/>
        <w:rPr/>
      </w:pPr>
      <w:r>
        <w:rPr>
          <w:b/>
          <w:bCs/>
        </w:rPr>
        <w:t>7.1.14.</w:t>
      </w:r>
      <w:r>
        <w:rPr/>
        <w:t xml:space="preserve"> Внешнее электроснабжение зданий должно удовлетворять требованиям гл. 1.2.</w:t>
      </w:r>
    </w:p>
    <w:p>
      <w:pPr>
        <w:pStyle w:val="Normal"/>
        <w:ind w:firstLine="284"/>
        <w:jc w:val="both"/>
        <w:rPr/>
      </w:pPr>
      <w:r>
        <w:rPr>
          <w:b/>
          <w:bCs/>
        </w:rPr>
        <w:t>7.1.15.</w:t>
      </w:r>
      <w:r>
        <w:rPr/>
        <w:t xml:space="preserve">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pPr>
        <w:pStyle w:val="Normal"/>
        <w:ind w:firstLine="284"/>
        <w:jc w:val="both"/>
        <w:rPr/>
      </w:pPr>
      <w:r>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pPr>
        <w:pStyle w:val="Normal"/>
        <w:ind w:firstLine="284"/>
        <w:jc w:val="both"/>
        <w:rPr/>
      </w:pPr>
      <w:r>
        <w:rPr/>
        <w:t>Устройство и размещение встроенных, пристроенных и отдельно стоящих подстанций должно выполняться в соответствии с требованиями глав разд. 4.</w:t>
      </w:r>
    </w:p>
    <w:p>
      <w:pPr>
        <w:pStyle w:val="Normal"/>
        <w:ind w:firstLine="284"/>
        <w:jc w:val="both"/>
        <w:rPr/>
      </w:pPr>
      <w:r>
        <w:rPr>
          <w:b/>
          <w:bCs/>
        </w:rPr>
        <w:t>7.1.16.</w:t>
      </w:r>
      <w:r>
        <w:rPr/>
        <w:t xml:space="preserve"> Питание силовых и осветительных электроприемников рекомендуется выполнять от одних и тех же трансформаторов.</w:t>
      </w:r>
    </w:p>
    <w:p>
      <w:pPr>
        <w:pStyle w:val="Normal"/>
        <w:ind w:firstLine="284"/>
        <w:jc w:val="both"/>
        <w:rPr/>
      </w:pPr>
      <w:r>
        <w:rPr>
          <w:b/>
          <w:bCs/>
        </w:rPr>
        <w:t>7.1.17.</w:t>
      </w:r>
      <w:r>
        <w:rPr/>
        <w:t xml:space="preserve">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pPr>
        <w:pStyle w:val="Normal"/>
        <w:ind w:firstLine="284"/>
        <w:jc w:val="both"/>
        <w:rPr/>
      </w:pPr>
      <w:r>
        <w:rPr>
          <w:b/>
          <w:bCs/>
        </w:rPr>
        <w:t>7.1.18.</w:t>
      </w:r>
      <w:r>
        <w:rPr/>
        <w:t xml:space="preserve"> Питание освещения безопасности и эвакуационного освещения должно выполняться согласно требованиям гл. 6.1 и 6.2, а также СНиП 23-05-95 «Естественное и искусственное освещение».</w:t>
      </w:r>
    </w:p>
    <w:p>
      <w:pPr>
        <w:pStyle w:val="Normal"/>
        <w:ind w:firstLine="284"/>
        <w:jc w:val="both"/>
        <w:rPr/>
      </w:pPr>
      <w:r>
        <w:rPr>
          <w:b/>
          <w:bCs/>
        </w:rPr>
        <w:t>7.1.19.</w:t>
      </w:r>
      <w:r>
        <w:rPr/>
        <w:t xml:space="preserve">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pPr>
        <w:pStyle w:val="Normal"/>
        <w:ind w:firstLine="284"/>
        <w:jc w:val="both"/>
        <w:rPr/>
      </w:pPr>
      <w:r>
        <w:rPr>
          <w:b/>
          <w:bCs/>
        </w:rPr>
        <w:t>7.1.20.</w:t>
      </w:r>
      <w:r>
        <w:rPr/>
        <w:t xml:space="preserve">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соответствии с заданием на проектирование.</w:t>
      </w:r>
    </w:p>
    <w:p>
      <w:pPr>
        <w:pStyle w:val="Normal"/>
        <w:ind w:firstLine="284"/>
        <w:jc w:val="both"/>
        <w:rPr/>
      </w:pPr>
      <w:r>
        <w:rPr>
          <w:b/>
          <w:bCs/>
        </w:rPr>
        <w:t>7.1.21.</w:t>
      </w:r>
      <w:r>
        <w:rPr/>
        <w:t xml:space="preserve">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РЕN проводником) не допускается.</w:t>
      </w:r>
    </w:p>
    <w:p>
      <w:pPr>
        <w:pStyle w:val="Normal"/>
        <w:ind w:firstLine="284"/>
        <w:jc w:val="both"/>
        <w:rPr/>
      </w:pPr>
      <w:r>
        <w:rPr/>
        <w:t>При питании однофазных потребителей от многофазной питающей сети ответвлениями от воздушных линий, когда РЕN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РЕN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w:t>
      </w:r>
    </w:p>
    <w:p>
      <w:pPr>
        <w:pStyle w:val="Normal"/>
        <w:ind w:firstLine="284"/>
        <w:jc w:val="both"/>
        <w:rPr/>
      </w:pPr>
      <w:r>
        <w:rP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РЕN или N проводника, при этом их коммутационные и другие рабочие характеристики могут не выполняться.</w:t>
      </w:r>
    </w:p>
    <w:p>
      <w:pPr>
        <w:pStyle w:val="Normal"/>
        <w:ind w:firstLine="284"/>
        <w:jc w:val="both"/>
        <w:rPr/>
      </w:pPr>
      <w:r>
        <w:rPr/>
        <w:t>Во всех случаях в цепях РЕ и РЕN проводников запрещается иметь коммутирующие контактные и бесконтактные элементы.</w:t>
      </w:r>
    </w:p>
    <w:p>
      <w:pPr>
        <w:pStyle w:val="Normal"/>
        <w:ind w:firstLine="284"/>
        <w:jc w:val="both"/>
        <w:rPr/>
      </w:pPr>
      <w:r>
        <w:rPr/>
        <w:t>Допускаются соединения, которые могут быть разобраны при помощи инструмента, а также специально предназначенные для этих целей соединители.</w:t>
      </w:r>
    </w:p>
    <w:p>
      <w:pPr>
        <w:pStyle w:val="Heading3"/>
        <w:rPr/>
      </w:pPr>
      <w:r>
        <w:rPr/>
        <w:t>Вводные устройства, распределительные щиты, распределительные пункты, групповые щитки</w:t>
      </w:r>
    </w:p>
    <w:p>
      <w:pPr>
        <w:pStyle w:val="Normal"/>
        <w:ind w:firstLine="284"/>
        <w:jc w:val="both"/>
        <w:rPr/>
      </w:pPr>
      <w:r>
        <w:rPr>
          <w:b/>
          <w:bCs/>
        </w:rPr>
        <w:t>7.1.22.</w:t>
      </w:r>
      <w:r>
        <w:rPr/>
        <w:t xml:space="preserve"> На вводе в здание должно быть установлено ВУ или ВРУ. В здании может устанавливаться одно или несколько ВУ или ВРУ.</w:t>
      </w:r>
    </w:p>
    <w:p>
      <w:pPr>
        <w:pStyle w:val="Normal"/>
        <w:ind w:firstLine="284"/>
        <w:jc w:val="both"/>
        <w:rPr/>
      </w:pPr>
      <w:r>
        <w:rP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pPr>
        <w:pStyle w:val="Normal"/>
        <w:ind w:firstLine="284"/>
        <w:jc w:val="both"/>
        <w:rPr/>
      </w:pPr>
      <w:r>
        <w:rPr/>
        <w:t>От ВРУ допускается также питание потребителей, расположенных в других зданиях, при условии, что эти потребители связаны функционально.</w:t>
      </w:r>
    </w:p>
    <w:p>
      <w:pPr>
        <w:pStyle w:val="Normal"/>
        <w:ind w:firstLine="284"/>
        <w:jc w:val="both"/>
        <w:rPr/>
      </w:pPr>
      <w:r>
        <w:rPr/>
        <w:t>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w:t>
      </w:r>
      <w:r>
        <w:rPr>
          <w:vertAlign w:val="superscript"/>
        </w:rPr>
        <w:t>2</w:t>
      </w:r>
      <w:r>
        <w:rP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pPr>
        <w:pStyle w:val="Normal"/>
        <w:ind w:firstLine="284"/>
        <w:jc w:val="both"/>
        <w:rPr/>
      </w:pPr>
      <w:r>
        <w:rPr/>
        <w:t>При воздушном вводе должны устанавливаться ограничители импульсных перенапряжений.</w:t>
      </w:r>
    </w:p>
    <w:p>
      <w:pPr>
        <w:pStyle w:val="Normal"/>
        <w:ind w:firstLine="284"/>
        <w:jc w:val="both"/>
        <w:rPr/>
      </w:pPr>
      <w:r>
        <w:rPr>
          <w:b/>
          <w:bCs/>
        </w:rPr>
        <w:t>7.1.23.</w:t>
      </w:r>
      <w:r>
        <w:rPr/>
        <w:t xml:space="preserve">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pPr>
        <w:pStyle w:val="Normal"/>
        <w:ind w:firstLine="284"/>
        <w:jc w:val="both"/>
        <w:rPr/>
      </w:pPr>
      <w:r>
        <w:rPr>
          <w:b/>
          <w:bCs/>
        </w:rPr>
        <w:t>7.1.24.</w:t>
      </w:r>
      <w:r>
        <w:rPr/>
        <w:t xml:space="preserve"> ВУ, ВРУ, ГРЩ должны иметь аппараты защиты на всех вводах питающих линий и на всех отходящих линиях,</w:t>
      </w:r>
    </w:p>
    <w:p>
      <w:pPr>
        <w:pStyle w:val="Normal"/>
        <w:ind w:firstLine="284"/>
        <w:jc w:val="both"/>
        <w:rPr/>
      </w:pPr>
      <w:r>
        <w:rPr>
          <w:b/>
          <w:bCs/>
        </w:rPr>
        <w:t>7.1.25.</w:t>
      </w:r>
      <w:r>
        <w:rPr/>
        <w:t xml:space="preserve">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pPr>
        <w:pStyle w:val="Normal"/>
        <w:ind w:firstLine="284"/>
        <w:jc w:val="both"/>
        <w:rPr/>
      </w:pPr>
      <w:r>
        <w:rPr/>
        <w:t>Автоматический выключатель следует рассматривать как аппарат защиты и управления.</w:t>
      </w:r>
    </w:p>
    <w:p>
      <w:pPr>
        <w:pStyle w:val="Normal"/>
        <w:ind w:firstLine="284"/>
        <w:jc w:val="both"/>
        <w:rPr/>
      </w:pPr>
      <w:r>
        <w:rPr>
          <w:b/>
          <w:bCs/>
        </w:rPr>
        <w:t>7.1.26.</w:t>
      </w:r>
      <w:r>
        <w:rPr/>
        <w:t xml:space="preserve">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pPr>
        <w:pStyle w:val="Normal"/>
        <w:ind w:firstLine="284"/>
        <w:jc w:val="both"/>
        <w:rPr/>
      </w:pPr>
      <w:r>
        <w:rPr>
          <w:b/>
          <w:bCs/>
        </w:rPr>
        <w:t>7.1.27.</w:t>
      </w:r>
      <w:r>
        <w:rPr/>
        <w:t xml:space="preserve"> Этажный щиток должен устанавливаться на расстоянии не более 3 м по длине электропроводки от питающего стояка с учетом требований гл. 3.1.</w:t>
      </w:r>
    </w:p>
    <w:p>
      <w:pPr>
        <w:pStyle w:val="Normal"/>
        <w:ind w:firstLine="284"/>
        <w:jc w:val="both"/>
        <w:rPr/>
      </w:pPr>
      <w:r>
        <w:rPr>
          <w:b/>
          <w:bCs/>
        </w:rPr>
        <w:t>7.1.28.</w:t>
      </w:r>
      <w:r>
        <w:rPr/>
        <w:t xml:space="preserve">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помещении перегородками с пределом огнестойкости не менее 0,75 ч.</w:t>
      </w:r>
    </w:p>
    <w:p>
      <w:pPr>
        <w:pStyle w:val="Normal"/>
        <w:ind w:firstLine="284"/>
        <w:jc w:val="both"/>
        <w:rPr/>
      </w:pPr>
      <w:r>
        <w:rP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IР31.</w:t>
      </w:r>
    </w:p>
    <w:p>
      <w:pPr>
        <w:pStyle w:val="Normal"/>
        <w:ind w:firstLine="284"/>
        <w:jc w:val="both"/>
        <w:rPr/>
      </w:pPr>
      <w:r>
        <w:rPr/>
        <w:t>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p>
      <w:pPr>
        <w:pStyle w:val="Normal"/>
        <w:ind w:firstLine="284"/>
        <w:jc w:val="both"/>
        <w:rPr/>
      </w:pPr>
      <w:r>
        <w:rPr>
          <w:b/>
          <w:bCs/>
        </w:rPr>
        <w:t>7.1.29.</w:t>
      </w:r>
      <w:r>
        <w:rPr/>
        <w:t xml:space="preserve">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pPr>
        <w:pStyle w:val="Normal"/>
        <w:ind w:firstLine="284"/>
        <w:jc w:val="both"/>
        <w:rPr/>
      </w:pPr>
      <w:r>
        <w:rPr/>
        <w:t>Трубопроводы (водопровод, отопление) прокладывать через электрощитовые помещения не рекомендуется.</w:t>
      </w:r>
    </w:p>
    <w:p>
      <w:pPr>
        <w:pStyle w:val="Normal"/>
        <w:ind w:firstLine="284"/>
        <w:jc w:val="both"/>
        <w:rPr/>
      </w:pPr>
      <w:r>
        <w:rP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pPr>
        <w:pStyle w:val="Normal"/>
        <w:ind w:firstLine="284"/>
        <w:jc w:val="both"/>
        <w:rPr/>
      </w:pPr>
      <w:r>
        <w:rPr/>
        <w:t>Прокладка через эти помещения газо- и трубопроводов с горючими жидкостями, канализации и внутренних водостоков не допускается.</w:t>
      </w:r>
    </w:p>
    <w:p>
      <w:pPr>
        <w:pStyle w:val="Normal"/>
        <w:ind w:firstLine="284"/>
        <w:jc w:val="both"/>
        <w:rPr/>
      </w:pPr>
      <w:r>
        <w:rPr/>
        <w:t>Двери электрощитовых помещений должны открываться наружу.</w:t>
      </w:r>
    </w:p>
    <w:p>
      <w:pPr>
        <w:pStyle w:val="Normal"/>
        <w:ind w:firstLine="284"/>
        <w:jc w:val="both"/>
        <w:rPr/>
      </w:pPr>
      <w:r>
        <w:rPr>
          <w:b/>
          <w:bCs/>
        </w:rPr>
        <w:t>7.1.30.</w:t>
      </w:r>
      <w:r>
        <w:rPr/>
        <w:t xml:space="preserve"> Помещения, в которых установлены ВРУ, ГРЩ, должны иметь естественную вентиляцию, электрическое освещение. Температура помещения не должна быть ниже +5 </w:t>
      </w:r>
      <w:r>
        <w:rPr>
          <w:rFonts w:cs="Symbol" w:ascii="Symbol" w:hAnsi="Symbol"/>
        </w:rPr>
        <w:t></w:t>
      </w:r>
      <w:r>
        <w:rPr/>
        <w:t>С.</w:t>
      </w:r>
    </w:p>
    <w:p>
      <w:pPr>
        <w:pStyle w:val="Normal"/>
        <w:ind w:firstLine="284"/>
        <w:jc w:val="both"/>
        <w:rPr/>
      </w:pPr>
      <w:r>
        <w:rPr>
          <w:b/>
          <w:bCs/>
        </w:rPr>
        <w:t>7.1.31.</w:t>
      </w:r>
      <w:r>
        <w:rPr/>
        <w:t xml:space="preserve"> Электрические цепи в пределах ВУ, ВРУ, ГРЩ, распределительных пунктов, групповых щитков следует выполнять проводами с медными жилами.</w:t>
      </w:r>
    </w:p>
    <w:p>
      <w:pPr>
        <w:pStyle w:val="Heading3"/>
        <w:rPr/>
      </w:pPr>
      <w:r>
        <w:rPr/>
        <w:t>Электропроводки и кабельные линии</w:t>
      </w:r>
    </w:p>
    <w:p>
      <w:pPr>
        <w:pStyle w:val="Normal"/>
        <w:ind w:firstLine="284"/>
        <w:jc w:val="both"/>
        <w:rPr/>
      </w:pPr>
      <w:r>
        <w:rPr>
          <w:b/>
          <w:bCs/>
        </w:rPr>
        <w:t>7.1.32.</w:t>
      </w:r>
      <w:r>
        <w:rPr/>
        <w:t xml:space="preserve"> Внутренние электропроводки должны выполняться с учетом следующего:</w:t>
      </w:r>
    </w:p>
    <w:p>
      <w:pPr>
        <w:pStyle w:val="Normal"/>
        <w:ind w:firstLine="284"/>
        <w:jc w:val="both"/>
        <w:rPr/>
      </w:pPr>
      <w:r>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pPr>
        <w:pStyle w:val="Normal"/>
        <w:ind w:firstLine="284"/>
        <w:jc w:val="both"/>
        <w:rPr/>
      </w:pPr>
      <w:r>
        <w:rP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pPr>
        <w:pStyle w:val="Normal"/>
        <w:ind w:firstLine="284"/>
        <w:jc w:val="both"/>
        <w:rPr/>
      </w:pPr>
      <w:r>
        <w:rP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pPr>
        <w:pStyle w:val="Normal"/>
        <w:ind w:firstLine="284"/>
        <w:jc w:val="both"/>
        <w:rPr/>
      </w:pPr>
      <w:r>
        <w:rP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pPr>
        <w:pStyle w:val="Normal"/>
        <w:ind w:firstLine="284"/>
        <w:jc w:val="both"/>
        <w:rPr/>
      </w:pPr>
      <w:r>
        <w:rPr/>
        <w:t>5. Питание электроустановок нежилого фонда рекомендуется выполнять отдельными линиями.</w:t>
      </w:r>
    </w:p>
    <w:p>
      <w:pPr>
        <w:pStyle w:val="Normal"/>
        <w:ind w:firstLine="284"/>
        <w:jc w:val="both"/>
        <w:rPr/>
      </w:pPr>
      <w:r>
        <w:rPr>
          <w:b/>
          <w:bCs/>
        </w:rPr>
        <w:t>7.1.33.</w:t>
      </w:r>
      <w:r>
        <w:rPr/>
        <w:t xml:space="preserve"> Питающие сети от подстанций до ВУ, ВРУ, ГРЩ должны быть защищены от токов КЗ.</w:t>
      </w:r>
    </w:p>
    <w:p>
      <w:pPr>
        <w:pStyle w:val="Normal"/>
        <w:ind w:firstLine="284"/>
        <w:jc w:val="both"/>
        <w:rPr/>
      </w:pPr>
      <w:r>
        <w:rPr>
          <w:b/>
          <w:bCs/>
        </w:rPr>
        <w:t>7.1.34.</w:t>
      </w:r>
      <w:r>
        <w:rPr/>
        <w:t xml:space="preserve"> В зданиях следует применять кабели и провода с медными жилами*.</w:t>
      </w:r>
    </w:p>
    <w:p>
      <w:pPr>
        <w:pStyle w:val="Normal"/>
        <w:ind w:firstLine="284"/>
        <w:jc w:val="both"/>
        <w:rPr/>
      </w:pPr>
      <w:r>
        <w:rP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Pr>
          <w:vertAlign w:val="superscript"/>
        </w:rPr>
        <w:t>2</w:t>
      </w:r>
      <w:r>
        <w:rPr/>
        <w:t xml:space="preserve"> и более.</w:t>
      </w:r>
    </w:p>
    <w:p>
      <w:pPr>
        <w:pStyle w:val="Normal"/>
        <w:ind w:firstLine="284"/>
        <w:jc w:val="both"/>
        <w:rPr/>
      </w:pPr>
      <w:r>
        <w:rP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Pr>
          <w:vertAlign w:val="superscript"/>
        </w:rPr>
        <w:t>2</w:t>
      </w:r>
      <w:r>
        <w:rPr/>
        <w:t>.</w:t>
      </w:r>
    </w:p>
    <w:p>
      <w:pPr>
        <w:pStyle w:val="Normal"/>
        <w:ind w:firstLine="284"/>
        <w:jc w:val="both"/>
        <w:rPr/>
      </w:pPr>
      <w:r>
        <w:rPr/>
        <w:t>В музеях, картинных галереях, выставочных помещениях разрешается использование осветительных шинопроводов со степенью защиты IР20,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pPr>
        <w:pStyle w:val="Normal"/>
        <w:ind w:firstLine="284"/>
        <w:jc w:val="both"/>
        <w:rPr/>
      </w:pPr>
      <w:r>
        <w:rPr/>
        <w:t>В указанных помещениях осветительные шинопроводы должны питаться от распределительных пунктов самостоятельными линиями.</w:t>
      </w:r>
    </w:p>
    <w:p>
      <w:pPr>
        <w:pStyle w:val="Normal"/>
        <w:ind w:firstLine="284"/>
        <w:jc w:val="both"/>
        <w:rPr/>
      </w:pPr>
      <w:r>
        <w:rPr/>
        <w:t>В жилых зданиях сечения медных проводников должны соответствовать расчетным значениям, но быть не менее указанных в таблице 7.1.1.</w:t>
      </w:r>
    </w:p>
    <w:p>
      <w:pPr>
        <w:pStyle w:val="Normal"/>
        <w:jc w:val="both"/>
        <w:rPr/>
      </w:pPr>
      <w:r>
        <w:rPr/>
        <w:t>____________________</w:t>
      </w:r>
    </w:p>
    <w:p>
      <w:pPr>
        <w:pStyle w:val="Normal"/>
        <w:spacing w:before="0" w:after="120"/>
        <w:ind w:firstLine="284"/>
        <w:jc w:val="both"/>
        <w:rPr/>
      </w:pPr>
      <w:r>
        <w:rPr/>
        <w:t>* До 2001 г. по имеющемуся заделу строительства допускается использование проводов и кабелей с алюминиевыми жилами.</w:t>
      </w:r>
    </w:p>
    <w:p>
      <w:pPr>
        <w:pStyle w:val="Normal"/>
        <w:ind w:firstLine="284"/>
        <w:jc w:val="both"/>
        <w:rPr/>
      </w:pPr>
      <w:r>
        <w:rPr>
          <w:b/>
          <w:bCs/>
        </w:rPr>
        <w:t>7.1.35.</w:t>
      </w:r>
      <w:r>
        <w:rPr/>
        <w:t xml:space="preserve"> В жилых зданиях прокладка вертикальных участков распределительной сети внутри квартир не допускается.</w:t>
      </w:r>
    </w:p>
    <w:p>
      <w:pPr>
        <w:pStyle w:val="Normal"/>
        <w:ind w:firstLine="284"/>
        <w:jc w:val="both"/>
        <w:rPr/>
      </w:pPr>
      <w:r>
        <w:rPr/>
        <w:t>Запрещается прокладка от этажного щитка в общей трубе, общем коробе или канале проводов и кабелей, питающих линии разных квартир.</w:t>
      </w:r>
    </w:p>
    <w:p>
      <w:pPr>
        <w:pStyle w:val="Normal"/>
        <w:ind w:firstLine="284"/>
        <w:jc w:val="both"/>
        <w:rPr/>
      </w:pPr>
      <w:r>
        <w:rP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pPr>
        <w:pStyle w:val="Normal"/>
        <w:spacing w:before="120" w:after="120"/>
        <w:jc w:val="both"/>
        <w:rPr/>
      </w:pPr>
      <w:r>
        <w:rPr>
          <w:spacing w:val="20"/>
        </w:rPr>
        <w:t>Таблица</w:t>
      </w:r>
      <w:r>
        <w:rPr/>
        <w:t xml:space="preserve"> 7.1.1. Наименьшие допустимые сечения кабелей и проводов электрических сетей в жилых зданиях</w:t>
      </w:r>
    </w:p>
    <w:tbl>
      <w:tblPr>
        <w:tblW w:w="5000" w:type="pct"/>
        <w:jc w:val="center"/>
        <w:tblInd w:w="0" w:type="dxa"/>
        <w:tblBorders>
          <w:top w:val="single" w:sz="8" w:space="0" w:color="000000"/>
          <w:left w:val="single" w:sz="8" w:space="0" w:color="000000"/>
        </w:tblBorders>
        <w:tblCellMar>
          <w:top w:w="0" w:type="dxa"/>
          <w:left w:w="107" w:type="dxa"/>
          <w:bottom w:w="0" w:type="dxa"/>
          <w:right w:w="107" w:type="dxa"/>
        </w:tblCellMar>
      </w:tblPr>
      <w:tblGrid>
        <w:gridCol w:w="4850"/>
        <w:gridCol w:w="4505"/>
      </w:tblGrid>
      <w:tr>
        <w:trPr/>
        <w:tc>
          <w:tcPr>
            <w:tcW w:w="4850" w:type="dxa"/>
            <w:tcBorders>
              <w:top w:val="single" w:sz="8" w:space="0" w:color="000000"/>
              <w:left w:val="single" w:sz="8" w:space="0" w:color="000000"/>
            </w:tcBorders>
            <w:shd w:fill="auto" w:val="clear"/>
          </w:tcPr>
          <w:p>
            <w:pPr>
              <w:pStyle w:val="Normal"/>
              <w:overflowPunct w:val="false"/>
              <w:autoSpaceDE w:val="false"/>
              <w:jc w:val="center"/>
              <w:rPr/>
            </w:pPr>
            <w:r>
              <w:rPr/>
              <w:t>Наименование линий</w:t>
            </w:r>
          </w:p>
        </w:tc>
        <w:tc>
          <w:tcPr>
            <w:tcW w:w="4505" w:type="dxa"/>
            <w:tcBorders>
              <w:top w:val="single" w:sz="8" w:space="0" w:color="000000"/>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Наименьшее сечение кабелей и проводов с медными жилами, мм</w:t>
            </w:r>
            <w:r>
              <w:rPr>
                <w:vertAlign w:val="superscript"/>
              </w:rPr>
              <w:t>2</w:t>
            </w:r>
          </w:p>
        </w:tc>
      </w:tr>
      <w:tr>
        <w:trPr/>
        <w:tc>
          <w:tcPr>
            <w:tcW w:w="4850" w:type="dxa"/>
            <w:tcBorders>
              <w:top w:val="single" w:sz="8" w:space="0" w:color="000000"/>
              <w:left w:val="single" w:sz="8" w:space="0" w:color="000000"/>
            </w:tcBorders>
            <w:shd w:fill="auto" w:val="clear"/>
          </w:tcPr>
          <w:p>
            <w:pPr>
              <w:pStyle w:val="Normal"/>
              <w:overflowPunct w:val="false"/>
              <w:autoSpaceDE w:val="false"/>
              <w:jc w:val="both"/>
              <w:rPr/>
            </w:pPr>
            <w:r>
              <w:rPr/>
              <w:t>Линии групповых сетей</w:t>
            </w:r>
          </w:p>
        </w:tc>
        <w:tc>
          <w:tcPr>
            <w:tcW w:w="4505" w:type="dxa"/>
            <w:tcBorders>
              <w:top w:val="single" w:sz="8" w:space="0" w:color="000000"/>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1,5</w:t>
            </w:r>
          </w:p>
        </w:tc>
      </w:tr>
      <w:tr>
        <w:trPr/>
        <w:tc>
          <w:tcPr>
            <w:tcW w:w="4850" w:type="dxa"/>
            <w:tcBorders>
              <w:left w:val="single" w:sz="8" w:space="0" w:color="000000"/>
            </w:tcBorders>
            <w:shd w:fill="auto" w:val="clear"/>
          </w:tcPr>
          <w:p>
            <w:pPr>
              <w:pStyle w:val="Normal"/>
              <w:overflowPunct w:val="false"/>
              <w:autoSpaceDE w:val="false"/>
              <w:jc w:val="both"/>
              <w:rPr/>
            </w:pPr>
            <w:r>
              <w:rPr/>
              <w:t>Линии от этажных до квартирных щитков и к расчетному счетчику</w:t>
            </w:r>
          </w:p>
        </w:tc>
        <w:tc>
          <w:tcPr>
            <w:tcW w:w="4505" w:type="dxa"/>
            <w:tcBorders>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2,5</w:t>
            </w:r>
          </w:p>
        </w:tc>
      </w:tr>
      <w:tr>
        <w:trPr/>
        <w:tc>
          <w:tcPr>
            <w:tcW w:w="4850" w:type="dxa"/>
            <w:tcBorders>
              <w:left w:val="single" w:sz="8" w:space="0" w:color="000000"/>
              <w:bottom w:val="single" w:sz="8" w:space="0" w:color="000000"/>
              <w:insideH w:val="single" w:sz="8" w:space="0" w:color="000000"/>
            </w:tcBorders>
            <w:shd w:fill="auto" w:val="clear"/>
          </w:tcPr>
          <w:p>
            <w:pPr>
              <w:pStyle w:val="Normal"/>
              <w:overflowPunct w:val="false"/>
              <w:autoSpaceDE w:val="false"/>
              <w:jc w:val="both"/>
              <w:rPr/>
            </w:pPr>
            <w:r>
              <w:rPr/>
              <w:t>Линии распределительной сети (стояки) для питания квартир</w:t>
            </w:r>
          </w:p>
        </w:tc>
        <w:tc>
          <w:tcPr>
            <w:tcW w:w="450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4</w:t>
            </w:r>
          </w:p>
        </w:tc>
      </w:tr>
    </w:tbl>
    <w:p>
      <w:pPr>
        <w:pStyle w:val="Normal"/>
        <w:spacing w:before="120" w:after="0"/>
        <w:ind w:firstLine="284"/>
        <w:jc w:val="both"/>
        <w:rPr>
          <w:sz w:val="20"/>
          <w:szCs w:val="20"/>
        </w:rPr>
      </w:pPr>
      <w:r>
        <w:rPr>
          <w:b/>
          <w:bCs/>
        </w:rPr>
        <w:t>7.1.36.</w:t>
      </w:r>
      <w:r>
        <w:rPr/>
        <w:t xml:space="preserve">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pPr>
        <w:pStyle w:val="Normal"/>
        <w:ind w:firstLine="284"/>
        <w:jc w:val="both"/>
        <w:rPr/>
      </w:pPr>
      <w:r>
        <w:rPr/>
        <w:t>Не допускается объединение нулевых рабочих и нулевых защитных проводников различных групповых линий.</w:t>
      </w:r>
    </w:p>
    <w:p>
      <w:pPr>
        <w:pStyle w:val="Normal"/>
        <w:ind w:firstLine="284"/>
        <w:jc w:val="both"/>
        <w:rPr/>
      </w:pPr>
      <w:r>
        <w:rPr/>
        <w:t>Нулевой рабочий и нулевой защитный проводники не допускается подключать на щитках под общий контактный зажим.</w:t>
      </w:r>
    </w:p>
    <w:p>
      <w:pPr>
        <w:pStyle w:val="Normal"/>
        <w:ind w:firstLine="284"/>
        <w:jc w:val="both"/>
        <w:rPr/>
      </w:pPr>
      <w:r>
        <w:rPr/>
        <w:t>Сечения проводников должны отвечать требованиям п. 7.1.45.</w:t>
      </w:r>
    </w:p>
    <w:p>
      <w:pPr>
        <w:pStyle w:val="Normal"/>
        <w:ind w:firstLine="284"/>
        <w:jc w:val="both"/>
        <w:rPr/>
      </w:pPr>
      <w:r>
        <w:rPr>
          <w:b/>
          <w:bCs/>
        </w:rPr>
        <w:t>7.1.37.</w:t>
      </w:r>
      <w:r>
        <w:rPr/>
        <w:t xml:space="preserve">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pPr>
        <w:pStyle w:val="Normal"/>
        <w:ind w:firstLine="284"/>
        <w:jc w:val="both"/>
        <w:rPr/>
      </w:pPr>
      <w:r>
        <w:rP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pPr>
        <w:pStyle w:val="Normal"/>
        <w:ind w:firstLine="284"/>
        <w:jc w:val="both"/>
        <w:rPr/>
      </w:pPr>
      <w:r>
        <w:rP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pPr>
        <w:pStyle w:val="Normal"/>
        <w:ind w:firstLine="284"/>
        <w:jc w:val="both"/>
        <w:rPr/>
      </w:pPr>
      <w:r>
        <w:rPr>
          <w:b/>
          <w:bCs/>
        </w:rPr>
        <w:t>7.1.38.</w:t>
      </w:r>
      <w:r>
        <w:rPr/>
        <w:t xml:space="preserve">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pPr>
        <w:pStyle w:val="Normal"/>
        <w:jc w:val="both"/>
        <w:rPr/>
      </w:pPr>
      <w:r>
        <w:rPr/>
        <w:t>________________</w:t>
      </w:r>
    </w:p>
    <w:p>
      <w:pPr>
        <w:pStyle w:val="Normal"/>
        <w:spacing w:before="0" w:after="120"/>
        <w:ind w:firstLine="284"/>
        <w:jc w:val="both"/>
        <w:rPr/>
      </w:pPr>
      <w:r>
        <w:rP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pPr>
        <w:pStyle w:val="Normal"/>
        <w:ind w:firstLine="284"/>
        <w:jc w:val="both"/>
        <w:rPr/>
      </w:pPr>
      <w:r>
        <w:rPr>
          <w:b/>
          <w:bCs/>
        </w:rPr>
        <w:t>7.1.39.</w:t>
      </w:r>
      <w:r>
        <w:rPr/>
        <w:t xml:space="preserve">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pPr>
        <w:pStyle w:val="Normal"/>
        <w:ind w:firstLine="284"/>
        <w:jc w:val="both"/>
        <w:rPr/>
      </w:pPr>
      <w:r>
        <w:rPr/>
        <w:t>В кухнях квартир могут применяться те же виды электропроводок, что и в жилых комнатах и коридорах.</w:t>
      </w:r>
    </w:p>
    <w:p>
      <w:pPr>
        <w:pStyle w:val="Normal"/>
        <w:ind w:firstLine="284"/>
        <w:jc w:val="both"/>
        <w:rPr/>
      </w:pPr>
      <w:r>
        <w:rPr>
          <w:b/>
          <w:bCs/>
        </w:rPr>
        <w:t>7.1.40.</w:t>
      </w:r>
      <w:r>
        <w:rPr/>
        <w:t xml:space="preserve"> В саунах, ванных комнатах, санузлах, душевых, как правило, должна применяться скрытая электропроводка. Допускается открытая прокладка кабелей.</w:t>
      </w:r>
    </w:p>
    <w:p>
      <w:pPr>
        <w:pStyle w:val="Normal"/>
        <w:ind w:firstLine="284"/>
        <w:jc w:val="both"/>
        <w:rPr/>
      </w:pPr>
      <w:r>
        <w:rP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pPr>
        <w:pStyle w:val="Normal"/>
        <w:ind w:firstLine="284"/>
        <w:jc w:val="both"/>
        <w:rPr/>
      </w:pPr>
      <w:r>
        <w:rPr/>
        <w:t xml:space="preserve">В саунах для зон 3 и 4 по </w:t>
      </w:r>
      <w:hyperlink r:id="rId113">
        <w:r>
          <w:rPr>
            <w:rStyle w:val="InternetLink"/>
          </w:rPr>
          <w:t>ГОСТ Р 50571.12-96</w:t>
        </w:r>
      </w:hyperlink>
      <w:r>
        <w:rPr/>
        <w:t xml:space="preserve">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pPr>
        <w:pStyle w:val="Normal"/>
        <w:ind w:firstLine="284"/>
        <w:jc w:val="both"/>
        <w:rPr/>
      </w:pPr>
      <w:r>
        <w:rPr>
          <w:b/>
          <w:bCs/>
        </w:rPr>
        <w:t>7.1.41.</w:t>
      </w:r>
      <w:r>
        <w:rPr/>
        <w:t xml:space="preserve"> Электропроводка на чердаках должна выполняться в соответствии с требованиями разд. 2.</w:t>
      </w:r>
    </w:p>
    <w:p>
      <w:pPr>
        <w:pStyle w:val="Normal"/>
        <w:ind w:firstLine="284"/>
        <w:jc w:val="both"/>
        <w:rPr/>
      </w:pPr>
      <w:r>
        <w:rPr>
          <w:b/>
          <w:bCs/>
        </w:rPr>
        <w:t>7.1.42.</w:t>
      </w:r>
      <w:r>
        <w:rPr/>
        <w:t xml:space="preserve">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pPr>
        <w:pStyle w:val="Normal"/>
        <w:ind w:firstLine="284"/>
        <w:jc w:val="both"/>
        <w:rPr/>
      </w:pPr>
      <w:r>
        <w:rPr>
          <w:b/>
          <w:bCs/>
        </w:rPr>
        <w:t>7.1.43.</w:t>
      </w:r>
      <w:r>
        <w:rPr/>
        <w:t xml:space="preserve"> Открытая прокладка транзитных кабелей и проводов через кладовые и складские помещения не допускается.</w:t>
      </w:r>
    </w:p>
    <w:p>
      <w:pPr>
        <w:pStyle w:val="Normal"/>
        <w:ind w:firstLine="284"/>
        <w:jc w:val="both"/>
        <w:rPr/>
      </w:pPr>
      <w:r>
        <w:rPr>
          <w:b/>
          <w:bCs/>
        </w:rPr>
        <w:t>7.1.44.</w:t>
      </w:r>
      <w:r>
        <w:rPr/>
        <w:t xml:space="preserve"> Линии, питающие холодильные установки предприятий торговли и общественного питания, должны быть проложены от ВРУ или ГРЩ этих предприятий.</w:t>
      </w:r>
    </w:p>
    <w:p>
      <w:pPr>
        <w:pStyle w:val="Normal"/>
        <w:ind w:firstLine="284"/>
        <w:jc w:val="both"/>
        <w:rPr/>
      </w:pPr>
      <w:r>
        <w:rPr>
          <w:b/>
          <w:bCs/>
        </w:rPr>
        <w:t>7.1.45.</w:t>
      </w:r>
      <w:r>
        <w:rPr/>
        <w:t xml:space="preserve"> Выбор сечения проводников следует проводить согласно требованиям соответствующих глав ПУЭ.</w:t>
      </w:r>
    </w:p>
    <w:p>
      <w:pPr>
        <w:pStyle w:val="Normal"/>
        <w:ind w:firstLine="284"/>
        <w:jc w:val="both"/>
        <w:rPr/>
      </w:pPr>
      <w:r>
        <w:rP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pPr>
        <w:pStyle w:val="Normal"/>
        <w:ind w:firstLine="284"/>
        <w:jc w:val="both"/>
        <w:rPr/>
      </w:pPr>
      <w:r>
        <w:rP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Pr>
          <w:vertAlign w:val="superscript"/>
        </w:rPr>
        <w:t>2</w:t>
      </w:r>
      <w:r>
        <w:rPr/>
        <w:t xml:space="preserve"> по меди и 25 мм</w:t>
      </w:r>
      <w:r>
        <w:rPr>
          <w:vertAlign w:val="superscript"/>
        </w:rPr>
        <w:t>2</w:t>
      </w:r>
      <w:r>
        <w:rPr/>
        <w:t xml:space="preserve"> по алюминию, а при больших сечениях - не менее 50 % сечения фазных проводников.</w:t>
      </w:r>
    </w:p>
    <w:p>
      <w:pPr>
        <w:pStyle w:val="Normal"/>
        <w:ind w:firstLine="284"/>
        <w:jc w:val="both"/>
        <w:rPr/>
      </w:pPr>
      <w:r>
        <w:rPr/>
        <w:t>Сечение РЕN проводников должно быть не менее сечения N проводников и не менее 10 мм</w:t>
      </w:r>
      <w:r>
        <w:rPr>
          <w:vertAlign w:val="superscript"/>
        </w:rPr>
        <w:t>2</w:t>
      </w:r>
      <w:r>
        <w:rPr/>
        <w:t xml:space="preserve"> по меди и 16 мм</w:t>
      </w:r>
      <w:r>
        <w:rPr>
          <w:vertAlign w:val="superscript"/>
        </w:rPr>
        <w:t>2</w:t>
      </w:r>
      <w:r>
        <w:rPr/>
        <w:t xml:space="preserve"> по алюминию независимо от сечения фазных проводников.</w:t>
      </w:r>
    </w:p>
    <w:p>
      <w:pPr>
        <w:pStyle w:val="Normal"/>
        <w:ind w:firstLine="284"/>
        <w:jc w:val="both"/>
        <w:rPr/>
      </w:pPr>
      <w:r>
        <w:rPr/>
        <w:t>Сечение РЕ проводников должно равняться сечению фазных при сечении последних до 16 мм</w:t>
      </w:r>
      <w:r>
        <w:rPr>
          <w:vertAlign w:val="superscript"/>
        </w:rPr>
        <w:t>2</w:t>
      </w:r>
      <w:r>
        <w:rPr/>
        <w:t>, 16 мм</w:t>
      </w:r>
      <w:r>
        <w:rPr>
          <w:vertAlign w:val="superscript"/>
        </w:rPr>
        <w:t>2</w:t>
      </w:r>
      <w:r>
        <w:rPr/>
        <w:t xml:space="preserve"> при сечении фазных проводников от 16 до 35 мм</w:t>
      </w:r>
      <w:r>
        <w:rPr>
          <w:vertAlign w:val="superscript"/>
        </w:rPr>
        <w:t>2</w:t>
      </w:r>
      <w:r>
        <w:rPr/>
        <w:t xml:space="preserve"> и 50 % сечения фазных проводников при больших сечениях.</w:t>
      </w:r>
    </w:p>
    <w:p>
      <w:pPr>
        <w:pStyle w:val="Normal"/>
        <w:ind w:firstLine="284"/>
        <w:jc w:val="both"/>
        <w:rPr/>
      </w:pPr>
      <w:r>
        <w:rPr/>
        <w:t>Сечение РЕ проводников, не входящих в состав кабеля, должно быть не менее 2,5 мм</w:t>
      </w:r>
      <w:r>
        <w:rPr>
          <w:vertAlign w:val="superscript"/>
        </w:rPr>
        <w:t>2</w:t>
      </w:r>
      <w:r>
        <w:rPr/>
        <w:t xml:space="preserve"> - при наличии механической защиты и 4 мм</w:t>
      </w:r>
      <w:r>
        <w:rPr>
          <w:vertAlign w:val="superscript"/>
        </w:rPr>
        <w:t>2</w:t>
      </w:r>
      <w:r>
        <w:rPr/>
        <w:t xml:space="preserve"> - при ее отсутствии.</w:t>
      </w:r>
    </w:p>
    <w:p>
      <w:pPr>
        <w:pStyle w:val="Heading3"/>
        <w:rPr/>
      </w:pPr>
      <w:r>
        <w:rPr/>
        <w:t>Внутреннее электрооборудование</w:t>
      </w:r>
    </w:p>
    <w:p>
      <w:pPr>
        <w:pStyle w:val="Normal"/>
        <w:ind w:firstLine="284"/>
        <w:jc w:val="both"/>
        <w:rPr/>
      </w:pPr>
      <w:r>
        <w:rPr>
          <w:b/>
          <w:bCs/>
        </w:rPr>
        <w:t>7.1.46.</w:t>
      </w:r>
      <w:r>
        <w:rPr/>
        <w:t xml:space="preserve"> 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pPr>
        <w:pStyle w:val="Normal"/>
        <w:ind w:firstLine="284"/>
        <w:jc w:val="both"/>
        <w:rPr/>
      </w:pPr>
      <w:r>
        <w:rPr>
          <w:b/>
          <w:bCs/>
        </w:rPr>
        <w:t>7.1.47.</w:t>
      </w:r>
      <w:r>
        <w:rPr/>
        <w:t xml:space="preserve">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w:t>
      </w:r>
      <w:hyperlink r:id="rId114">
        <w:r>
          <w:rPr>
            <w:rStyle w:val="InternetLink"/>
          </w:rPr>
          <w:t>ГОСТ Р 50571.11-96</w:t>
        </w:r>
      </w:hyperlink>
      <w:r>
        <w:rPr/>
        <w:t xml:space="preserve"> «Электроустановки зданий. Часть 7. Требования к специальным электроустановкам. Раздел 701. Ванные и душевые помещения», при этом должны выполняться следующие требования:</w:t>
      </w:r>
    </w:p>
    <w:p>
      <w:pPr>
        <w:pStyle w:val="Normal"/>
        <w:ind w:left="567" w:hanging="283"/>
        <w:jc w:val="both"/>
        <w:rPr/>
      </w:pPr>
      <w:r>
        <w:rPr>
          <w:rFonts w:cs="Symbol" w:ascii="Symbol" w:hAnsi="Symbol"/>
        </w:rPr>
        <w:t></w:t>
      </w:r>
      <w:r>
        <w:rPr>
          <w:sz w:val="14"/>
          <w:szCs w:val="14"/>
        </w:rPr>
        <w:t xml:space="preserve">    </w:t>
      </w:r>
      <w:r>
        <w:rPr/>
        <w:t>электрооборудование должно иметь степень защиты по воде не ниже чем:</w:t>
      </w:r>
    </w:p>
    <w:p>
      <w:pPr>
        <w:pStyle w:val="Normal"/>
        <w:ind w:firstLine="851"/>
        <w:jc w:val="both"/>
        <w:rPr/>
      </w:pPr>
      <w:r>
        <w:rPr/>
        <w:t>в зоне 0 - IРХ7;</w:t>
      </w:r>
    </w:p>
    <w:p>
      <w:pPr>
        <w:pStyle w:val="Normal"/>
        <w:ind w:firstLine="851"/>
        <w:jc w:val="both"/>
        <w:rPr/>
      </w:pPr>
      <w:r>
        <w:rPr/>
        <w:t>в зоне 1 - IРХ5;</w:t>
      </w:r>
    </w:p>
    <w:p>
      <w:pPr>
        <w:pStyle w:val="Normal"/>
        <w:ind w:firstLine="851"/>
        <w:jc w:val="both"/>
        <w:rPr/>
      </w:pPr>
      <w:r>
        <w:rPr/>
        <w:t>в зоне 2 - IРХ4 (IРХ5 - в ваннах общего пользования);</w:t>
      </w:r>
    </w:p>
    <w:p>
      <w:pPr>
        <w:pStyle w:val="Normal"/>
        <w:ind w:firstLine="851"/>
        <w:jc w:val="both"/>
        <w:rPr/>
      </w:pPr>
      <w:r>
        <w:rPr/>
        <w:t>в зоне 3 - IРХ1 (IРХ5 - в ваннах общего пользования);</w:t>
      </w:r>
    </w:p>
    <w:p>
      <w:pPr>
        <w:pStyle w:val="Normal"/>
        <w:ind w:left="567" w:hanging="283"/>
        <w:jc w:val="both"/>
        <w:rPr/>
      </w:pPr>
      <w:r>
        <w:rPr>
          <w:rFonts w:cs="Symbol" w:ascii="Symbol" w:hAnsi="Symbol"/>
        </w:rPr>
        <w:t></w:t>
      </w:r>
      <w:r>
        <w:rPr>
          <w:sz w:val="14"/>
          <w:szCs w:val="14"/>
        </w:rPr>
        <w:t xml:space="preserve">    </w:t>
      </w:r>
      <w:r>
        <w:rP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pPr>
        <w:pStyle w:val="Normal"/>
        <w:ind w:left="567" w:hanging="283"/>
        <w:jc w:val="both"/>
        <w:rPr/>
      </w:pPr>
      <w:r>
        <w:rPr>
          <w:rFonts w:cs="Symbol" w:ascii="Symbol" w:hAnsi="Symbol"/>
        </w:rPr>
        <w:t></w:t>
      </w:r>
      <w:r>
        <w:rPr>
          <w:sz w:val="14"/>
          <w:szCs w:val="14"/>
        </w:rPr>
        <w:t xml:space="preserve">    </w:t>
      </w:r>
      <w:r>
        <w:rPr/>
        <w:t>в зоне 1 могут устанавливаться только водонагреватели;</w:t>
      </w:r>
    </w:p>
    <w:p>
      <w:pPr>
        <w:pStyle w:val="Normal"/>
        <w:ind w:left="567" w:hanging="283"/>
        <w:jc w:val="both"/>
        <w:rPr/>
      </w:pPr>
      <w:r>
        <w:rPr>
          <w:rFonts w:cs="Symbol" w:ascii="Symbol" w:hAnsi="Symbol"/>
        </w:rPr>
        <w:t></w:t>
      </w:r>
      <w:r>
        <w:rPr>
          <w:sz w:val="14"/>
          <w:szCs w:val="14"/>
        </w:rPr>
        <w:t xml:space="preserve">    </w:t>
      </w:r>
      <w:r>
        <w:rPr/>
        <w:t>в зоне 2 могут устанавливаться водонагреватели и светильники класса защиты 2;</w:t>
      </w:r>
    </w:p>
    <w:p>
      <w:pPr>
        <w:pStyle w:val="Normal"/>
        <w:ind w:left="567" w:hanging="283"/>
        <w:jc w:val="both"/>
        <w:rPr/>
      </w:pPr>
      <w:r>
        <w:rPr>
          <w:rFonts w:cs="Symbol" w:ascii="Symbol" w:hAnsi="Symbol"/>
        </w:rPr>
        <w:t></w:t>
      </w:r>
      <w:r>
        <w:rPr>
          <w:sz w:val="14"/>
          <w:szCs w:val="14"/>
        </w:rPr>
        <w:t xml:space="preserve">    </w:t>
      </w:r>
      <w:r>
        <w:rPr/>
        <w:t>в зонах 0, 1 и 2 не допускается установка соединительных коробок, распредустройств и устройств управления.</w:t>
      </w:r>
    </w:p>
    <w:p>
      <w:pPr>
        <w:pStyle w:val="Normal"/>
        <w:ind w:firstLine="284"/>
        <w:jc w:val="both"/>
        <w:rPr/>
      </w:pPr>
      <w:r>
        <w:rPr>
          <w:b/>
          <w:bCs/>
        </w:rPr>
        <w:t>7.1.48.</w:t>
      </w:r>
      <w:r>
        <w:rPr/>
        <w:t xml:space="preserve"> Установка штепсельных 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pPr>
        <w:pStyle w:val="Normal"/>
        <w:ind w:firstLine="284"/>
        <w:jc w:val="both"/>
        <w:rPr/>
      </w:pPr>
      <w:r>
        <w:rPr/>
        <w:t xml:space="preserve">В ванных комнатах квартир и номеров гостиниц допускается установка штепсельных розеток в зоне 3 по </w:t>
      </w:r>
      <w:hyperlink r:id="rId115">
        <w:r>
          <w:rPr>
            <w:rStyle w:val="InternetLink"/>
          </w:rPr>
          <w:t>ГОСТ Р 50571.11-96</w:t>
        </w:r>
      </w:hyperlink>
      <w:r>
        <w:rPr/>
        <w:t>,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pPr>
        <w:pStyle w:val="Normal"/>
        <w:ind w:firstLine="284"/>
        <w:jc w:val="both"/>
        <w:rPr/>
      </w:pPr>
      <w:r>
        <w:rPr/>
        <w:t>Любые выключатели и штепсельные розетки должны находиться на расстоянии не менее 0,6 м от дверного проема душевой кабины.</w:t>
      </w:r>
    </w:p>
    <w:p>
      <w:pPr>
        <w:pStyle w:val="Normal"/>
        <w:ind w:firstLine="284"/>
        <w:jc w:val="both"/>
        <w:rPr/>
      </w:pPr>
      <w:r>
        <w:rPr>
          <w:b/>
          <w:bCs/>
        </w:rPr>
        <w:t>7.1.49.</w:t>
      </w:r>
      <w:r>
        <w:rPr/>
        <w:t xml:space="preserve"> В зданиях при трехпроводной сети (см. п. 7.1.36) должны устанавливаться штепсельные розетки на ток не менее 10 А с защитным контактом.</w:t>
      </w:r>
    </w:p>
    <w:p>
      <w:pPr>
        <w:pStyle w:val="Normal"/>
        <w:ind w:firstLine="284"/>
        <w:jc w:val="both"/>
        <w:rPr/>
      </w:pPr>
      <w:r>
        <w:rP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pPr>
        <w:pStyle w:val="Normal"/>
        <w:ind w:firstLine="284"/>
        <w:jc w:val="both"/>
        <w:rPr/>
      </w:pPr>
      <w:r>
        <w:rPr>
          <w:b/>
          <w:bCs/>
        </w:rPr>
        <w:t>7.1.50.</w:t>
      </w:r>
      <w:r>
        <w:rPr/>
        <w:t xml:space="preserve"> Минимальное расстояние от выключателей, штепсельных розеток и элементов электроустановок до газопроводов должно быть не менее 0,5 м.</w:t>
      </w:r>
    </w:p>
    <w:p>
      <w:pPr>
        <w:pStyle w:val="Normal"/>
        <w:ind w:firstLine="284"/>
        <w:jc w:val="both"/>
        <w:rPr/>
      </w:pPr>
      <w:r>
        <w:rPr>
          <w:b/>
          <w:bCs/>
        </w:rPr>
        <w:t>7.1.51.</w:t>
      </w:r>
      <w:r>
        <w:rPr/>
        <w:t xml:space="preserve"> Выключатели рекомендуется устанавливать на стене со стороны дверной ручки на высоте до 1 м, допускается устанавливать их под потолком с управлением при помощи шнура.</w:t>
      </w:r>
    </w:p>
    <w:p>
      <w:pPr>
        <w:pStyle w:val="Normal"/>
        <w:ind w:firstLine="284"/>
        <w:jc w:val="both"/>
        <w:rPr/>
      </w:pPr>
      <w:r>
        <w:rPr/>
        <w:t>В помещениях для пребывания детей в детских учреждениях (садах, яслях, школах и т.п.) выключатели следует устанавливать на высоте 1,8 м от пола.</w:t>
      </w:r>
    </w:p>
    <w:p>
      <w:pPr>
        <w:pStyle w:val="Normal"/>
        <w:ind w:firstLine="284"/>
        <w:jc w:val="both"/>
        <w:rPr/>
      </w:pPr>
      <w:r>
        <w:rPr>
          <w:b/>
          <w:bCs/>
        </w:rPr>
        <w:t>7.1.52.</w:t>
      </w:r>
      <w:r>
        <w:rPr/>
        <w:t xml:space="preserve"> В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pPr>
        <w:pStyle w:val="Normal"/>
        <w:ind w:firstLine="284"/>
        <w:jc w:val="both"/>
        <w:rPr/>
      </w:pPr>
      <w:r>
        <w:rPr/>
        <w:t>В помещениях умывальников и зонах 1 и 2 (</w:t>
      </w:r>
      <w:hyperlink r:id="rId116">
        <w:r>
          <w:rPr>
            <w:rStyle w:val="InternetLink"/>
          </w:rPr>
          <w:t>ГОСТ Р 50571.11-96</w:t>
        </w:r>
      </w:hyperlink>
      <w:r>
        <w:rPr/>
        <w:t>) ванных и душевых помещений допускается установка выключателей, приводимых в действие шнуром.</w:t>
      </w:r>
    </w:p>
    <w:p>
      <w:pPr>
        <w:pStyle w:val="Normal"/>
        <w:ind w:firstLine="284"/>
        <w:jc w:val="both"/>
        <w:rPr/>
      </w:pPr>
      <w:r>
        <w:rPr>
          <w:b/>
          <w:bCs/>
        </w:rPr>
        <w:t>7.1.53.</w:t>
      </w:r>
      <w:r>
        <w:rPr/>
        <w:t xml:space="preserve">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pPr>
        <w:pStyle w:val="Normal"/>
        <w:ind w:firstLine="284"/>
        <w:jc w:val="both"/>
        <w:rPr/>
      </w:pPr>
      <w:r>
        <w:rPr>
          <w:b/>
          <w:bCs/>
        </w:rPr>
        <w:t>7.1.54.</w:t>
      </w:r>
      <w:r>
        <w:rPr/>
        <w:t xml:space="preserve">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pPr>
        <w:pStyle w:val="Normal"/>
        <w:ind w:firstLine="284"/>
        <w:jc w:val="both"/>
        <w:rPr/>
      </w:pPr>
      <w:r>
        <w:rPr>
          <w:b/>
          <w:bCs/>
        </w:rPr>
        <w:t>7.1.55.</w:t>
      </w:r>
      <w:r>
        <w:rPr/>
        <w:t xml:space="preserve"> Над каждым входом в здание должен быть установлен светильник.</w:t>
      </w:r>
    </w:p>
    <w:p>
      <w:pPr>
        <w:pStyle w:val="Normal"/>
        <w:ind w:firstLine="284"/>
        <w:jc w:val="both"/>
        <w:rPr/>
      </w:pPr>
      <w:r>
        <w:rPr>
          <w:b/>
          <w:bCs/>
        </w:rPr>
        <w:t>7.1.56.</w:t>
      </w:r>
      <w:r>
        <w:rPr/>
        <w:t xml:space="preserve">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pPr>
        <w:pStyle w:val="Normal"/>
        <w:ind w:firstLine="284"/>
        <w:jc w:val="both"/>
        <w:rPr/>
      </w:pPr>
      <w:r>
        <w:rPr>
          <w:b/>
          <w:bCs/>
        </w:rPr>
        <w:t>7.1.57.</w:t>
      </w:r>
      <w:r>
        <w:rPr/>
        <w:t xml:space="preserve">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pPr>
        <w:pStyle w:val="Normal"/>
        <w:ind w:firstLine="284"/>
        <w:jc w:val="both"/>
        <w:rPr/>
      </w:pPr>
      <w:r>
        <w:rPr>
          <w:b/>
          <w:bCs/>
        </w:rPr>
        <w:t>7.1.58.</w:t>
      </w:r>
      <w:r>
        <w:rPr/>
        <w:t xml:space="preserve">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IР44.</w:t>
      </w:r>
    </w:p>
    <w:p>
      <w:pPr>
        <w:pStyle w:val="Heading3"/>
        <w:rPr/>
      </w:pPr>
      <w:r>
        <w:rPr/>
        <w:t>Учет электроэнергии</w:t>
      </w:r>
    </w:p>
    <w:p>
      <w:pPr>
        <w:pStyle w:val="Normal"/>
        <w:ind w:firstLine="284"/>
        <w:jc w:val="both"/>
        <w:rPr/>
      </w:pPr>
      <w:r>
        <w:rPr>
          <w:b/>
          <w:bCs/>
        </w:rPr>
        <w:t>7.1.59.</w:t>
      </w:r>
      <w:r>
        <w:rPr/>
        <w:t xml:space="preserve"> В жилых зданиях следует устанавливать один одно- или трехфазный расчетный счетчик (при трехфазном вводе) на каждую квартиру.</w:t>
      </w:r>
    </w:p>
    <w:p>
      <w:pPr>
        <w:pStyle w:val="Normal"/>
        <w:ind w:firstLine="284"/>
        <w:jc w:val="both"/>
        <w:rPr/>
      </w:pPr>
      <w:r>
        <w:rPr>
          <w:b/>
          <w:bCs/>
        </w:rPr>
        <w:t>7.1.60.</w:t>
      </w:r>
      <w:r>
        <w:rPr/>
        <w:t xml:space="preserve">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pPr>
        <w:pStyle w:val="Normal"/>
        <w:ind w:firstLine="284"/>
        <w:jc w:val="both"/>
        <w:rPr/>
      </w:pPr>
      <w:r>
        <w:rPr>
          <w:b/>
          <w:bCs/>
        </w:rPr>
        <w:t>7.1.61. В</w:t>
      </w:r>
      <w:r>
        <w:rPr/>
        <w:t xml:space="preserve">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pPr>
        <w:pStyle w:val="Normal"/>
        <w:ind w:firstLine="284"/>
        <w:jc w:val="both"/>
        <w:rPr/>
      </w:pPr>
      <w:r>
        <w:rP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pPr>
        <w:pStyle w:val="Normal"/>
        <w:ind w:firstLine="284"/>
        <w:jc w:val="both"/>
        <w:rPr/>
      </w:pPr>
      <w:r>
        <w:rPr>
          <w:b/>
          <w:bCs/>
        </w:rPr>
        <w:t>7.1.62.</w:t>
      </w:r>
      <w:r>
        <w:rPr/>
        <w:t xml:space="preserve">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pPr>
        <w:pStyle w:val="Normal"/>
        <w:ind w:firstLine="284"/>
        <w:jc w:val="both"/>
        <w:rPr/>
      </w:pPr>
      <w:r>
        <w:rPr>
          <w:b/>
          <w:bCs/>
        </w:rPr>
        <w:t>7.1.63.</w:t>
      </w:r>
      <w:r>
        <w:rPr/>
        <w:t xml:space="preserve"> Расчетные квартирные счетчики рекомендуется размещать совместно с аппаратами защиты (автоматическими выключателями, предохранителями).</w:t>
      </w:r>
    </w:p>
    <w:p>
      <w:pPr>
        <w:pStyle w:val="Normal"/>
        <w:ind w:firstLine="284"/>
        <w:jc w:val="both"/>
        <w:rPr/>
      </w:pPr>
      <w:r>
        <w:rP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pPr>
        <w:pStyle w:val="Normal"/>
        <w:ind w:firstLine="284"/>
        <w:jc w:val="both"/>
        <w:rPr/>
      </w:pPr>
      <w:r>
        <w:rPr>
          <w:b/>
          <w:bCs/>
        </w:rPr>
        <w:t>7.1.64.</w:t>
      </w:r>
      <w:r>
        <w:rPr/>
        <w:t xml:space="preserve">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pPr>
        <w:pStyle w:val="Normal"/>
        <w:ind w:firstLine="284"/>
        <w:jc w:val="both"/>
        <w:rPr/>
      </w:pPr>
      <w:r>
        <w:rPr/>
        <w:t>Отключающие аппараты для снятия напряжения с расчетных счетчиков, расположенных в квартирах, должны размещаться за пределами квартиры.</w:t>
      </w:r>
    </w:p>
    <w:p>
      <w:pPr>
        <w:pStyle w:val="Normal"/>
        <w:ind w:firstLine="284"/>
        <w:jc w:val="both"/>
        <w:rPr/>
      </w:pPr>
      <w:r>
        <w:rPr>
          <w:b/>
          <w:bCs/>
        </w:rPr>
        <w:t>7.1.65.</w:t>
      </w:r>
      <w:r>
        <w:rPr/>
        <w:t xml:space="preserve">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pPr>
        <w:pStyle w:val="Normal"/>
        <w:ind w:firstLine="284"/>
        <w:jc w:val="both"/>
        <w:rPr/>
      </w:pPr>
      <w:r>
        <w:rPr>
          <w:b/>
          <w:bCs/>
        </w:rPr>
        <w:t>7.1.66.</w:t>
      </w:r>
      <w:r>
        <w:rPr/>
        <w:t xml:space="preserve"> Рекомендуется оснащение жилых зданий системами дистанционного съема показаний счетчиков.</w:t>
      </w:r>
    </w:p>
    <w:p>
      <w:pPr>
        <w:pStyle w:val="Heading3"/>
        <w:rPr/>
      </w:pPr>
      <w:r>
        <w:rPr/>
        <w:t>Защитные меры безопасности</w:t>
      </w:r>
    </w:p>
    <w:p>
      <w:pPr>
        <w:pStyle w:val="Normal"/>
        <w:ind w:firstLine="284"/>
        <w:jc w:val="both"/>
        <w:rPr/>
      </w:pPr>
      <w:r>
        <w:rPr>
          <w:b/>
          <w:bCs/>
        </w:rPr>
        <w:t>7.1.67.</w:t>
      </w:r>
      <w:r>
        <w:rPr/>
        <w:t xml:space="preserve">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pPr>
        <w:pStyle w:val="Normal"/>
        <w:ind w:firstLine="284"/>
        <w:jc w:val="both"/>
        <w:rPr/>
      </w:pPr>
      <w:r>
        <w:rPr>
          <w:b/>
          <w:bCs/>
        </w:rPr>
        <w:t>7.1.68.</w:t>
      </w:r>
      <w:r>
        <w:rPr/>
        <w:t xml:space="preserve">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pPr>
        <w:pStyle w:val="Normal"/>
        <w:ind w:firstLine="284"/>
        <w:jc w:val="both"/>
        <w:rPr/>
      </w:pPr>
      <w:r>
        <w:rPr>
          <w:b/>
          <w:bCs/>
        </w:rPr>
        <w:t>7.1.69.</w:t>
      </w:r>
      <w:r>
        <w:rPr/>
        <w:t xml:space="preserve"> В помещениях зданий металлические корпуса однофазных переносных электроприборов и настольных средств оргтехники класса 1 по ГОСТ 12.2.007.0-75 «ССБТ. Изделия электротехнические. Общие требования безопасности» должны присоединяться к защитным проводникам трехпроводной групповой линии (см. п. 7.1.36).</w:t>
      </w:r>
    </w:p>
    <w:p>
      <w:pPr>
        <w:pStyle w:val="Normal"/>
        <w:ind w:firstLine="284"/>
        <w:jc w:val="both"/>
        <w:rPr/>
      </w:pPr>
      <w:r>
        <w:rPr/>
        <w:t>К защитным проводникам должны подсоединяться металлические каркасы перегородок, дверей и рам, используемых для прокладки кабелей.</w:t>
      </w:r>
    </w:p>
    <w:p>
      <w:pPr>
        <w:pStyle w:val="Normal"/>
        <w:ind w:firstLine="284"/>
        <w:jc w:val="both"/>
        <w:rPr/>
      </w:pPr>
      <w:r>
        <w:rPr>
          <w:b/>
          <w:bCs/>
        </w:rPr>
        <w:t>7.1.70.</w:t>
      </w:r>
      <w:r>
        <w:rPr/>
        <w:t xml:space="preserve">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п. 7.1.36 и не являются основанием для выполнения электропроводок двухпроводными.</w:t>
      </w:r>
    </w:p>
    <w:p>
      <w:pPr>
        <w:pStyle w:val="Normal"/>
        <w:ind w:firstLine="284"/>
        <w:jc w:val="both"/>
        <w:rPr/>
      </w:pPr>
      <w:r>
        <w:rPr>
          <w:b/>
          <w:bCs/>
        </w:rPr>
        <w:t>7.1.71.</w:t>
      </w:r>
      <w:r>
        <w:rPr/>
        <w:t xml:space="preserve">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pPr>
        <w:pStyle w:val="Normal"/>
        <w:ind w:firstLine="284"/>
        <w:jc w:val="both"/>
        <w:rPr/>
      </w:pPr>
      <w:r>
        <w:rPr>
          <w:b/>
          <w:bCs/>
        </w:rPr>
        <w:t>7.1.72.</w:t>
      </w:r>
      <w:r>
        <w:rPr/>
        <w:t xml:space="preserve"> Если устройство защиты от сверхтока (автоматический выключатель, 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pPr>
        <w:pStyle w:val="Normal"/>
        <w:ind w:firstLine="284"/>
        <w:jc w:val="both"/>
        <w:rPr/>
      </w:pPr>
      <w:r>
        <w:rPr>
          <w:b/>
          <w:bCs/>
        </w:rPr>
        <w:t>7.1.73.</w:t>
      </w:r>
      <w:r>
        <w:rPr/>
        <w:t xml:space="preserve">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 ставку и время срабатывания не менее чем в 3 раза большие, чем у УЗО, расположенного ближе к потребителю.</w:t>
      </w:r>
    </w:p>
    <w:p>
      <w:pPr>
        <w:pStyle w:val="Normal"/>
        <w:ind w:firstLine="284"/>
        <w:jc w:val="both"/>
        <w:rPr/>
      </w:pPr>
      <w:r>
        <w:rPr>
          <w:b/>
          <w:bCs/>
        </w:rPr>
        <w:t>7.1.74.</w:t>
      </w:r>
      <w:r>
        <w:rPr/>
        <w:t xml:space="preserve"> В зоне действия УЗО нулевой рабочий проводник не должен иметь соединений с заземленными элементами и нулевым защитным проводником.</w:t>
      </w:r>
    </w:p>
    <w:p>
      <w:pPr>
        <w:pStyle w:val="Normal"/>
        <w:ind w:firstLine="284"/>
        <w:jc w:val="both"/>
        <w:rPr/>
      </w:pPr>
      <w:r>
        <w:rPr>
          <w:b/>
          <w:bCs/>
        </w:rPr>
        <w:t>7.1.75.</w:t>
      </w:r>
      <w:r>
        <w:rPr/>
        <w:t xml:space="preserve"> Во всех случаях применения УЗО должно обеспечивать надежную коммутацию цепей нагрузки с учетом возможных перегрузок.</w:t>
      </w:r>
    </w:p>
    <w:p>
      <w:pPr>
        <w:pStyle w:val="Normal"/>
        <w:ind w:firstLine="284"/>
        <w:jc w:val="both"/>
        <w:rPr/>
      </w:pPr>
      <w:r>
        <w:rPr>
          <w:b/>
          <w:bCs/>
        </w:rPr>
        <w:t>7.1.76.</w:t>
      </w:r>
      <w:r>
        <w:rPr/>
        <w:t xml:space="preserve"> Рекомендуется использовать УЗО, представляющее собой единый аппарат с автоматическим выключателем, обеспечивающим защиту от сверхтока.</w:t>
      </w:r>
    </w:p>
    <w:p>
      <w:pPr>
        <w:pStyle w:val="Normal"/>
        <w:ind w:firstLine="284"/>
        <w:jc w:val="both"/>
        <w:rPr/>
      </w:pPr>
      <w:r>
        <w:rPr/>
        <w:t>Не допускается использовать УЗО в групповых линиях, не имеющих защиты от сверхтока, без дополнительного аппарата, обеспечивающего эту защиту.</w:t>
      </w:r>
    </w:p>
    <w:p>
      <w:pPr>
        <w:pStyle w:val="Normal"/>
        <w:ind w:firstLine="284"/>
        <w:jc w:val="both"/>
        <w:rPr/>
      </w:pPr>
      <w:r>
        <w:rP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pPr>
        <w:pStyle w:val="Normal"/>
        <w:ind w:firstLine="284"/>
        <w:jc w:val="both"/>
        <w:rPr/>
      </w:pPr>
      <w:r>
        <w:rPr>
          <w:b/>
          <w:bCs/>
        </w:rPr>
        <w:t>7.1.77.</w:t>
      </w:r>
      <w:r>
        <w:rPr/>
        <w:t xml:space="preserve">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pPr>
        <w:pStyle w:val="Normal"/>
        <w:ind w:firstLine="284"/>
        <w:jc w:val="both"/>
        <w:rPr/>
      </w:pPr>
      <w:r>
        <w:rPr>
          <w:b/>
          <w:bCs/>
        </w:rPr>
        <w:t>7.1.78.</w:t>
      </w:r>
      <w:r>
        <w:rPr/>
        <w:t xml:space="preserve">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ind w:firstLine="284"/>
        <w:jc w:val="both"/>
        <w:rPr/>
      </w:pPr>
      <w:r>
        <w:rP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pPr>
        <w:pStyle w:val="Normal"/>
        <w:ind w:firstLine="284"/>
        <w:jc w:val="both"/>
        <w:rPr/>
      </w:pPr>
      <w:r>
        <w:rPr>
          <w:b/>
          <w:bCs/>
        </w:rPr>
        <w:t>7.1.79.</w:t>
      </w:r>
      <w:r>
        <w:rPr/>
        <w:t xml:space="preserve"> В групповых сетях, питающих штепсельные розетки, следует применять УЗО с номинальным током срабатывания не более 30 мА.</w:t>
      </w:r>
    </w:p>
    <w:p>
      <w:pPr>
        <w:pStyle w:val="Normal"/>
        <w:ind w:firstLine="284"/>
        <w:jc w:val="both"/>
        <w:rPr/>
      </w:pPr>
      <w:r>
        <w:rPr/>
        <w:t>Допускается присоединение к одному УЗО нескольких групповых линий через отдельные автоматические выключатели (предохранители).</w:t>
      </w:r>
    </w:p>
    <w:p>
      <w:pPr>
        <w:pStyle w:val="Normal"/>
        <w:ind w:firstLine="284"/>
        <w:jc w:val="both"/>
        <w:rPr/>
      </w:pPr>
      <w:r>
        <w:rPr/>
        <w:t>Установка УЗО в линиях, питающих стационарное оборудование и светильники, а также в общих осветительных сетях, как правило, не требуется.</w:t>
      </w:r>
    </w:p>
    <w:p>
      <w:pPr>
        <w:pStyle w:val="Normal"/>
        <w:ind w:firstLine="284"/>
        <w:jc w:val="both"/>
        <w:rPr/>
      </w:pPr>
      <w:r>
        <w:rPr>
          <w:b/>
          <w:bCs/>
        </w:rPr>
        <w:t>7.1.80.</w:t>
      </w:r>
      <w:r>
        <w:rPr/>
        <w:t xml:space="preserve"> В жилых зданиях УЗО рекомендуется устанавливать на квартирных щитках, допускается их установка на этажных щитках.</w:t>
      </w:r>
    </w:p>
    <w:p>
      <w:pPr>
        <w:pStyle w:val="Normal"/>
        <w:ind w:firstLine="284"/>
        <w:jc w:val="both"/>
        <w:rPr/>
      </w:pPr>
      <w:r>
        <w:rPr>
          <w:b/>
          <w:bCs/>
        </w:rPr>
        <w:t>7.1.81.</w:t>
      </w:r>
      <w:r>
        <w:rPr/>
        <w:t xml:space="preserve">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pPr>
        <w:pStyle w:val="Normal"/>
        <w:ind w:firstLine="284"/>
        <w:jc w:val="both"/>
        <w:rPr/>
      </w:pPr>
      <w:r>
        <w:rPr>
          <w:b/>
          <w:bCs/>
        </w:rPr>
        <w:t>7.1.82.</w:t>
      </w:r>
      <w:r>
        <w:rPr/>
        <w:t xml:space="preserve">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pPr>
        <w:pStyle w:val="Normal"/>
        <w:ind w:firstLine="284"/>
        <w:jc w:val="both"/>
        <w:rPr/>
      </w:pPr>
      <w:r>
        <w:rPr>
          <w:b/>
          <w:bCs/>
        </w:rPr>
        <w:t>7.1.83.</w:t>
      </w:r>
      <w:r>
        <w:rPr/>
        <w:t xml:space="preserve">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p>
      <w:pPr>
        <w:pStyle w:val="Normal"/>
        <w:ind w:firstLine="284"/>
        <w:jc w:val="both"/>
        <w:rPr/>
      </w:pPr>
      <w:r>
        <w:rPr>
          <w:b/>
          <w:bCs/>
        </w:rPr>
        <w:t>7.1.84.</w:t>
      </w:r>
      <w:r>
        <w:rPr/>
        <w:t xml:space="preserve">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pPr>
        <w:pStyle w:val="Normal"/>
        <w:ind w:firstLine="284"/>
        <w:jc w:val="both"/>
        <w:rPr/>
      </w:pPr>
      <w:r>
        <w:rPr>
          <w:b/>
          <w:bCs/>
        </w:rPr>
        <w:t>7.1.85.</w:t>
      </w:r>
      <w:r>
        <w:rPr/>
        <w:t xml:space="preserve"> Для жилых зданий при выполнении требований п. 7.1.83 функции УЗО по пп. 7.1.79 и 7.1.84 могут выполняться одним аппаратом с током срабатывания не более 30 мА.</w:t>
      </w:r>
    </w:p>
    <w:p>
      <w:pPr>
        <w:pStyle w:val="Normal"/>
        <w:ind w:firstLine="284"/>
        <w:jc w:val="both"/>
        <w:rPr/>
      </w:pPr>
      <w:r>
        <w:rPr>
          <w:b/>
          <w:bCs/>
        </w:rPr>
        <w:t>7.1.86.</w:t>
      </w:r>
      <w:r>
        <w:rPr/>
        <w:t xml:space="preserve">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рабочем проводнике не требуется.</w:t>
      </w:r>
    </w:p>
    <w:p>
      <w:pPr>
        <w:pStyle w:val="Normal"/>
        <w:ind w:firstLine="284"/>
        <w:jc w:val="both"/>
        <w:rPr/>
      </w:pPr>
      <w:r>
        <w:rPr>
          <w:b/>
          <w:bCs/>
        </w:rPr>
        <w:t>7.1.87.</w:t>
      </w:r>
      <w:r>
        <w:rPr/>
        <w:t xml:space="preserve"> На вводе в здание должна быть выполнена система уравнивания потенциалов путем объединения следующих проводящих частей:</w:t>
      </w:r>
    </w:p>
    <w:p>
      <w:pPr>
        <w:pStyle w:val="Normal"/>
        <w:ind w:left="567" w:hanging="283"/>
        <w:jc w:val="both"/>
        <w:rPr/>
      </w:pPr>
      <w:r>
        <w:rPr>
          <w:rFonts w:cs="Symbol" w:ascii="Symbol" w:hAnsi="Symbol"/>
        </w:rPr>
        <w:t></w:t>
      </w:r>
      <w:r>
        <w:rPr>
          <w:sz w:val="14"/>
          <w:szCs w:val="14"/>
        </w:rPr>
        <w:t xml:space="preserve">    </w:t>
      </w:r>
      <w:r>
        <w:rPr/>
        <w:t>основной (магистральный) защитный проводник;</w:t>
      </w:r>
    </w:p>
    <w:p>
      <w:pPr>
        <w:pStyle w:val="Normal"/>
        <w:ind w:left="567" w:hanging="283"/>
        <w:jc w:val="both"/>
        <w:rPr/>
      </w:pPr>
      <w:r>
        <w:rPr>
          <w:rFonts w:cs="Symbol" w:ascii="Symbol" w:hAnsi="Symbol"/>
        </w:rPr>
        <w:t></w:t>
      </w:r>
      <w:r>
        <w:rPr>
          <w:sz w:val="14"/>
          <w:szCs w:val="14"/>
        </w:rPr>
        <w:t xml:space="preserve">    </w:t>
      </w:r>
      <w:r>
        <w:rPr/>
        <w:t>основной (магистральный) заземляющий проводник или основной заземляющий зажим;</w:t>
      </w:r>
    </w:p>
    <w:p>
      <w:pPr>
        <w:pStyle w:val="Normal"/>
        <w:ind w:left="567" w:hanging="283"/>
        <w:jc w:val="both"/>
        <w:rPr/>
      </w:pPr>
      <w:r>
        <w:rPr>
          <w:rFonts w:cs="Symbol" w:ascii="Symbol" w:hAnsi="Symbol"/>
        </w:rPr>
        <w:t></w:t>
      </w:r>
      <w:r>
        <w:rPr>
          <w:sz w:val="14"/>
          <w:szCs w:val="14"/>
        </w:rPr>
        <w:t xml:space="preserve">    </w:t>
      </w:r>
      <w:r>
        <w:rPr/>
        <w:t>стальные трубы коммуникаций зданий и между зданиями;</w:t>
      </w:r>
    </w:p>
    <w:p>
      <w:pPr>
        <w:pStyle w:val="Normal"/>
        <w:ind w:left="567" w:hanging="283"/>
        <w:jc w:val="both"/>
        <w:rPr/>
      </w:pPr>
      <w:r>
        <w:rPr>
          <w:rFonts w:cs="Symbol" w:ascii="Symbol" w:hAnsi="Symbol"/>
        </w:rPr>
        <w:t></w:t>
      </w:r>
      <w:r>
        <w:rPr>
          <w:sz w:val="14"/>
          <w:szCs w:val="14"/>
        </w:rPr>
        <w:t xml:space="preserve">    </w:t>
      </w:r>
      <w:r>
        <w:rPr/>
        <w:t>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pPr>
        <w:pStyle w:val="Normal"/>
        <w:ind w:firstLine="284"/>
        <w:jc w:val="both"/>
        <w:rPr/>
      </w:pPr>
      <w:r>
        <w:rPr/>
        <w:t>Рекомендуется по ходу передачи электроэнергии повторно выполнять дополнительные системы уравнивания потенциалов.</w:t>
      </w:r>
    </w:p>
    <w:p>
      <w:pPr>
        <w:pStyle w:val="Normal"/>
        <w:ind w:firstLine="284"/>
        <w:jc w:val="both"/>
        <w:rPr/>
      </w:pPr>
      <w:r>
        <w:rPr>
          <w:b/>
          <w:bCs/>
        </w:rPr>
        <w:t>7.1.88.</w:t>
      </w:r>
      <w:r>
        <w:rPr/>
        <w:t xml:space="preserve">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pPr>
        <w:pStyle w:val="Normal"/>
        <w:ind w:firstLine="284"/>
        <w:jc w:val="both"/>
        <w:rPr/>
      </w:pPr>
      <w:r>
        <w:rP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pPr>
        <w:pStyle w:val="Normal"/>
        <w:ind w:firstLine="284"/>
        <w:jc w:val="both"/>
        <w:rPr/>
      </w:pPr>
      <w:r>
        <w:rPr/>
        <w:t>Не допускается использовать для саун, ванных и душевых помещений системы местного уравнивания потенциалов.</w:t>
      </w:r>
    </w:p>
    <w:p>
      <w:pPr>
        <w:pStyle w:val="Heading2"/>
        <w:rPr/>
      </w:pPr>
      <w:bookmarkStart w:id="35" w:name="_%D0%93%D0%BB%D0%B0%D0%B2%D0%B0_7.2_%D0%"/>
      <w:bookmarkEnd w:id="35"/>
      <w:r>
        <w:rPr/>
        <w:t>Глава 7.2 ЭЛЕКТРОУСТАНОВКИ ЗРЕЛИЩНЫХ ПРЕДПРИЯТИЙ, КЛУБНЫХ УЧРЕЖДЕНИЙ И СПОРТИВНЫХ СООРУЖЕНИЙ</w:t>
      </w:r>
    </w:p>
    <w:p>
      <w:pPr>
        <w:pStyle w:val="Heading3"/>
        <w:rPr/>
      </w:pPr>
      <w:r>
        <w:rPr/>
        <w:t>Область применения. Определения</w:t>
      </w:r>
    </w:p>
    <w:p>
      <w:pPr>
        <w:pStyle w:val="Normal"/>
        <w:ind w:firstLine="284"/>
        <w:jc w:val="both"/>
        <w:rPr/>
      </w:pPr>
      <w:r>
        <w:rPr>
          <w:b/>
          <w:bCs/>
        </w:rPr>
        <w:t>7.2.1.</w:t>
      </w:r>
      <w:r>
        <w:rPr/>
        <w:t xml:space="preserve">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pPr>
        <w:pStyle w:val="Normal"/>
        <w:ind w:firstLine="284"/>
        <w:jc w:val="both"/>
        <w:rPr/>
      </w:pPr>
      <w:r>
        <w:rPr>
          <w:b/>
          <w:bCs/>
        </w:rPr>
        <w:t>7.2.2.</w:t>
      </w:r>
      <w:r>
        <w:rPr/>
        <w:t xml:space="preserve"> Электроустановки зрелищных предприятий, кроме требований настоящей главы, должны удовлетворять требованиям глав разд. 1-6 и гл. 7.1 в той мере, в какой они не изменены настоящей главой.</w:t>
      </w:r>
    </w:p>
    <w:p>
      <w:pPr>
        <w:pStyle w:val="Normal"/>
        <w:ind w:firstLine="284"/>
        <w:jc w:val="both"/>
        <w:rPr/>
      </w:pPr>
      <w:r>
        <w:rPr>
          <w:b/>
          <w:bCs/>
        </w:rPr>
        <w:t>7.2.3.</w:t>
      </w:r>
      <w:r>
        <w:rPr/>
        <w:t xml:space="preserve"> </w:t>
      </w:r>
      <w:r>
        <w:rPr>
          <w:spacing w:val="20"/>
        </w:rPr>
        <w:t>Сцена</w:t>
      </w:r>
      <w:r>
        <w:rPr/>
        <w:t xml:space="preserve"> - специально оборудованная часть здания, предназначенная для показа спектаклей различных жанров.</w:t>
      </w:r>
    </w:p>
    <w:p>
      <w:pPr>
        <w:pStyle w:val="Normal"/>
        <w:ind w:firstLine="284"/>
        <w:jc w:val="both"/>
        <w:rPr/>
      </w:pPr>
      <w:r>
        <w:rPr/>
        <w:t>В состав сцены входят: основная игровая часть (планшет сцены), сообщающаяся со зрительным залом портальным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pPr>
        <w:pStyle w:val="Normal"/>
        <w:ind w:firstLine="284"/>
        <w:jc w:val="both"/>
        <w:rPr/>
      </w:pPr>
      <w:r>
        <w:rPr>
          <w:b/>
          <w:bCs/>
        </w:rPr>
        <w:t>7.2.4.</w:t>
      </w:r>
      <w:r>
        <w:rPr/>
        <w:t xml:space="preserve"> </w:t>
      </w:r>
      <w:r>
        <w:rPr>
          <w:spacing w:val="20"/>
        </w:rPr>
        <w:t>Эстрада</w:t>
      </w:r>
      <w:r>
        <w:rPr/>
        <w:t xml:space="preserve"> -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pPr>
        <w:pStyle w:val="Normal"/>
        <w:ind w:firstLine="284"/>
        <w:jc w:val="both"/>
        <w:rPr/>
      </w:pPr>
      <w:r>
        <w:rPr>
          <w:b/>
          <w:bCs/>
        </w:rPr>
        <w:t>7.2.5.</w:t>
      </w:r>
      <w:r>
        <w:rPr/>
        <w:t xml:space="preserve"> </w:t>
      </w:r>
      <w:r>
        <w:rPr>
          <w:spacing w:val="20"/>
        </w:rPr>
        <w:t>Манеж</w:t>
      </w:r>
      <w:r>
        <w:rPr/>
        <w:t xml:space="preserve"> - часть зрительного зала, предназначенная для цирковых представлений.</w:t>
      </w:r>
    </w:p>
    <w:p>
      <w:pPr>
        <w:pStyle w:val="Normal"/>
        <w:ind w:firstLine="284"/>
        <w:jc w:val="both"/>
        <w:rPr/>
      </w:pPr>
      <w:r>
        <w:rPr>
          <w:b/>
          <w:bCs/>
        </w:rPr>
        <w:t>7.2.6.</w:t>
      </w:r>
      <w:r>
        <w:rPr/>
        <w:t xml:space="preserve"> </w:t>
      </w:r>
      <w:r>
        <w:rPr>
          <w:spacing w:val="20"/>
        </w:rPr>
        <w:t>Сценический подъем</w:t>
      </w:r>
      <w:r>
        <w:rPr/>
        <w:t xml:space="preserve"> - механизм, предназначенный для подъема и спуска декораций, софитов, занавесов и другого сценического оборудования.</w:t>
      </w:r>
    </w:p>
    <w:p>
      <w:pPr>
        <w:pStyle w:val="Normal"/>
        <w:ind w:firstLine="284"/>
        <w:jc w:val="both"/>
        <w:rPr/>
      </w:pPr>
      <w:r>
        <w:rPr>
          <w:b/>
          <w:bCs/>
        </w:rPr>
        <w:t>7.2.7.</w:t>
      </w:r>
      <w:r>
        <w:rPr/>
        <w:t xml:space="preserve">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pPr>
        <w:pStyle w:val="Normal"/>
        <w:ind w:firstLine="284"/>
        <w:jc w:val="both"/>
        <w:rPr/>
      </w:pPr>
      <w:r>
        <w:rPr>
          <w:b/>
          <w:bCs/>
        </w:rPr>
        <w:t>7.2.8.</w:t>
      </w:r>
      <w:r>
        <w:rPr/>
        <w:t xml:space="preserve"> Технические аппаратные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pPr>
        <w:pStyle w:val="Heading3"/>
        <w:rPr/>
      </w:pPr>
      <w:r>
        <w:rPr/>
        <w:t>Общие требования. Электроснабжение</w:t>
      </w:r>
    </w:p>
    <w:p>
      <w:pPr>
        <w:pStyle w:val="Normal"/>
        <w:ind w:firstLine="284"/>
        <w:jc w:val="both"/>
        <w:rPr/>
      </w:pPr>
      <w:r>
        <w:rPr>
          <w:b/>
          <w:bCs/>
        </w:rPr>
        <w:t>7.2.9.</w:t>
      </w:r>
      <w:r>
        <w:rPr/>
        <w:t xml:space="preserve"> Питание электроприемников должно осуществляться от сети 380/220 В с системой заземления ТN-S или ТN-С-S. При реконструкции зрелищных предприятий, имеющих напряжение сети 220/127 или 3</w:t>
      </w:r>
      <w:r>
        <w:rPr>
          <w:rFonts w:cs="Symbol" w:ascii="Symbol" w:hAnsi="Symbol"/>
        </w:rPr>
        <w:t></w:t>
      </w:r>
      <w:r>
        <w:rPr/>
        <w:t>220 В, следует предусматривать перевод сети на напряжение 380/220 В с системой заземления ТN-S или ТN-С-S.</w:t>
      </w:r>
    </w:p>
    <w:p>
      <w:pPr>
        <w:pStyle w:val="Normal"/>
        <w:ind w:firstLine="284"/>
        <w:jc w:val="both"/>
        <w:rPr/>
      </w:pPr>
      <w:r>
        <w:rPr>
          <w:b/>
          <w:bCs/>
        </w:rPr>
        <w:t>7.2.10.</w:t>
      </w:r>
      <w:r>
        <w:rPr/>
        <w:t xml:space="preserve">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pPr>
        <w:pStyle w:val="Normal"/>
        <w:ind w:firstLine="284"/>
        <w:jc w:val="both"/>
        <w:rPr/>
      </w:pPr>
      <w:r>
        <w:rPr>
          <w:b/>
          <w:bCs/>
        </w:rPr>
        <w:t>7.2.11.</w:t>
      </w:r>
      <w:r>
        <w:rPr/>
        <w:t xml:space="preserve">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П-IIa,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pPr>
        <w:pStyle w:val="Normal"/>
        <w:spacing w:before="120" w:after="120"/>
        <w:jc w:val="both"/>
        <w:rPr/>
      </w:pPr>
      <w:r>
        <w:rPr>
          <w:spacing w:val="20"/>
        </w:rPr>
        <w:t>Таблица</w:t>
      </w:r>
      <w:r>
        <w:rPr/>
        <w:t xml:space="preserve"> 7.2.1. Категории электроприемников зрелищных предприятий по надежности электроснабжения</w:t>
      </w:r>
    </w:p>
    <w:tbl>
      <w:tblPr>
        <w:tblW w:w="5000" w:type="pct"/>
        <w:jc w:val="center"/>
        <w:tblInd w:w="0" w:type="dxa"/>
        <w:tblBorders>
          <w:top w:val="single" w:sz="8" w:space="0" w:color="000000"/>
          <w:left w:val="single" w:sz="8" w:space="0" w:color="000000"/>
        </w:tblBorders>
        <w:tblCellMar>
          <w:top w:w="0" w:type="dxa"/>
          <w:left w:w="107" w:type="dxa"/>
          <w:bottom w:w="0" w:type="dxa"/>
          <w:right w:w="107" w:type="dxa"/>
        </w:tblCellMar>
      </w:tblPr>
      <w:tblGrid>
        <w:gridCol w:w="5917"/>
        <w:gridCol w:w="1653"/>
        <w:gridCol w:w="1785"/>
      </w:tblGrid>
      <w:tr>
        <w:trPr/>
        <w:tc>
          <w:tcPr>
            <w:tcW w:w="5917" w:type="dxa"/>
            <w:vMerge w:val="restart"/>
            <w:tcBorders>
              <w:top w:val="single" w:sz="8" w:space="0" w:color="000000"/>
              <w:left w:val="single" w:sz="8" w:space="0" w:color="000000"/>
            </w:tcBorders>
            <w:shd w:fill="auto" w:val="clear"/>
            <w:vAlign w:val="center"/>
          </w:tcPr>
          <w:p>
            <w:pPr>
              <w:pStyle w:val="Normal"/>
              <w:overflowPunct w:val="false"/>
              <w:autoSpaceDE w:val="false"/>
              <w:jc w:val="center"/>
              <w:rPr/>
            </w:pPr>
            <w:r>
              <w:rPr/>
              <w:t>Наименование электроприемника</w:t>
            </w:r>
          </w:p>
        </w:tc>
        <w:tc>
          <w:tcPr>
            <w:tcW w:w="3438" w:type="dxa"/>
            <w:gridSpan w:val="2"/>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Категория по надежности электроснабжения при суммарной вместимости зрительных залов</w:t>
            </w:r>
            <w:r>
              <w:rPr>
                <w:rFonts w:cs="Symbol" w:ascii="Symbol" w:hAnsi="Symbol"/>
              </w:rPr>
              <w:t></w:t>
            </w:r>
            <w:r>
              <w:rPr/>
              <w:t xml:space="preserve"> чел.</w:t>
            </w:r>
          </w:p>
        </w:tc>
      </w:tr>
      <w:tr>
        <w:trPr/>
        <w:tc>
          <w:tcPr>
            <w:tcW w:w="5917" w:type="dxa"/>
            <w:vMerge w:val="continue"/>
            <w:tcBorders>
              <w:top w:val="single" w:sz="8" w:space="0" w:color="000000"/>
              <w:left w:val="single" w:sz="8" w:space="0" w:color="000000"/>
            </w:tcBorders>
            <w:shd w:fill="auto" w:val="clear"/>
            <w:vAlign w:val="center"/>
          </w:tcPr>
          <w:p>
            <w:pPr>
              <w:pStyle w:val="Normal"/>
              <w:snapToGrid w:val="false"/>
              <w:rPr/>
            </w:pPr>
            <w:r>
              <w:rPr/>
            </w:r>
          </w:p>
        </w:tc>
        <w:tc>
          <w:tcPr>
            <w:tcW w:w="1653" w:type="dxa"/>
            <w:tcBorders>
              <w:left w:val="single" w:sz="8" w:space="0" w:color="000000"/>
            </w:tcBorders>
            <w:shd w:fill="auto" w:val="clear"/>
          </w:tcPr>
          <w:p>
            <w:pPr>
              <w:pStyle w:val="Normal"/>
              <w:overflowPunct w:val="false"/>
              <w:autoSpaceDE w:val="false"/>
              <w:jc w:val="center"/>
              <w:rPr/>
            </w:pPr>
            <w:r>
              <w:rPr/>
              <w:t>менее 800</w:t>
            </w:r>
          </w:p>
        </w:tc>
        <w:tc>
          <w:tcPr>
            <w:tcW w:w="1785" w:type="dxa"/>
            <w:tcBorders>
              <w:top w:val="single" w:sz="8" w:space="0" w:color="000000"/>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800 и более</w:t>
            </w:r>
          </w:p>
        </w:tc>
      </w:tr>
      <w:tr>
        <w:trPr/>
        <w:tc>
          <w:tcPr>
            <w:tcW w:w="5917" w:type="dxa"/>
            <w:tcBorders>
              <w:top w:val="single" w:sz="8" w:space="0" w:color="000000"/>
              <w:left w:val="single" w:sz="8" w:space="0" w:color="000000"/>
            </w:tcBorders>
            <w:shd w:fill="auto" w:val="clear"/>
          </w:tcPr>
          <w:p>
            <w:pPr>
              <w:pStyle w:val="Normal"/>
              <w:overflowPunct w:val="false"/>
              <w:autoSpaceDE w:val="false"/>
              <w:jc w:val="both"/>
              <w:rPr/>
            </w:pPr>
            <w:r>
              <w:rP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1653" w:type="dxa"/>
            <w:tcBorders>
              <w:top w:val="single" w:sz="8" w:space="0" w:color="000000"/>
              <w:left w:val="single" w:sz="8" w:space="0" w:color="000000"/>
            </w:tcBorders>
            <w:shd w:fill="auto" w:val="clear"/>
            <w:tcMar>
              <w:left w:w="0" w:type="dxa"/>
              <w:right w:w="0" w:type="dxa"/>
            </w:tcMar>
          </w:tcPr>
          <w:p>
            <w:pPr>
              <w:pStyle w:val="Normal"/>
              <w:overflowPunct w:val="false"/>
              <w:autoSpaceDE w:val="false"/>
              <w:jc w:val="center"/>
              <w:rPr/>
            </w:pPr>
            <w:r>
              <w:rPr/>
              <w:t>I</w:t>
            </w:r>
          </w:p>
        </w:tc>
        <w:tc>
          <w:tcPr>
            <w:tcW w:w="1785" w:type="dxa"/>
            <w:tcBorders>
              <w:top w:val="single" w:sz="8" w:space="0" w:color="000000"/>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I</w:t>
            </w:r>
          </w:p>
        </w:tc>
      </w:tr>
      <w:tr>
        <w:trPr/>
        <w:tc>
          <w:tcPr>
            <w:tcW w:w="5917" w:type="dxa"/>
            <w:tcBorders>
              <w:left w:val="single" w:sz="8" w:space="0" w:color="000000"/>
            </w:tcBorders>
            <w:shd w:fill="auto" w:val="clear"/>
          </w:tcPr>
          <w:p>
            <w:pPr>
              <w:pStyle w:val="Normal"/>
              <w:overflowPunct w:val="false"/>
              <w:autoSpaceDE w:val="false"/>
              <w:jc w:val="both"/>
              <w:rPr/>
            </w:pPr>
            <w:r>
              <w:rPr/>
              <w:t>2.Электроприемники постановочного освещения</w:t>
            </w:r>
          </w:p>
        </w:tc>
        <w:tc>
          <w:tcPr>
            <w:tcW w:w="1653" w:type="dxa"/>
            <w:tcBorders>
              <w:left w:val="single" w:sz="8" w:space="0" w:color="000000"/>
            </w:tcBorders>
            <w:shd w:fill="auto" w:val="clear"/>
            <w:tcMar>
              <w:left w:w="0" w:type="dxa"/>
              <w:right w:w="0" w:type="dxa"/>
            </w:tcMar>
          </w:tcPr>
          <w:p>
            <w:pPr>
              <w:pStyle w:val="Normal"/>
              <w:overflowPunct w:val="false"/>
              <w:autoSpaceDE w:val="false"/>
              <w:jc w:val="center"/>
              <w:rPr/>
            </w:pPr>
            <w:r>
              <w:rPr/>
              <w:t>III</w:t>
            </w:r>
          </w:p>
        </w:tc>
        <w:tc>
          <w:tcPr>
            <w:tcW w:w="1785" w:type="dxa"/>
            <w:tcBorders>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II</w:t>
            </w:r>
          </w:p>
        </w:tc>
      </w:tr>
      <w:tr>
        <w:trPr/>
        <w:tc>
          <w:tcPr>
            <w:tcW w:w="5917" w:type="dxa"/>
            <w:tcBorders>
              <w:left w:val="single" w:sz="8" w:space="0" w:color="000000"/>
            </w:tcBorders>
            <w:shd w:fill="auto" w:val="clear"/>
          </w:tcPr>
          <w:p>
            <w:pPr>
              <w:pStyle w:val="Normal"/>
              <w:overflowPunct w:val="false"/>
              <w:autoSpaceDE w:val="false"/>
              <w:jc w:val="both"/>
              <w:rPr/>
            </w:pPr>
            <w:r>
              <w:rPr/>
              <w:t>3. Электроприемники сценических механизмов</w:t>
            </w:r>
          </w:p>
        </w:tc>
        <w:tc>
          <w:tcPr>
            <w:tcW w:w="1653" w:type="dxa"/>
            <w:tcBorders>
              <w:left w:val="single" w:sz="8" w:space="0" w:color="000000"/>
            </w:tcBorders>
            <w:shd w:fill="auto" w:val="clear"/>
            <w:tcMar>
              <w:left w:w="0" w:type="dxa"/>
              <w:right w:w="0" w:type="dxa"/>
            </w:tcMar>
          </w:tcPr>
          <w:p>
            <w:pPr>
              <w:pStyle w:val="Normal"/>
              <w:overflowPunct w:val="false"/>
              <w:autoSpaceDE w:val="false"/>
              <w:jc w:val="center"/>
              <w:rPr/>
            </w:pPr>
            <w:r>
              <w:rPr/>
              <w:t>III</w:t>
            </w:r>
          </w:p>
        </w:tc>
        <w:tc>
          <w:tcPr>
            <w:tcW w:w="1785" w:type="dxa"/>
            <w:tcBorders>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II</w:t>
            </w:r>
          </w:p>
        </w:tc>
      </w:tr>
      <w:tr>
        <w:trPr/>
        <w:tc>
          <w:tcPr>
            <w:tcW w:w="5917" w:type="dxa"/>
            <w:tcBorders>
              <w:left w:val="single" w:sz="8" w:space="0" w:color="000000"/>
            </w:tcBorders>
            <w:shd w:fill="auto" w:val="clear"/>
          </w:tcPr>
          <w:p>
            <w:pPr>
              <w:pStyle w:val="Normal"/>
              <w:overflowPunct w:val="false"/>
              <w:autoSpaceDE w:val="false"/>
              <w:jc w:val="both"/>
              <w:rPr/>
            </w:pPr>
            <w:r>
              <w:rPr/>
              <w:t>4.Электроприемники технических аппаратных и систем звукофикации</w:t>
            </w:r>
          </w:p>
        </w:tc>
        <w:tc>
          <w:tcPr>
            <w:tcW w:w="1653" w:type="dxa"/>
            <w:tcBorders>
              <w:left w:val="single" w:sz="8" w:space="0" w:color="000000"/>
            </w:tcBorders>
            <w:shd w:fill="auto" w:val="clear"/>
            <w:tcMar>
              <w:left w:w="0" w:type="dxa"/>
              <w:right w:w="0" w:type="dxa"/>
            </w:tcMar>
          </w:tcPr>
          <w:p>
            <w:pPr>
              <w:pStyle w:val="Normal"/>
              <w:overflowPunct w:val="false"/>
              <w:autoSpaceDE w:val="false"/>
              <w:jc w:val="center"/>
              <w:rPr/>
            </w:pPr>
            <w:r>
              <w:rPr/>
              <w:t>III</w:t>
            </w:r>
          </w:p>
        </w:tc>
        <w:tc>
          <w:tcPr>
            <w:tcW w:w="1785" w:type="dxa"/>
            <w:tcBorders>
              <w:left w:val="single" w:sz="8" w:space="0" w:color="000000"/>
              <w:right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II</w:t>
            </w:r>
          </w:p>
        </w:tc>
      </w:tr>
      <w:tr>
        <w:trPr/>
        <w:tc>
          <w:tcPr>
            <w:tcW w:w="5917" w:type="dxa"/>
            <w:tcBorders>
              <w:left w:val="single" w:sz="8" w:space="0" w:color="000000"/>
              <w:bottom w:val="single" w:sz="8" w:space="0" w:color="000000"/>
              <w:insideH w:val="single" w:sz="8" w:space="0" w:color="000000"/>
            </w:tcBorders>
            <w:shd w:fill="auto" w:val="clear"/>
          </w:tcPr>
          <w:p>
            <w:pPr>
              <w:pStyle w:val="Normal"/>
              <w:overflowPunct w:val="false"/>
              <w:autoSpaceDE w:val="false"/>
              <w:jc w:val="both"/>
              <w:rPr/>
            </w:pPr>
            <w:r>
              <w:rPr/>
              <w:t>5. Остальные электроприемники, не указанные в пп. 1-4, а также комплексы электроприемников зданий с залами вместимостью 300 мест и менее</w:t>
            </w:r>
          </w:p>
        </w:tc>
        <w:tc>
          <w:tcPr>
            <w:tcW w:w="1653" w:type="dxa"/>
            <w:tcBorders>
              <w:left w:val="single" w:sz="8" w:space="0" w:color="000000"/>
              <w:bottom w:val="single" w:sz="8" w:space="0" w:color="000000"/>
              <w:insideH w:val="single" w:sz="8" w:space="0" w:color="000000"/>
            </w:tcBorders>
            <w:shd w:fill="auto" w:val="clear"/>
            <w:tcMar>
              <w:left w:w="0" w:type="dxa"/>
              <w:right w:w="0" w:type="dxa"/>
            </w:tcMar>
          </w:tcPr>
          <w:p>
            <w:pPr>
              <w:pStyle w:val="Normal"/>
              <w:overflowPunct w:val="false"/>
              <w:autoSpaceDE w:val="false"/>
              <w:jc w:val="center"/>
              <w:rPr/>
            </w:pPr>
            <w:r>
              <w:rPr/>
              <w:t>III</w:t>
            </w:r>
          </w:p>
        </w:tc>
        <w:tc>
          <w:tcPr>
            <w:tcW w:w="1785" w:type="dxa"/>
            <w:tcBorders>
              <w:left w:val="single" w:sz="8" w:space="0" w:color="000000"/>
              <w:bottom w:val="single" w:sz="8" w:space="0" w:color="000000"/>
              <w:right w:val="single" w:sz="8" w:space="0" w:color="000000"/>
              <w:insideH w:val="single" w:sz="8" w:space="0" w:color="000000"/>
              <w:insideV w:val="single" w:sz="8" w:space="0" w:color="000000"/>
            </w:tcBorders>
            <w:shd w:fill="auto" w:val="clear"/>
            <w:tcMar>
              <w:left w:w="0" w:type="dxa"/>
              <w:right w:w="0" w:type="dxa"/>
            </w:tcMar>
          </w:tcPr>
          <w:p>
            <w:pPr>
              <w:pStyle w:val="Normal"/>
              <w:overflowPunct w:val="false"/>
              <w:autoSpaceDE w:val="false"/>
              <w:jc w:val="center"/>
              <w:rPr/>
            </w:pPr>
            <w:r>
              <w:rPr/>
              <w:t>III</w:t>
            </w:r>
          </w:p>
        </w:tc>
      </w:tr>
    </w:tbl>
    <w:p>
      <w:pPr>
        <w:pStyle w:val="Normal"/>
        <w:spacing w:before="120" w:after="0"/>
        <w:ind w:firstLine="284"/>
        <w:jc w:val="both"/>
        <w:rPr>
          <w:sz w:val="20"/>
          <w:szCs w:val="20"/>
        </w:rPr>
      </w:pPr>
      <w:r>
        <w:rPr>
          <w:b/>
          <w:bCs/>
        </w:rPr>
        <w:t>7.2.12.</w:t>
      </w:r>
      <w:r>
        <w:rPr/>
        <w:t xml:space="preserve"> Категории электроприемников по надежности электроснабжения приведены в табл. 7.2.1.</w:t>
      </w:r>
    </w:p>
    <w:p>
      <w:pPr>
        <w:pStyle w:val="Normal"/>
        <w:ind w:firstLine="284"/>
        <w:jc w:val="both"/>
        <w:rPr/>
      </w:pPr>
      <w:r>
        <w:rPr>
          <w:b/>
          <w:bCs/>
        </w:rPr>
        <w:t>7.2.13.</w:t>
      </w:r>
      <w:r>
        <w:rPr/>
        <w:t xml:space="preserve">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pPr>
        <w:pStyle w:val="Normal"/>
        <w:ind w:firstLine="284"/>
        <w:jc w:val="both"/>
        <w:rPr/>
      </w:pPr>
      <w:r>
        <w:rP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pPr>
        <w:pStyle w:val="Normal"/>
        <w:ind w:firstLine="284"/>
        <w:jc w:val="both"/>
        <w:rPr/>
      </w:pPr>
      <w:r>
        <w:rPr>
          <w:b/>
          <w:bCs/>
        </w:rPr>
        <w:t>7.2.14.</w:t>
      </w:r>
      <w:r>
        <w:rPr/>
        <w:t xml:space="preserve">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pPr>
        <w:pStyle w:val="Normal"/>
        <w:ind w:firstLine="284"/>
        <w:jc w:val="both"/>
        <w:rPr/>
      </w:pPr>
      <w:r>
        <w:rP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pPr>
        <w:pStyle w:val="Normal"/>
        <w:ind w:firstLine="284"/>
        <w:jc w:val="both"/>
        <w:rPr/>
      </w:pPr>
      <w:r>
        <w:rPr/>
        <w:t>2. Трансформаторы должны получать питание, как правило, от двух независимых источников 6-10 кВ.</w:t>
      </w:r>
    </w:p>
    <w:p>
      <w:pPr>
        <w:pStyle w:val="Normal"/>
        <w:ind w:firstLine="284"/>
        <w:jc w:val="both"/>
        <w:rPr/>
      </w:pPr>
      <w:r>
        <w:rP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pPr>
        <w:pStyle w:val="Normal"/>
        <w:ind w:firstLine="284"/>
        <w:jc w:val="both"/>
        <w:rPr/>
      </w:pPr>
      <w:r>
        <w:rP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pPr>
        <w:pStyle w:val="Normal"/>
        <w:ind w:firstLine="284"/>
        <w:jc w:val="both"/>
        <w:rPr/>
      </w:pPr>
      <w:r>
        <w:rPr>
          <w:b/>
          <w:bCs/>
        </w:rPr>
        <w:t>7.2.15.</w:t>
      </w:r>
      <w:r>
        <w:rPr/>
        <w:t xml:space="preserve"> Электроснабжение зрелищного предприятия с суммарным количеством мест в зрительных залах менее 800 должно удовлетворять следующим требованиям:</w:t>
      </w:r>
    </w:p>
    <w:p>
      <w:pPr>
        <w:pStyle w:val="Normal"/>
        <w:ind w:firstLine="284"/>
        <w:jc w:val="both"/>
        <w:rPr/>
      </w:pPr>
      <w:r>
        <w:rP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pPr>
        <w:pStyle w:val="Normal"/>
        <w:ind w:firstLine="284"/>
        <w:jc w:val="both"/>
        <w:rPr/>
      </w:pPr>
      <w:r>
        <w:rP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pPr>
        <w:pStyle w:val="Normal"/>
        <w:ind w:firstLine="284"/>
        <w:jc w:val="both"/>
        <w:rPr/>
      </w:pPr>
      <w:r>
        <w:rP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pPr>
        <w:pStyle w:val="Normal"/>
        <w:ind w:firstLine="284"/>
        <w:jc w:val="both"/>
        <w:rPr/>
      </w:pPr>
      <w:r>
        <w:rPr/>
        <w:t>4. Для электроприемников 1 категории по надежности электроснабжения должен быть предусмотрен второй независимый источник питания.</w:t>
      </w:r>
    </w:p>
    <w:p>
      <w:pPr>
        <w:pStyle w:val="Normal"/>
        <w:ind w:firstLine="284"/>
        <w:jc w:val="both"/>
        <w:rPr/>
      </w:pPr>
      <w:r>
        <w:rPr>
          <w:b/>
          <w:bCs/>
        </w:rPr>
        <w:t>7.2.16.</w:t>
      </w:r>
      <w:r>
        <w:rPr/>
        <w:t xml:space="preserve">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pPr>
        <w:pStyle w:val="Normal"/>
        <w:ind w:firstLine="284"/>
        <w:jc w:val="both"/>
        <w:rPr/>
      </w:pPr>
      <w:r>
        <w:rPr>
          <w:b/>
          <w:bCs/>
        </w:rPr>
        <w:t>7.2.17.</w:t>
      </w:r>
      <w:r>
        <w:rPr/>
        <w:t xml:space="preserve"> При размещении зрелищного предприятия с суммарным количеством мест до 300, за исключением детских зрелищных предприятий (см. п. 7.2.14), в здании другого назначения питание электроприемников зрелищного предприятия допускается осуществлять от общего ГРЩ (ВРУ).</w:t>
      </w:r>
    </w:p>
    <w:p>
      <w:pPr>
        <w:pStyle w:val="Normal"/>
        <w:ind w:firstLine="284"/>
        <w:jc w:val="both"/>
        <w:rPr/>
      </w:pPr>
      <w:r>
        <w:rPr>
          <w:b/>
          <w:bCs/>
        </w:rPr>
        <w:t>7.2.18.</w:t>
      </w:r>
      <w:r>
        <w:rPr/>
        <w:t xml:space="preserve">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pPr>
        <w:pStyle w:val="Normal"/>
        <w:ind w:firstLine="284"/>
        <w:jc w:val="both"/>
        <w:rPr/>
      </w:pPr>
      <w:r>
        <w:rP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pPr>
        <w:pStyle w:val="Normal"/>
        <w:ind w:firstLine="284"/>
        <w:jc w:val="both"/>
        <w:rPr/>
      </w:pPr>
      <w:r>
        <w:rPr/>
        <w:t>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w:t>
      </w:r>
    </w:p>
    <w:p>
      <w:pPr>
        <w:pStyle w:val="Normal"/>
        <w:ind w:firstLine="284"/>
        <w:jc w:val="both"/>
        <w:rPr/>
      </w:pPr>
      <w:r>
        <w:rPr/>
        <w:t>3. Предусматривать выходы (двери) из помещений ТП и КТП непосредственно на пути эвакуации не допускается.</w:t>
      </w:r>
    </w:p>
    <w:p>
      <w:pPr>
        <w:pStyle w:val="Normal"/>
        <w:ind w:firstLine="284"/>
        <w:jc w:val="both"/>
        <w:rPr/>
      </w:pPr>
      <w:r>
        <w:rPr>
          <w:b/>
          <w:bCs/>
        </w:rPr>
        <w:t>7.2.19.</w:t>
      </w:r>
      <w:r>
        <w:rPr/>
        <w:t xml:space="preserve">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pPr>
        <w:pStyle w:val="Normal"/>
        <w:ind w:firstLine="284"/>
        <w:jc w:val="both"/>
        <w:rPr/>
      </w:pPr>
      <w:r>
        <w:rPr>
          <w:b/>
          <w:bCs/>
        </w:rPr>
        <w:t>7.2.20.</w:t>
      </w:r>
      <w:r>
        <w:rPr/>
        <w:t xml:space="preserve">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pPr>
        <w:pStyle w:val="Normal"/>
        <w:ind w:firstLine="284"/>
        <w:jc w:val="both"/>
        <w:rPr/>
      </w:pPr>
      <w:r>
        <w:rPr>
          <w:b/>
          <w:bCs/>
        </w:rPr>
        <w:t>7.2.21.</w:t>
      </w:r>
      <w:r>
        <w:rPr/>
        <w:t xml:space="preserve">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pPr>
        <w:pStyle w:val="Normal"/>
        <w:ind w:firstLine="284"/>
        <w:jc w:val="both"/>
        <w:rPr/>
      </w:pPr>
      <w:r>
        <w:rPr/>
        <w:t>Размещение РУ до 1 кВ и выше в одном помещении допускается только при условии их эксплуатации персоналом одной организации.</w:t>
      </w:r>
    </w:p>
    <w:p>
      <w:pPr>
        <w:pStyle w:val="Normal"/>
        <w:ind w:firstLine="284"/>
        <w:jc w:val="both"/>
        <w:rPr/>
      </w:pPr>
      <w:r>
        <w:rP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pPr>
        <w:pStyle w:val="Normal"/>
        <w:ind w:firstLine="284"/>
        <w:jc w:val="both"/>
        <w:rPr/>
      </w:pPr>
      <w:r>
        <w:rPr/>
        <w:t>7.2.22. К линиям, питающим электроакустические и кинотехнические устройства, подключение других электроприемников не допускается,</w:t>
      </w:r>
    </w:p>
    <w:p>
      <w:pPr>
        <w:pStyle w:val="Normal"/>
        <w:ind w:firstLine="284"/>
        <w:jc w:val="both"/>
        <w:rPr/>
      </w:pPr>
      <w:r>
        <w:rPr>
          <w:b/>
          <w:bCs/>
        </w:rPr>
        <w:t>7.2.23.</w:t>
      </w:r>
      <w:r>
        <w:rPr/>
        <w:t xml:space="preserve"> Питание освещения безопасности и эвакуационного освещения должно выполняться в соответствии с требованиями гл. 6.1 и учетом дополнительных требований, приведенных в пп. 7.2.24 и 7.2.25.</w:t>
      </w:r>
    </w:p>
    <w:p>
      <w:pPr>
        <w:pStyle w:val="Normal"/>
        <w:ind w:firstLine="284"/>
        <w:jc w:val="both"/>
        <w:rPr/>
      </w:pPr>
      <w:r>
        <w:rPr>
          <w:b/>
          <w:bCs/>
        </w:rPr>
        <w:t>7.2.24.</w:t>
      </w:r>
      <w:r>
        <w:rPr/>
        <w:t xml:space="preserve">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pPr>
        <w:pStyle w:val="Normal"/>
        <w:ind w:firstLine="284"/>
        <w:jc w:val="both"/>
        <w:rPr/>
      </w:pPr>
      <w:r>
        <w:rPr/>
        <w:t>Установку аккумуляторных батарей для указанных целей в обязательном порядке необходимо предусматривать:</w:t>
      </w:r>
    </w:p>
    <w:p>
      <w:pPr>
        <w:pStyle w:val="Normal"/>
        <w:ind w:firstLine="284"/>
        <w:jc w:val="both"/>
        <w:rPr/>
      </w:pPr>
      <w:r>
        <w:rPr/>
        <w:t>1. В детских зрелищных предприятиях независимо от количества мест и числа источников питания.</w:t>
      </w:r>
    </w:p>
    <w:p>
      <w:pPr>
        <w:pStyle w:val="Normal"/>
        <w:ind w:firstLine="284"/>
        <w:jc w:val="both"/>
        <w:rPr/>
      </w:pPr>
      <w:r>
        <w:rPr/>
        <w:t>2. В зрелищных предприятиях (кроме кинотеатров) с суммарным количеством мест в зрительных залах 800 и более независимо от числа источников питания.</w:t>
      </w:r>
    </w:p>
    <w:p>
      <w:pPr>
        <w:pStyle w:val="Normal"/>
        <w:ind w:firstLine="284"/>
        <w:jc w:val="both"/>
        <w:rPr/>
      </w:pPr>
      <w:r>
        <w:rPr/>
        <w:t>3. При наличии одного источника питания:</w:t>
      </w:r>
    </w:p>
    <w:p>
      <w:pPr>
        <w:pStyle w:val="Normal"/>
        <w:ind w:firstLine="284"/>
        <w:jc w:val="both"/>
        <w:rPr/>
      </w:pPr>
      <w:r>
        <w:rPr/>
        <w:t>- в клубных учреждениях при суммарном количестве мест в зрительных залах более 500;</w:t>
      </w:r>
    </w:p>
    <w:p>
      <w:pPr>
        <w:pStyle w:val="Normal"/>
        <w:ind w:firstLine="284"/>
        <w:jc w:val="both"/>
        <w:rPr/>
      </w:pPr>
      <w:r>
        <w:rPr/>
        <w:t>- в остальных зрелищных предприятиях при суммарном количестве мест в зрительных залах более 300.</w:t>
      </w:r>
    </w:p>
    <w:p>
      <w:pPr>
        <w:pStyle w:val="Normal"/>
        <w:ind w:firstLine="284"/>
        <w:jc w:val="both"/>
        <w:rPr/>
      </w:pPr>
      <w:r>
        <w:rPr/>
        <w:t>При наличии двух источников питания для указанных в п. 3 зрелищных предприятий аккумуляторные батареи могут не устанавливаться.</w:t>
      </w:r>
    </w:p>
    <w:p>
      <w:pPr>
        <w:pStyle w:val="Normal"/>
        <w:ind w:firstLine="284"/>
        <w:jc w:val="both"/>
        <w:rPr/>
      </w:pPr>
      <w:r>
        <w:rPr/>
        <w:t>Аккумуляторные батареи также могут не устанавливаться:</w:t>
      </w:r>
    </w:p>
    <w:p>
      <w:pPr>
        <w:pStyle w:val="Normal"/>
        <w:ind w:left="567" w:hanging="283"/>
        <w:jc w:val="both"/>
        <w:rPr/>
      </w:pPr>
      <w:r>
        <w:rPr>
          <w:rFonts w:cs="Symbol" w:ascii="Symbol" w:hAnsi="Symbol"/>
        </w:rPr>
        <w:t></w:t>
      </w:r>
      <w:r>
        <w:rPr>
          <w:sz w:val="14"/>
          <w:szCs w:val="14"/>
        </w:rPr>
        <w:t xml:space="preserve">    </w:t>
      </w:r>
      <w:r>
        <w:rPr/>
        <w:t>в кинотеатрах при суммарном количестве мест в зрительных залах менее 800;</w:t>
      </w:r>
    </w:p>
    <w:p>
      <w:pPr>
        <w:pStyle w:val="Normal"/>
        <w:ind w:left="567" w:hanging="283"/>
        <w:jc w:val="both"/>
        <w:rPr/>
      </w:pPr>
      <w:r>
        <w:rPr>
          <w:rFonts w:cs="Symbol" w:ascii="Symbol" w:hAnsi="Symbol"/>
        </w:rPr>
        <w:t></w:t>
      </w:r>
      <w:r>
        <w:rPr>
          <w:sz w:val="14"/>
          <w:szCs w:val="14"/>
        </w:rPr>
        <w:t xml:space="preserve">    </w:t>
      </w:r>
      <w:r>
        <w:rPr/>
        <w:t>в клубных учреждениях при суммарном количестве мест 500 и менее;</w:t>
      </w:r>
    </w:p>
    <w:p>
      <w:pPr>
        <w:pStyle w:val="Normal"/>
        <w:ind w:left="567" w:hanging="283"/>
        <w:jc w:val="both"/>
        <w:rPr/>
      </w:pPr>
      <w:r>
        <w:rPr>
          <w:rFonts w:cs="Symbol" w:ascii="Symbol" w:hAnsi="Symbol"/>
        </w:rPr>
        <w:t></w:t>
      </w:r>
      <w:r>
        <w:rPr>
          <w:sz w:val="14"/>
          <w:szCs w:val="14"/>
        </w:rPr>
        <w:t xml:space="preserve">    </w:t>
      </w:r>
      <w:r>
        <w:rPr/>
        <w:t>в остальных зрелищных предприятиях при количестве мест в зрительных залах 300 и менее.</w:t>
      </w:r>
    </w:p>
    <w:p>
      <w:pPr>
        <w:pStyle w:val="Normal"/>
        <w:ind w:firstLine="284"/>
        <w:jc w:val="both"/>
        <w:rPr/>
      </w:pPr>
      <w:r>
        <w:rPr>
          <w:b/>
          <w:bCs/>
        </w:rPr>
        <w:t>7.2.25.</w:t>
      </w:r>
      <w:r>
        <w:rPr/>
        <w:t xml:space="preserve">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w:t>
      </w:r>
      <w:r>
        <w:rPr>
          <w:rFonts w:cs="Symbol" w:ascii="Symbol" w:hAnsi="Symbol"/>
        </w:rPr>
        <w:t></w:t>
      </w:r>
      <w:r>
        <w:rPr/>
        <w:t>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pPr>
        <w:pStyle w:val="Normal"/>
        <w:ind w:firstLine="284"/>
        <w:jc w:val="both"/>
        <w:rPr/>
      </w:pPr>
      <w:r>
        <w:rPr/>
        <w:t>Емкость аккумуляторных батарей должна быть выбрана из расчета непрерывной работы светильников аварийного освещения в течение 1 ч.</w:t>
      </w:r>
    </w:p>
    <w:p>
      <w:pPr>
        <w:pStyle w:val="Normal"/>
        <w:ind w:firstLine="284"/>
        <w:jc w:val="both"/>
        <w:rPr/>
      </w:pPr>
      <w:r>
        <w:rPr/>
        <w:t>Кислотные аккумуляторные установки на напряжение выше 48 В и емкостью более 150 А</w:t>
      </w:r>
      <w:r>
        <w:rPr>
          <w:rFonts w:cs="Symbol" w:ascii="Symbol" w:hAnsi="Symbol"/>
        </w:rPr>
        <w:t></w:t>
      </w:r>
      <w:r>
        <w:rPr/>
        <w:t>ч следует выполнять в соответствии с требованиями гл. 5.5.</w:t>
      </w:r>
    </w:p>
    <w:p>
      <w:pPr>
        <w:pStyle w:val="Heading3"/>
        <w:rPr/>
      </w:pPr>
      <w:r>
        <w:rPr/>
        <w:t>Электрическое освещение</w:t>
      </w:r>
    </w:p>
    <w:p>
      <w:pPr>
        <w:pStyle w:val="Normal"/>
        <w:ind w:firstLine="284"/>
        <w:jc w:val="both"/>
        <w:rPr/>
      </w:pPr>
      <w:r>
        <w:rPr>
          <w:b/>
          <w:bCs/>
        </w:rPr>
        <w:t>7.2.26.</w:t>
      </w:r>
      <w:r>
        <w:rPr/>
        <w:t xml:space="preserve"> Допустимые отклонения напряжения у осветительных приборов должны соответствовать требованиям ГОСТ 13109-87 «Электрическая энергия. Требования к качеству электрической энергии в электрических сетях общего назначения».</w:t>
      </w:r>
    </w:p>
    <w:p>
      <w:pPr>
        <w:pStyle w:val="Normal"/>
        <w:ind w:firstLine="284"/>
        <w:jc w:val="both"/>
        <w:rPr/>
      </w:pPr>
      <w:r>
        <w:rPr>
          <w:b/>
          <w:bCs/>
        </w:rPr>
        <w:t>7.2.27.</w:t>
      </w:r>
      <w:r>
        <w:rPr/>
        <w:t xml:space="preserve">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pPr>
        <w:pStyle w:val="Normal"/>
        <w:ind w:firstLine="284"/>
        <w:jc w:val="both"/>
        <w:rPr/>
      </w:pPr>
      <w:r>
        <w:rPr>
          <w:b/>
          <w:bCs/>
        </w:rPr>
        <w:t>7.2.28.</w:t>
      </w:r>
      <w:r>
        <w:rPr/>
        <w:t xml:space="preserve">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pPr>
        <w:pStyle w:val="Normal"/>
        <w:ind w:firstLine="284"/>
        <w:jc w:val="both"/>
        <w:rPr/>
      </w:pPr>
      <w:r>
        <w:rPr>
          <w:b/>
          <w:bCs/>
        </w:rPr>
        <w:t>7.2.29.</w:t>
      </w:r>
      <w:r>
        <w:rPr/>
        <w:t xml:space="preserve"> В зрительных залах вместимостью более 500 мест рекомендуется предусматривать плавное регулирование яркости источников света.</w:t>
      </w:r>
    </w:p>
    <w:p>
      <w:pPr>
        <w:pStyle w:val="Normal"/>
        <w:ind w:firstLine="284"/>
        <w:jc w:val="both"/>
        <w:rPr/>
      </w:pPr>
      <w:r>
        <w:rPr>
          <w:b/>
          <w:bCs/>
        </w:rPr>
        <w:t>7.2.30.</w:t>
      </w:r>
      <w:r>
        <w:rPr/>
        <w:t xml:space="preserve"> В помещениях для зрителей должно быть предусмотрено дежурное освещение, обеспечивающее пониженную освещенность не менее 15 % нормируемой в этих помещениях. Допускается использовать в качестве части дежурного освещения аварийное или эвакуационное освещение.</w:t>
      </w:r>
    </w:p>
    <w:p>
      <w:pPr>
        <w:pStyle w:val="Normal"/>
        <w:ind w:firstLine="284"/>
        <w:jc w:val="both"/>
        <w:rPr/>
      </w:pPr>
      <w:r>
        <w:rPr>
          <w:b/>
          <w:bCs/>
        </w:rPr>
        <w:t>7.2.31.</w:t>
      </w:r>
      <w:r>
        <w:rPr/>
        <w:t xml:space="preserve">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pPr>
        <w:pStyle w:val="Normal"/>
        <w:ind w:firstLine="284"/>
        <w:jc w:val="both"/>
        <w:rPr/>
      </w:pPr>
      <w:r>
        <w:rPr>
          <w:b/>
          <w:bCs/>
        </w:rPr>
        <w:t>7.2.32.</w:t>
      </w:r>
      <w:r>
        <w:rPr/>
        <w:t xml:space="preserve"> Управление рабочим и дежурным освещением должно быть предусмотрено:</w:t>
      </w:r>
    </w:p>
    <w:p>
      <w:pPr>
        <w:pStyle w:val="Normal"/>
        <w:ind w:left="567" w:hanging="283"/>
        <w:jc w:val="both"/>
        <w:rPr/>
      </w:pPr>
      <w:r>
        <w:rPr>
          <w:rFonts w:cs="Symbol" w:ascii="Symbol" w:hAnsi="Symbol"/>
        </w:rPr>
        <w:t></w:t>
      </w:r>
      <w:r>
        <w:rPr>
          <w:sz w:val="14"/>
          <w:szCs w:val="14"/>
        </w:rPr>
        <w:t xml:space="preserve">    </w:t>
      </w:r>
      <w:r>
        <w:rPr/>
        <w:t>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pPr>
        <w:pStyle w:val="Normal"/>
        <w:ind w:left="567" w:hanging="283"/>
        <w:jc w:val="both"/>
        <w:rPr/>
      </w:pPr>
      <w:r>
        <w:rPr>
          <w:rFonts w:cs="Symbol" w:ascii="Symbol" w:hAnsi="Symbol"/>
        </w:rPr>
        <w:t></w:t>
      </w:r>
      <w:r>
        <w:rPr>
          <w:sz w:val="14"/>
          <w:szCs w:val="14"/>
        </w:rPr>
        <w:t xml:space="preserve">    </w:t>
      </w:r>
      <w:r>
        <w:rPr/>
        <w:t>для сцены, эстрады - из аппаратной управления постановочным освещением, с пульта на сцене (эстраде);</w:t>
      </w:r>
    </w:p>
    <w:p>
      <w:pPr>
        <w:pStyle w:val="Normal"/>
        <w:ind w:left="567" w:hanging="283"/>
        <w:jc w:val="both"/>
        <w:rPr/>
      </w:pPr>
      <w:r>
        <w:rPr>
          <w:rFonts w:cs="Symbol" w:ascii="Symbol" w:hAnsi="Symbol"/>
        </w:rPr>
        <w:t></w:t>
      </w:r>
      <w:r>
        <w:rPr>
          <w:sz w:val="14"/>
          <w:szCs w:val="14"/>
        </w:rPr>
        <w:t xml:space="preserve">    </w:t>
      </w:r>
      <w:r>
        <w:rP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pPr>
        <w:pStyle w:val="Normal"/>
        <w:ind w:firstLine="284"/>
        <w:jc w:val="both"/>
        <w:rPr/>
      </w:pPr>
      <w:r>
        <w:rPr>
          <w:b/>
          <w:bCs/>
        </w:rPr>
        <w:t>7.2.33.</w:t>
      </w:r>
      <w:r>
        <w:rPr/>
        <w:t xml:space="preserve">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pPr>
        <w:pStyle w:val="Normal"/>
        <w:ind w:firstLine="284"/>
        <w:jc w:val="both"/>
        <w:rPr/>
      </w:pPr>
      <w:r>
        <w:rP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pPr>
        <w:pStyle w:val="Normal"/>
        <w:ind w:firstLine="284"/>
        <w:jc w:val="both"/>
        <w:rPr/>
      </w:pPr>
      <w:r>
        <w:rPr>
          <w:b/>
          <w:bCs/>
        </w:rPr>
        <w:t>7.2.34.</w:t>
      </w:r>
      <w:r>
        <w:rPr/>
        <w:t xml:space="preserve">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НПБ 160-97 «Цвета сигнальные. Знаки пожарной безопасности. Виды, размеры, общие технические требования».</w:t>
      </w:r>
    </w:p>
    <w:p>
      <w:pPr>
        <w:pStyle w:val="Normal"/>
        <w:ind w:firstLine="284"/>
        <w:jc w:val="both"/>
        <w:rPr/>
      </w:pPr>
      <w:r>
        <w:rP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pPr>
        <w:pStyle w:val="Normal"/>
        <w:ind w:firstLine="284"/>
        <w:jc w:val="both"/>
        <w:rPr/>
      </w:pPr>
      <w:r>
        <w:rPr>
          <w:b/>
          <w:bCs/>
        </w:rPr>
        <w:t>7.2.35.</w:t>
      </w:r>
      <w:r>
        <w:rPr/>
        <w:t xml:space="preserve">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pPr>
        <w:pStyle w:val="Normal"/>
        <w:ind w:firstLine="284"/>
        <w:jc w:val="both"/>
        <w:rPr/>
      </w:pPr>
      <w:r>
        <w:rPr>
          <w:b/>
          <w:bCs/>
        </w:rPr>
        <w:t>7.2.36.</w:t>
      </w:r>
      <w:r>
        <w:rPr/>
        <w:t xml:space="preserve">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pPr>
        <w:pStyle w:val="Normal"/>
        <w:ind w:firstLine="284"/>
        <w:jc w:val="both"/>
        <w:rPr/>
      </w:pPr>
      <w:r>
        <w:rP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pPr>
        <w:pStyle w:val="Normal"/>
        <w:ind w:firstLine="284"/>
        <w:jc w:val="both"/>
        <w:rPr/>
      </w:pPr>
      <w:r>
        <w:rPr>
          <w:b/>
          <w:bCs/>
        </w:rPr>
        <w:t>7.2.37.</w:t>
      </w:r>
      <w:r>
        <w:rPr/>
        <w:t xml:space="preserve"> Освещение пюпитров оркестрантов в оркестровой яме должно производиться светильниками, присоединенными к штепсельным розеткам.</w:t>
      </w:r>
    </w:p>
    <w:p>
      <w:pPr>
        <w:pStyle w:val="Normal"/>
        <w:ind w:firstLine="284"/>
        <w:jc w:val="both"/>
        <w:rPr/>
      </w:pPr>
      <w:r>
        <w:rPr>
          <w:b/>
          <w:bCs/>
        </w:rPr>
        <w:t>7.2.38.</w:t>
      </w:r>
      <w:r>
        <w:rPr/>
        <w:t xml:space="preserve"> В зрелищных предприятиях должна предусматриваться возможность присоединения иллюминационных и рекламных установок.</w:t>
      </w:r>
    </w:p>
    <w:p>
      <w:pPr>
        <w:pStyle w:val="Heading3"/>
        <w:rPr/>
      </w:pPr>
      <w:r>
        <w:rPr/>
        <w:t>Силовое электрооборудование</w:t>
      </w:r>
    </w:p>
    <w:p>
      <w:pPr>
        <w:pStyle w:val="Normal"/>
        <w:ind w:firstLine="284"/>
        <w:jc w:val="both"/>
        <w:rPr/>
      </w:pPr>
      <w:r>
        <w:rPr>
          <w:b/>
          <w:bCs/>
        </w:rPr>
        <w:t>7.2.39.</w:t>
      </w:r>
      <w:r>
        <w:rPr/>
        <w:t xml:space="preserve">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pPr>
        <w:pStyle w:val="Normal"/>
        <w:ind w:firstLine="284"/>
        <w:jc w:val="both"/>
        <w:rPr/>
      </w:pPr>
      <w:r>
        <w:rPr>
          <w:b/>
          <w:bCs/>
        </w:rPr>
        <w:t>7.2.40.</w:t>
      </w:r>
      <w:r>
        <w:rPr/>
        <w:t xml:space="preserve">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pPr>
        <w:pStyle w:val="Normal"/>
        <w:ind w:firstLine="284"/>
        <w:jc w:val="both"/>
        <w:rPr/>
      </w:pPr>
      <w:r>
        <w:rPr>
          <w:b/>
          <w:bCs/>
        </w:rPr>
        <w:t>7.2.41.</w:t>
      </w:r>
      <w:r>
        <w:rPr/>
        <w:t xml:space="preserve"> Пуск электродвигателей пожарных насосов следует выполнять:</w:t>
      </w:r>
    </w:p>
    <w:p>
      <w:pPr>
        <w:pStyle w:val="Normal"/>
        <w:ind w:left="567" w:hanging="283"/>
        <w:jc w:val="both"/>
        <w:rPr/>
      </w:pPr>
      <w:r>
        <w:rPr>
          <w:rFonts w:cs="Symbol" w:ascii="Symbol" w:hAnsi="Symbol"/>
        </w:rPr>
        <w:t></w:t>
      </w:r>
      <w:r>
        <w:rPr>
          <w:sz w:val="14"/>
          <w:szCs w:val="14"/>
        </w:rPr>
        <w:t xml:space="preserve">    </w:t>
      </w:r>
      <w:r>
        <w:rPr/>
        <w:t>дистанционно от кнопок у пожарных кранов - при отсутствии спринклерных и дренчерных устройств;</w:t>
      </w:r>
    </w:p>
    <w:p>
      <w:pPr>
        <w:pStyle w:val="Normal"/>
        <w:ind w:left="567" w:hanging="283"/>
        <w:jc w:val="both"/>
        <w:rPr/>
      </w:pPr>
      <w:r>
        <w:rPr>
          <w:rFonts w:cs="Symbol" w:ascii="Symbol" w:hAnsi="Symbol"/>
        </w:rPr>
        <w:t></w:t>
      </w:r>
      <w:r>
        <w:rPr>
          <w:sz w:val="14"/>
          <w:szCs w:val="14"/>
        </w:rPr>
        <w:t xml:space="preserve">    </w:t>
      </w:r>
      <w:r>
        <w:rP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pPr>
        <w:pStyle w:val="Normal"/>
        <w:ind w:firstLine="284"/>
        <w:jc w:val="both"/>
        <w:rPr/>
      </w:pPr>
      <w:r>
        <w:rPr/>
        <w:t>Пуск электродвигателей пожарных насосов должен контролироваться в помещении пожарного поста световым и звуковым сигналами.</w:t>
      </w:r>
    </w:p>
    <w:p>
      <w:pPr>
        <w:pStyle w:val="Normal"/>
        <w:ind w:firstLine="284"/>
        <w:jc w:val="both"/>
        <w:rPr/>
      </w:pPr>
      <w:r>
        <w:rPr>
          <w:b/>
          <w:bCs/>
        </w:rPr>
        <w:t>7.2.42.</w:t>
      </w:r>
      <w:r>
        <w:rPr/>
        <w:t xml:space="preserve"> Электроприводы механизмов сцены должны автоматически отключаться по достижении механизмами крайних положений.</w:t>
      </w:r>
    </w:p>
    <w:p>
      <w:pPr>
        <w:pStyle w:val="Normal"/>
        <w:ind w:firstLine="284"/>
        <w:jc w:val="both"/>
        <w:rPr/>
      </w:pPr>
      <w:r>
        <w:rP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pPr>
        <w:pStyle w:val="Normal"/>
        <w:ind w:firstLine="284"/>
        <w:jc w:val="both"/>
        <w:rPr/>
      </w:pPr>
      <w:r>
        <w:rPr>
          <w:b/>
          <w:bCs/>
        </w:rPr>
        <w:t>7.2.43.</w:t>
      </w:r>
      <w:r>
        <w:rPr/>
        <w:t xml:space="preserve">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pPr>
        <w:pStyle w:val="Normal"/>
        <w:ind w:firstLine="284"/>
        <w:jc w:val="both"/>
        <w:rPr/>
      </w:pPr>
      <w:r>
        <w:rPr>
          <w:b/>
          <w:bCs/>
        </w:rPr>
        <w:t>7.2.44.</w:t>
      </w:r>
      <w:r>
        <w:rPr/>
        <w:t xml:space="preserve">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pPr>
        <w:pStyle w:val="Normal"/>
        <w:ind w:firstLine="284"/>
        <w:jc w:val="both"/>
        <w:rPr/>
      </w:pPr>
      <w:r>
        <w:rPr>
          <w:b/>
          <w:bCs/>
        </w:rPr>
        <w:t>7.2.45.</w:t>
      </w:r>
      <w:r>
        <w:rPr/>
        <w:t xml:space="preserve">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pPr>
        <w:pStyle w:val="Normal"/>
        <w:ind w:firstLine="284"/>
        <w:jc w:val="both"/>
        <w:rPr/>
      </w:pPr>
      <w:r>
        <w:rPr>
          <w:b/>
          <w:bCs/>
        </w:rPr>
        <w:t>7.2.46.</w:t>
      </w:r>
      <w:r>
        <w:rPr/>
        <w:t xml:space="preserve">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pPr>
        <w:pStyle w:val="Normal"/>
        <w:ind w:firstLine="284"/>
        <w:jc w:val="both"/>
        <w:rPr/>
      </w:pPr>
      <w:r>
        <w:rPr>
          <w:b/>
          <w:bCs/>
        </w:rPr>
        <w:t>7.2.47.</w:t>
      </w:r>
      <w:r>
        <w:rPr/>
        <w:t xml:space="preserve">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pPr>
        <w:pStyle w:val="Normal"/>
        <w:ind w:firstLine="284"/>
        <w:jc w:val="both"/>
        <w:rPr/>
      </w:pPr>
      <w:r>
        <w:rPr>
          <w:b/>
          <w:bCs/>
        </w:rPr>
        <w:t>7.2.48.</w:t>
      </w:r>
      <w:r>
        <w:rPr/>
        <w:t xml:space="preserve">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pPr>
        <w:pStyle w:val="Normal"/>
        <w:ind w:firstLine="284"/>
        <w:jc w:val="both"/>
        <w:rPr/>
      </w:pPr>
      <w:r>
        <w:rPr>
          <w:b/>
          <w:bCs/>
        </w:rPr>
        <w:t>7.2.49.</w:t>
      </w:r>
      <w:r>
        <w:rPr/>
        <w:t xml:space="preserve">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pPr>
        <w:pStyle w:val="Normal"/>
        <w:ind w:firstLine="284"/>
        <w:jc w:val="both"/>
        <w:rPr/>
      </w:pPr>
      <w:r>
        <w:rPr/>
        <w:t>Управление лебедкой дымовых люков должно предусматриваться с планшета сцены, из помещения пожарного поста-диспетчерской и помещения лебедки.</w:t>
      </w:r>
    </w:p>
    <w:p>
      <w:pPr>
        <w:pStyle w:val="Heading3"/>
        <w:rPr/>
      </w:pPr>
      <w:r>
        <w:rPr/>
        <w:t>Прокладка кабелей и проводов</w:t>
      </w:r>
    </w:p>
    <w:p>
      <w:pPr>
        <w:pStyle w:val="Normal"/>
        <w:ind w:firstLine="284"/>
        <w:jc w:val="both"/>
        <w:rPr/>
      </w:pPr>
      <w:r>
        <w:rPr>
          <w:b/>
          <w:bCs/>
        </w:rPr>
        <w:t>7.2.50.</w:t>
      </w:r>
      <w:r>
        <w:rPr/>
        <w:t xml:space="preserve"> В дополнение к требованиям гл. 3.1 должны быть защищены от перегрузки силовые сети в пределах сцены (эстрады, манежа).</w:t>
      </w:r>
    </w:p>
    <w:p>
      <w:pPr>
        <w:pStyle w:val="Normal"/>
        <w:ind w:firstLine="284"/>
        <w:jc w:val="both"/>
        <w:rPr/>
      </w:pPr>
      <w:r>
        <w:rPr>
          <w:b/>
          <w:bCs/>
        </w:rPr>
        <w:t>7.2.51.</w:t>
      </w:r>
      <w:r>
        <w:rPr/>
        <w:t xml:space="preserve"> Кабели и провода должны приниматься с медными жилами, электропроводки не должны распространять горение:</w:t>
      </w:r>
    </w:p>
    <w:p>
      <w:pPr>
        <w:pStyle w:val="Normal"/>
        <w:ind w:left="567" w:hanging="283"/>
        <w:jc w:val="both"/>
        <w:rPr/>
      </w:pPr>
      <w:r>
        <w:rPr>
          <w:rFonts w:cs="Symbol" w:ascii="Symbol" w:hAnsi="Symbol"/>
        </w:rPr>
        <w:t></w:t>
      </w:r>
      <w:r>
        <w:rPr>
          <w:sz w:val="14"/>
          <w:szCs w:val="14"/>
        </w:rPr>
        <w:t xml:space="preserve">    </w:t>
      </w:r>
      <w:r>
        <w:rPr/>
        <w:t>в зрительных залах, в том числе в пространстве над залами и за подвесными потолками;</w:t>
      </w:r>
    </w:p>
    <w:p>
      <w:pPr>
        <w:pStyle w:val="Normal"/>
        <w:ind w:left="567" w:hanging="283"/>
        <w:jc w:val="both"/>
        <w:rPr/>
      </w:pPr>
      <w:r>
        <w:rPr>
          <w:rFonts w:cs="Symbol" w:ascii="Symbol" w:hAnsi="Symbol"/>
        </w:rPr>
        <w:t></w:t>
      </w:r>
      <w:r>
        <w:rPr>
          <w:sz w:val="14"/>
          <w:szCs w:val="14"/>
        </w:rPr>
        <w:t xml:space="preserve">    </w:t>
      </w:r>
      <w:r>
        <w:rPr/>
        <w:t>на сцене, в чердачных помещениях с горючими конструкциями;</w:t>
      </w:r>
    </w:p>
    <w:p>
      <w:pPr>
        <w:pStyle w:val="Normal"/>
        <w:ind w:left="567" w:hanging="283"/>
        <w:jc w:val="both"/>
        <w:rPr/>
      </w:pPr>
      <w:r>
        <w:rPr>
          <w:rFonts w:cs="Symbol" w:ascii="Symbol" w:hAnsi="Symbol"/>
        </w:rPr>
        <w:t></w:t>
      </w:r>
      <w:r>
        <w:rPr>
          <w:sz w:val="14"/>
          <w:szCs w:val="14"/>
        </w:rPr>
        <w:t xml:space="preserve">    </w:t>
      </w:r>
      <w:r>
        <w:rPr/>
        <w:t>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pPr>
        <w:pStyle w:val="Normal"/>
        <w:ind w:firstLine="284"/>
        <w:jc w:val="both"/>
        <w:rPr/>
      </w:pPr>
      <w:r>
        <w:rP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Pr>
          <w:vertAlign w:val="superscript"/>
        </w:rPr>
        <w:t>2</w:t>
      </w:r>
      <w:r>
        <w:rPr/>
        <w:t>.</w:t>
      </w:r>
    </w:p>
    <w:p>
      <w:pPr>
        <w:pStyle w:val="Normal"/>
        <w:ind w:firstLine="284"/>
        <w:jc w:val="both"/>
        <w:rPr/>
      </w:pPr>
      <w:r>
        <w:rPr>
          <w:b/>
          <w:bCs/>
        </w:rPr>
        <w:t>7.2.52.</w:t>
      </w:r>
      <w:r>
        <w:rPr/>
        <w:t xml:space="preserve"> В зрительных залах, фойе, буфетах и других помещениях для зрителей электропроводку рекомендуется выполнять скрытой сменяемой.</w:t>
      </w:r>
    </w:p>
    <w:p>
      <w:pPr>
        <w:pStyle w:val="Normal"/>
        <w:ind w:firstLine="284"/>
        <w:jc w:val="both"/>
        <w:rPr/>
      </w:pPr>
      <w:r>
        <w:rPr>
          <w:b/>
          <w:bCs/>
        </w:rPr>
        <w:t>7.2.53.</w:t>
      </w:r>
      <w:r>
        <w:rPr/>
        <w:t xml:space="preserve"> Кабели и провода должны прокладываться в стальных трубах в пределах сцены (эстрады, манежа), а также в зрительных залах независимо от количества мест.</w:t>
      </w:r>
    </w:p>
    <w:p>
      <w:pPr>
        <w:pStyle w:val="Normal"/>
        <w:ind w:firstLine="284"/>
        <w:jc w:val="both"/>
        <w:rPr/>
      </w:pPr>
      <w:r>
        <w:rPr>
          <w:b/>
          <w:bCs/>
        </w:rPr>
        <w:t>7.2.54.</w:t>
      </w:r>
      <w:r>
        <w:rPr/>
        <w:t xml:space="preserve">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pPr>
        <w:pStyle w:val="Normal"/>
        <w:ind w:firstLine="284"/>
        <w:jc w:val="both"/>
        <w:rPr/>
      </w:pPr>
      <w:r>
        <w:rPr>
          <w:b/>
          <w:bCs/>
        </w:rPr>
        <w:t>7.2.55.</w:t>
      </w:r>
      <w:r>
        <w:rPr/>
        <w:t xml:space="preserve">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pPr>
        <w:pStyle w:val="Normal"/>
        <w:ind w:firstLine="284"/>
        <w:jc w:val="both"/>
        <w:rPr/>
      </w:pPr>
      <w:r>
        <w:rPr>
          <w:b/>
          <w:bCs/>
        </w:rPr>
        <w:t>7.2.56.</w:t>
      </w:r>
      <w:r>
        <w:rPr/>
        <w:t xml:space="preserve">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pPr>
        <w:pStyle w:val="Normal"/>
        <w:ind w:firstLine="284"/>
        <w:jc w:val="both"/>
        <w:rPr/>
      </w:pPr>
      <w:r>
        <w:rPr>
          <w:b/>
          <w:bCs/>
        </w:rPr>
        <w:t>7.2.57.</w:t>
      </w:r>
      <w:r>
        <w:rPr/>
        <w:t xml:space="preserve">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pPr>
        <w:pStyle w:val="Heading3"/>
        <w:rPr/>
      </w:pPr>
      <w:r>
        <w:rPr/>
        <w:t>Защитные меры безопасности</w:t>
      </w:r>
    </w:p>
    <w:p>
      <w:pPr>
        <w:pStyle w:val="Normal"/>
        <w:ind w:firstLine="284"/>
        <w:jc w:val="both"/>
        <w:rPr/>
      </w:pPr>
      <w:r>
        <w:rPr>
          <w:b/>
          <w:bCs/>
        </w:rPr>
        <w:t>7.2.58.</w:t>
      </w:r>
      <w:r>
        <w:rPr/>
        <w:t xml:space="preserve"> Заземление и защитные меры безопасности электроустановок следует выполнять в соответствии с требованиями гл. 1.7, 7.1 и дополнительными требованиями, приведенными в данном разделе.</w:t>
      </w:r>
    </w:p>
    <w:p>
      <w:pPr>
        <w:pStyle w:val="Normal"/>
        <w:ind w:firstLine="284"/>
        <w:jc w:val="both"/>
        <w:rPr/>
      </w:pPr>
      <w:r>
        <w:rPr>
          <w:b/>
          <w:bCs/>
        </w:rPr>
        <w:t>7.2.59.</w:t>
      </w:r>
      <w:r>
        <w:rPr/>
        <w:t xml:space="preserve">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pPr>
        <w:pStyle w:val="Normal"/>
        <w:ind w:firstLine="284"/>
        <w:jc w:val="both"/>
        <w:rPr/>
      </w:pPr>
      <w:r>
        <w:rPr/>
        <w:t>Подключение вращающейся части сцены и аппаратуры, размещаемой на ней, допускается осуществлять через кольцевой контакт с двойным токосъемом.</w:t>
      </w:r>
    </w:p>
    <w:p>
      <w:pPr>
        <w:pStyle w:val="Normal"/>
        <w:ind w:firstLine="284"/>
        <w:jc w:val="both"/>
        <w:rPr/>
      </w:pPr>
      <w:r>
        <w:rPr>
          <w:b/>
          <w:bCs/>
        </w:rPr>
        <w:t>7.2.60.</w:t>
      </w:r>
      <w:r>
        <w:rPr/>
        <w:t xml:space="preserve">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pPr>
        <w:pStyle w:val="Normal"/>
        <w:ind w:firstLine="284"/>
        <w:jc w:val="both"/>
        <w:rPr/>
      </w:pPr>
      <w:r>
        <w:rPr/>
        <w:t>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w:t>
      </w:r>
    </w:p>
    <w:p>
      <w:pPr>
        <w:pStyle w:val="Normal"/>
        <w:ind w:firstLine="284"/>
        <w:jc w:val="both"/>
        <w:rPr/>
      </w:pPr>
      <w:r>
        <w:rP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pPr>
        <w:pStyle w:val="Heading2"/>
        <w:rPr/>
      </w:pPr>
      <w:bookmarkStart w:id="36" w:name="_%D0%93%D0%BB%D0%B0%D0%B2%D0%B0_7.5_%D0%"/>
      <w:bookmarkEnd w:id="36"/>
      <w:r>
        <w:rPr/>
        <w:t>Глава 7.5 ЭЛЕКТРОТЕРМИЧЕСКИЕ УСТАНОВКИ</w:t>
      </w:r>
    </w:p>
    <w:p>
      <w:pPr>
        <w:pStyle w:val="Normal"/>
        <w:jc w:val="right"/>
        <w:rPr/>
      </w:pPr>
      <w:r>
        <w:rPr/>
        <w:t>УТВЕРЖДЕНЫ</w:t>
      </w:r>
    </w:p>
    <w:p>
      <w:pPr>
        <w:pStyle w:val="Normal"/>
        <w:jc w:val="right"/>
        <w:rPr/>
      </w:pPr>
      <w:r>
        <w:rPr/>
        <w:t>Приказом Минэнерго России</w:t>
      </w:r>
    </w:p>
    <w:p>
      <w:pPr>
        <w:pStyle w:val="Normal"/>
        <w:jc w:val="right"/>
        <w:rPr/>
      </w:pPr>
      <w:r>
        <w:rPr/>
        <w:t>От 08.07.2002 № 204</w:t>
      </w:r>
    </w:p>
    <w:p>
      <w:pPr>
        <w:pStyle w:val="Heading3"/>
        <w:rPr/>
      </w:pPr>
      <w:r>
        <w:rPr/>
        <w:t>Область применения</w:t>
      </w:r>
    </w:p>
    <w:p>
      <w:pPr>
        <w:pStyle w:val="Normal"/>
        <w:shd w:fill="FFFFFF" w:val="clear"/>
        <w:ind w:firstLine="283"/>
        <w:jc w:val="both"/>
        <w:rPr/>
      </w:pPr>
      <w:r>
        <w:rPr>
          <w:b/>
          <w:bCs/>
        </w:rPr>
        <w:t xml:space="preserve">7.5.1. </w:t>
      </w:r>
      <w:r>
        <w:rPr/>
        <w:t>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 - от 30 кГц до 300 МГц и сверхвысокой частоты - от 300 МГц до 300 ГГц и постоянного (выпрямленного) тока:</w:t>
      </w:r>
    </w:p>
    <w:p>
      <w:pPr>
        <w:pStyle w:val="Normal"/>
        <w:shd w:fill="FFFFFF" w:val="clear"/>
        <w:ind w:firstLine="283"/>
        <w:jc w:val="both"/>
        <w:rPr/>
      </w:pPr>
      <w:r>
        <w:rP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pPr>
        <w:pStyle w:val="Normal"/>
        <w:shd w:fill="FFFFFF" w:val="clear"/>
        <w:ind w:firstLine="283"/>
        <w:jc w:val="both"/>
        <w:rPr/>
      </w:pPr>
      <w:r>
        <w:rPr/>
        <w:t>индукционных нагревательных (включая закалочные) и плавильных (тигельных и канальных);</w:t>
      </w:r>
    </w:p>
    <w:p>
      <w:pPr>
        <w:pStyle w:val="Normal"/>
        <w:shd w:fill="FFFFFF" w:val="clear"/>
        <w:ind w:firstLine="283"/>
        <w:jc w:val="both"/>
        <w:rPr/>
      </w:pPr>
      <w:r>
        <w:rPr/>
        <w:t>диэлектрического нагрева;</w:t>
      </w:r>
    </w:p>
    <w:p>
      <w:pPr>
        <w:pStyle w:val="Normal"/>
        <w:shd w:fill="FFFFFF" w:val="clear"/>
        <w:ind w:firstLine="283"/>
        <w:jc w:val="both"/>
        <w:rPr/>
      </w:pPr>
      <w:r>
        <w:rPr/>
        <w:t>сопротивления прямого и косвенного нагрева (с любым материалом нагревателя: твердым и жидким), в том числе печей электрошлакового переплава</w:t>
      </w:r>
      <w:r>
        <w:rPr>
          <w:vertAlign w:val="superscript"/>
        </w:rPr>
        <w:t>1</w:t>
      </w:r>
      <w:r>
        <w:rPr/>
        <w:t xml:space="preserve"> - ЭШП, литья - ЭШЛ и наплавки - ЭШН, а также печей электродных расплавления флюса для перечисленных разновидностей электрошлаковых печей;</w:t>
      </w:r>
    </w:p>
    <w:p>
      <w:pPr>
        <w:pStyle w:val="Normal"/>
        <w:shd w:fill="FFFFFF" w:val="clear"/>
        <w:spacing w:before="120" w:after="120"/>
        <w:ind w:firstLine="283"/>
        <w:jc w:val="both"/>
        <w:rPr/>
      </w:pPr>
      <w:r>
        <w:rPr>
          <w:vertAlign w:val="superscript"/>
        </w:rPr>
        <w:t>1</w:t>
      </w:r>
      <w:r>
        <w:rPr/>
        <w:t xml:space="preserve"> Дуговой процесс только при «твердом старте» печей ЭШП и лишь весьма короткий промежуток времени, в среднем около 1 %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pPr>
        <w:pStyle w:val="Normal"/>
        <w:shd w:fill="FFFFFF" w:val="clear"/>
        <w:ind w:firstLine="283"/>
        <w:jc w:val="both"/>
        <w:rPr/>
      </w:pPr>
      <w:r>
        <w:rPr/>
        <w:t>электронно-лучевых;</w:t>
      </w:r>
    </w:p>
    <w:p>
      <w:pPr>
        <w:pStyle w:val="Normal"/>
        <w:shd w:fill="FFFFFF" w:val="clear"/>
        <w:ind w:firstLine="283"/>
        <w:jc w:val="both"/>
        <w:rPr/>
      </w:pPr>
      <w:r>
        <w:rPr/>
        <w:t>ионных;</w:t>
      </w:r>
    </w:p>
    <w:p>
      <w:pPr>
        <w:pStyle w:val="Normal"/>
        <w:shd w:fill="FFFFFF" w:val="clear"/>
        <w:ind w:firstLine="283"/>
        <w:jc w:val="both"/>
        <w:rPr/>
      </w:pPr>
      <w:r>
        <w:rPr/>
        <w:t>лазерных.</w:t>
      </w:r>
    </w:p>
    <w:p>
      <w:pPr>
        <w:pStyle w:val="Normal"/>
        <w:shd w:fill="FFFFFF" w:val="clear"/>
        <w:ind w:firstLine="283"/>
        <w:jc w:val="both"/>
        <w:rPr/>
      </w:pPr>
      <w:r>
        <w:rP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с любыми средами (воздух, вакуум, инертный газ и т.п.) и давлениями в их рабочих камерах.</w:t>
      </w:r>
    </w:p>
    <w:p>
      <w:pPr>
        <w:pStyle w:val="Normal"/>
        <w:shd w:fill="FFFFFF" w:val="clear"/>
        <w:ind w:firstLine="283"/>
        <w:jc w:val="both"/>
        <w:rPr/>
      </w:pPr>
      <w:r>
        <w:rPr>
          <w:b/>
          <w:bCs/>
        </w:rPr>
        <w:t>7.5.2.</w:t>
      </w:r>
      <w:r>
        <w:rPr/>
        <w:t xml:space="preserve"> 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 1-6, а также гл. 7.3 и 7.4 в той мере, в какой они не изменены настоящей главой.</w:t>
      </w:r>
    </w:p>
    <w:p>
      <w:pPr>
        <w:pStyle w:val="Heading3"/>
        <w:rPr/>
      </w:pPr>
      <w:r>
        <w:rPr/>
        <w:t>Определения</w:t>
      </w:r>
    </w:p>
    <w:p>
      <w:pPr>
        <w:pStyle w:val="Normal"/>
        <w:shd w:fill="FFFFFF" w:val="clear"/>
        <w:ind w:firstLine="283"/>
        <w:jc w:val="both"/>
        <w:rPr/>
      </w:pPr>
      <w:r>
        <w:rPr>
          <w:b/>
          <w:bCs/>
        </w:rPr>
        <w:t>7.5.3.</w:t>
      </w:r>
      <w:r>
        <w:rPr/>
        <w:t xml:space="preserve"> </w:t>
      </w:r>
      <w:r>
        <w:rPr>
          <w:spacing w:val="50"/>
        </w:rPr>
        <w:t>Электротермическая установка</w:t>
      </w:r>
      <w:r>
        <w:rPr/>
        <w:t xml:space="preserve"> (ЭТУ) - 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pPr>
        <w:pStyle w:val="Normal"/>
        <w:shd w:fill="FFFFFF" w:val="clear"/>
        <w:ind w:firstLine="283"/>
        <w:jc w:val="both"/>
        <w:rPr/>
      </w:pPr>
      <w:r>
        <w:rP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pPr>
        <w:pStyle w:val="Normal"/>
        <w:shd w:fill="FFFFFF" w:val="clear"/>
        <w:ind w:firstLine="283"/>
        <w:jc w:val="both"/>
        <w:rPr/>
      </w:pPr>
      <w:r>
        <w:rPr>
          <w:b/>
          <w:bCs/>
        </w:rPr>
        <w:t>7.5.4.</w:t>
      </w:r>
      <w:r>
        <w:rPr/>
        <w:t xml:space="preserve"> </w:t>
      </w:r>
      <w:r>
        <w:rPr>
          <w:spacing w:val="50"/>
        </w:rPr>
        <w:t>Электротермическое оборудование</w:t>
      </w:r>
      <w:r>
        <w:rPr/>
        <w:t xml:space="preserve"> (ЭТО)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pPr>
        <w:pStyle w:val="Normal"/>
        <w:shd w:fill="FFFFFF" w:val="clear"/>
        <w:ind w:firstLine="283"/>
        <w:jc w:val="both"/>
        <w:rPr/>
      </w:pPr>
      <w:r>
        <w:rP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pPr>
        <w:pStyle w:val="Normal"/>
        <w:shd w:fill="FFFFFF" w:val="clear"/>
        <w:ind w:firstLine="283"/>
        <w:jc w:val="both"/>
        <w:rPr/>
      </w:pPr>
      <w:r>
        <w:rPr/>
        <w:t xml:space="preserve">В разновидностях ЭТУ, перечисленных в </w:t>
      </w:r>
      <w:r>
        <w:rPr>
          <w:b/>
          <w:bCs/>
        </w:rPr>
        <w:t>7.5.1</w:t>
      </w:r>
      <w:r>
        <w:rPr/>
        <w:t>, во входящем в состав этих установок ЭТО электрическая энергия преобразуется в тепловую, в основном, тремя способами:</w:t>
      </w:r>
    </w:p>
    <w:p>
      <w:pPr>
        <w:pStyle w:val="Normal"/>
        <w:shd w:fill="FFFFFF" w:val="clear"/>
        <w:ind w:firstLine="283"/>
        <w:jc w:val="both"/>
        <w:rPr/>
      </w:pPr>
      <w:r>
        <w:rP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pPr>
        <w:pStyle w:val="Normal"/>
        <w:shd w:fill="FFFFFF" w:val="clear"/>
        <w:ind w:firstLine="283"/>
        <w:jc w:val="both"/>
        <w:rPr/>
      </w:pPr>
      <w:r>
        <w:rP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pPr>
        <w:pStyle w:val="Normal"/>
        <w:shd w:fill="FFFFFF" w:val="clear"/>
        <w:ind w:firstLine="283"/>
        <w:jc w:val="both"/>
        <w:rPr/>
      </w:pPr>
      <w:r>
        <w:rP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pPr>
        <w:pStyle w:val="Normal"/>
        <w:shd w:fill="FFFFFF" w:val="clear"/>
        <w:ind w:firstLine="283"/>
        <w:jc w:val="both"/>
        <w:rPr/>
      </w:pPr>
      <w:r>
        <w:rPr/>
        <w:t>Рабочее напряжение ЭТУ по номинальному значению делится на три класса:</w:t>
      </w:r>
    </w:p>
    <w:p>
      <w:pPr>
        <w:pStyle w:val="Normal"/>
        <w:shd w:fill="FFFFFF" w:val="clear"/>
        <w:ind w:firstLine="283"/>
        <w:jc w:val="both"/>
        <w:rPr/>
      </w:pPr>
      <w:r>
        <w:rPr/>
        <w:t>до 50 В переменного или 110 В постоянного тока;</w:t>
      </w:r>
    </w:p>
    <w:p>
      <w:pPr>
        <w:pStyle w:val="Normal"/>
        <w:shd w:fill="FFFFFF" w:val="clear"/>
        <w:ind w:firstLine="283"/>
        <w:jc w:val="both"/>
        <w:rPr/>
      </w:pPr>
      <w:r>
        <w:rPr/>
        <w:t>более указанного выше напряжения до 1600 В переменного или постоянного тока;</w:t>
      </w:r>
    </w:p>
    <w:p>
      <w:pPr>
        <w:pStyle w:val="Normal"/>
        <w:shd w:fill="FFFFFF" w:val="clear"/>
        <w:ind w:firstLine="283"/>
        <w:jc w:val="both"/>
        <w:rPr/>
      </w:pPr>
      <w:r>
        <w:rPr/>
        <w:t>более 1600 В переменного или постоянного тока.</w:t>
      </w:r>
    </w:p>
    <w:p>
      <w:pPr>
        <w:pStyle w:val="Normal"/>
        <w:shd w:fill="FFFFFF" w:val="clear"/>
        <w:ind w:firstLine="283"/>
        <w:jc w:val="both"/>
        <w:rPr/>
      </w:pPr>
      <w:r>
        <w:rPr>
          <w:b/>
          <w:bCs/>
        </w:rPr>
        <w:t>7.5.5.</w:t>
      </w:r>
      <w:r>
        <w:rPr/>
        <w:t xml:space="preserve"> </w:t>
      </w:r>
      <w:r>
        <w:rPr>
          <w:spacing w:val="50"/>
        </w:rPr>
        <w:t>Печная трансформаторная или преобразовательная подстанция</w:t>
      </w:r>
      <w:r>
        <w:rPr/>
        <w:t xml:space="preserve"> - подстанция, входящая в состав ЭТУ, выполняющая функции и содержащая элементы, указанные в гл. 4.2 и 4.3.</w:t>
      </w:r>
    </w:p>
    <w:p>
      <w:pPr>
        <w:pStyle w:val="Normal"/>
        <w:shd w:fill="FFFFFF" w:val="clear"/>
        <w:ind w:firstLine="283"/>
        <w:jc w:val="both"/>
        <w:rPr/>
      </w:pPr>
      <w:r>
        <w:rPr>
          <w:b/>
          <w:bCs/>
        </w:rPr>
        <w:t>7.5.6.</w:t>
      </w:r>
      <w:r>
        <w:rPr/>
        <w:t xml:space="preserve"> </w:t>
      </w:r>
      <w:r>
        <w:rPr>
          <w:spacing w:val="50"/>
        </w:rPr>
        <w:t>Печной силовой трансформатор (трансформаторный агрегат) или автотрансформатор</w:t>
      </w:r>
      <w:r>
        <w:rPr/>
        <w:t xml:space="preserve">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pPr>
        <w:pStyle w:val="Normal"/>
        <w:shd w:fill="FFFFFF" w:val="clear"/>
        <w:ind w:firstLine="283"/>
        <w:jc w:val="both"/>
        <w:rPr/>
      </w:pPr>
      <w:r>
        <w:rPr>
          <w:spacing w:val="50"/>
        </w:rPr>
        <w:t>Печной преобразовательный трансформатор</w:t>
      </w:r>
      <w:r>
        <w:rPr/>
        <w:t xml:space="preserve"> - трансформатор, передающий электроэнергию к преобразовательному (выпрямительному) устройству ЭТУ.</w:t>
      </w:r>
    </w:p>
    <w:p>
      <w:pPr>
        <w:pStyle w:val="Normal"/>
        <w:shd w:fill="FFFFFF" w:val="clear"/>
        <w:ind w:firstLine="283"/>
        <w:jc w:val="both"/>
        <w:rPr/>
      </w:pPr>
      <w:r>
        <w:rPr>
          <w:b/>
          <w:bCs/>
        </w:rPr>
        <w:t>7.5.7.</w:t>
      </w:r>
      <w:r>
        <w:rPr/>
        <w:t xml:space="preserve"> </w:t>
      </w:r>
      <w:r>
        <w:rPr>
          <w:spacing w:val="50"/>
        </w:rPr>
        <w:t>Печной выключатель</w:t>
      </w:r>
      <w:r>
        <w:rPr/>
        <w:t xml:space="preserve"> - выключатель, коммутирующий главные силовые цепи переменного тока ЭТУ, оперативно-защитный или оперативный выключатель, функции которого приведены в </w:t>
      </w:r>
      <w:r>
        <w:rPr>
          <w:b/>
          <w:bCs/>
        </w:rPr>
        <w:t>7.5.10</w:t>
      </w:r>
      <w:r>
        <w:rPr/>
        <w:t>.</w:t>
      </w:r>
    </w:p>
    <w:p>
      <w:pPr>
        <w:pStyle w:val="Heading3"/>
        <w:rPr/>
      </w:pPr>
      <w:r>
        <w:rPr/>
        <w:t>Общие требования</w:t>
      </w:r>
    </w:p>
    <w:p>
      <w:pPr>
        <w:pStyle w:val="Normal"/>
        <w:shd w:fill="FFFFFF" w:val="clear"/>
        <w:ind w:firstLine="283"/>
        <w:jc w:val="both"/>
        <w:rPr/>
      </w:pPr>
      <w:r>
        <w:rPr>
          <w:b/>
          <w:bCs/>
        </w:rPr>
        <w:t>7.5.8.</w:t>
      </w:r>
      <w:r>
        <w:rPr/>
        <w:t xml:space="preserve">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pPr>
        <w:pStyle w:val="Normal"/>
        <w:shd w:fill="FFFFFF" w:val="clear"/>
        <w:ind w:firstLine="283"/>
        <w:jc w:val="both"/>
        <w:rPr/>
      </w:pPr>
      <w:r>
        <w:rP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pPr>
        <w:pStyle w:val="Normal"/>
        <w:shd w:fill="FFFFFF" w:val="clear"/>
        <w:ind w:firstLine="283"/>
        <w:jc w:val="both"/>
        <w:rPr/>
      </w:pPr>
      <w:r>
        <w:rPr>
          <w:b/>
          <w:bCs/>
        </w:rPr>
        <w:t>7.5.9.</w:t>
      </w:r>
      <w:r>
        <w:rPr/>
        <w:t xml:space="preserve">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pPr>
        <w:pStyle w:val="Normal"/>
        <w:shd w:fill="FFFFFF" w:val="clear"/>
        <w:ind w:firstLine="283"/>
        <w:jc w:val="both"/>
        <w:rPr/>
      </w:pPr>
      <w:r>
        <w:rP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vertAlign w:val="superscript"/>
        </w:rPr>
        <w:t>1</w:t>
      </w:r>
      <w:r>
        <w:rPr/>
        <w:t xml:space="preserve">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pPr>
        <w:pStyle w:val="Normal"/>
        <w:shd w:fill="FFFFFF" w:val="clear"/>
        <w:spacing w:before="120" w:after="120"/>
        <w:ind w:firstLine="283"/>
        <w:jc w:val="both"/>
        <w:rPr/>
      </w:pPr>
      <w:r>
        <w:rPr>
          <w:vertAlign w:val="superscript"/>
        </w:rPr>
        <w:t>1</w:t>
      </w:r>
      <w:r>
        <w:rPr/>
        <w:t xml:space="preserve"> Здесь и далее в гл. 7.5 помимо электропечей имеются в виду также и электронагревательные устройства.</w:t>
      </w:r>
    </w:p>
    <w:p>
      <w:pPr>
        <w:pStyle w:val="Normal"/>
        <w:shd w:fill="FFFFFF" w:val="clear"/>
        <w:ind w:firstLine="283"/>
        <w:jc w:val="both"/>
        <w:rPr/>
      </w:pPr>
      <w:r>
        <w:rP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pPr>
        <w:pStyle w:val="Normal"/>
        <w:shd w:fill="FFFFFF" w:val="clear"/>
        <w:ind w:firstLine="283"/>
        <w:jc w:val="both"/>
        <w:rPr/>
      </w:pPr>
      <w:r>
        <w:rPr/>
        <w:t>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w:t>
      </w:r>
    </w:p>
    <w:p>
      <w:pPr>
        <w:pStyle w:val="Normal"/>
        <w:shd w:fill="FFFFFF" w:val="clear"/>
        <w:ind w:firstLine="283"/>
        <w:jc w:val="both"/>
        <w:rPr/>
      </w:pPr>
      <w:r>
        <w:rPr>
          <w:b/>
          <w:bCs/>
        </w:rPr>
        <w:t xml:space="preserve">7.5.10. </w:t>
      </w:r>
      <w:r>
        <w:rPr/>
        <w:t>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pPr>
        <w:pStyle w:val="Normal"/>
        <w:shd w:fill="FFFFFF" w:val="clear"/>
        <w:ind w:firstLine="283"/>
        <w:jc w:val="both"/>
        <w:rPr/>
      </w:pPr>
      <w:r>
        <w:rP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pPr>
        <w:pStyle w:val="Normal"/>
        <w:shd w:fill="FFFFFF" w:val="clear"/>
        <w:ind w:firstLine="283"/>
        <w:jc w:val="both"/>
        <w:rPr/>
      </w:pPr>
      <w:r>
        <w:rPr/>
        <w:t>выше 1 кВ - разъединитель (отделитель или разъемное контактное соединение КРУ) на вводе и выключатель оперативно-защитного назначения или разъединитель (отделитель, разъемные контактные соединения КРУ) и два выключателя - оперативный и защитный.</w:t>
      </w:r>
    </w:p>
    <w:p>
      <w:pPr>
        <w:pStyle w:val="Normal"/>
        <w:shd w:fill="FFFFFF" w:val="clear"/>
        <w:ind w:firstLine="283"/>
        <w:jc w:val="both"/>
        <w:rPr/>
      </w:pPr>
      <w:r>
        <w:rPr/>
        <w:t>Для включения электронагревательного устройства мощностью менее 1 кВт в электрическую цепь напряжением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pPr>
        <w:pStyle w:val="Normal"/>
        <w:shd w:fill="FFFFFF" w:val="clear"/>
        <w:ind w:firstLine="283"/>
        <w:jc w:val="both"/>
        <w:rPr/>
      </w:pPr>
      <w:r>
        <w:rP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pPr>
        <w:pStyle w:val="Normal"/>
        <w:shd w:fill="FFFFFF" w:val="clear"/>
        <w:ind w:firstLine="283"/>
        <w:jc w:val="both"/>
        <w:rPr/>
      </w:pPr>
      <w:r>
        <w:rP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pPr>
        <w:pStyle w:val="Normal"/>
        <w:shd w:fill="FFFFFF" w:val="clear"/>
        <w:ind w:firstLine="283"/>
        <w:jc w:val="both"/>
        <w:rPr/>
      </w:pPr>
      <w:r>
        <w:rP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pPr>
        <w:pStyle w:val="Normal"/>
        <w:shd w:fill="FFFFFF" w:val="clear"/>
        <w:ind w:firstLine="283"/>
        <w:jc w:val="both"/>
        <w:rPr/>
      </w:pPr>
      <w:r>
        <w:rPr/>
        <w:t>Оперативно-защитные и оперативные выключатели напряжением выше 1 кВ допускается устанавливать как на печных подстанциях, так и в цеховых (заводских и т.п.) распределительных устройствах.</w:t>
      </w:r>
    </w:p>
    <w:p>
      <w:pPr>
        <w:pStyle w:val="Normal"/>
        <w:shd w:fill="FFFFFF" w:val="clear"/>
        <w:ind w:firstLine="283"/>
        <w:jc w:val="both"/>
        <w:rPr/>
      </w:pPr>
      <w:r>
        <w:rPr/>
        <w:t>Допускается устанавливать один защитный выключатель для защиты группы электротермических установок.</w:t>
      </w:r>
    </w:p>
    <w:p>
      <w:pPr>
        <w:pStyle w:val="Normal"/>
        <w:shd w:fill="FFFFFF" w:val="clear"/>
        <w:ind w:firstLine="283"/>
        <w:jc w:val="both"/>
        <w:rPr/>
      </w:pPr>
      <w:r>
        <w:rPr>
          <w:b/>
          <w:bCs/>
        </w:rPr>
        <w:t>7.5.11.</w:t>
      </w:r>
      <w:r>
        <w:rPr/>
        <w:t xml:space="preserve">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pPr>
        <w:pStyle w:val="Normal"/>
        <w:shd w:fill="FFFFFF" w:val="clear"/>
        <w:ind w:firstLine="283"/>
        <w:jc w:val="both"/>
        <w:rPr/>
      </w:pPr>
      <w:r>
        <w:rPr>
          <w:b/>
          <w:bCs/>
        </w:rPr>
        <w:t>7.5.12.</w:t>
      </w:r>
      <w:r>
        <w:rPr/>
        <w:t xml:space="preserve">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pPr>
        <w:pStyle w:val="Normal"/>
        <w:shd w:fill="FFFFFF" w:val="clear"/>
        <w:ind w:firstLine="283"/>
        <w:jc w:val="both"/>
        <w:rPr/>
      </w:pPr>
      <w:r>
        <w:rP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pPr>
        <w:pStyle w:val="Normal"/>
        <w:shd w:fill="FFFFFF" w:val="clear"/>
        <w:ind w:firstLine="283"/>
        <w:jc w:val="both"/>
        <w:rPr/>
      </w:pPr>
      <w:r>
        <w:rPr>
          <w:b/>
          <w:bCs/>
        </w:rPr>
        <w:t>7.5.13.</w:t>
      </w:r>
      <w:r>
        <w:rP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pPr>
        <w:pStyle w:val="Normal"/>
        <w:shd w:fill="FFFFFF" w:val="clear"/>
        <w:ind w:firstLine="283"/>
        <w:jc w:val="both"/>
        <w:rPr/>
      </w:pPr>
      <w:r>
        <w:rPr>
          <w:b/>
          <w:bCs/>
        </w:rPr>
        <w:t>7.5.14.</w:t>
      </w:r>
      <w:r>
        <w:rPr/>
        <w:t xml:space="preserve">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pPr>
        <w:pStyle w:val="Normal"/>
        <w:shd w:fill="FFFFFF" w:val="clear"/>
        <w:ind w:firstLine="283"/>
        <w:jc w:val="both"/>
        <w:rPr/>
      </w:pPr>
      <w:r>
        <w:rPr>
          <w:b/>
          <w:bCs/>
        </w:rPr>
        <w:t>7.5.15.</w:t>
      </w:r>
      <w:r>
        <w:rPr/>
        <w:t xml:space="preserve">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pPr>
        <w:pStyle w:val="Normal"/>
        <w:shd w:fill="FFFFFF" w:val="clear"/>
        <w:ind w:firstLine="283"/>
        <w:jc w:val="both"/>
        <w:rPr/>
      </w:pPr>
      <w:r>
        <w:rPr>
          <w:b/>
          <w:bCs/>
        </w:rPr>
        <w:t>7.5.16.</w:t>
      </w:r>
      <w:r>
        <w:rPr/>
        <w:t xml:space="preserve"> Напряжение печных (включая преобразовательные) подстанций, в том числе внутрицеховых,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w:t>
      </w:r>
      <w:r>
        <w:rPr>
          <w:b/>
          <w:bCs/>
        </w:rPr>
        <w:t>7.5.22</w:t>
      </w:r>
      <w:r>
        <w:rPr/>
        <w:t xml:space="preserve"> для несущих стен; расстояние до расположенных в одном ряду с ними аналогичных двух</w:t>
      </w:r>
      <w:r>
        <w:rPr>
          <w:vertAlign w:val="superscript"/>
        </w:rPr>
        <w:t>1</w:t>
      </w:r>
      <w:r>
        <w:rPr/>
        <w:t xml:space="preserve"> камер (помещений) при их суммарном числе до шести должно быть не менее 1,5 м, при большем числе после каждых шести камер (помещений) следует устраивать проезд шириной не менее 4 м.</w:t>
      </w:r>
    </w:p>
    <w:p>
      <w:pPr>
        <w:pStyle w:val="Normal"/>
        <w:shd w:fill="FFFFFF" w:val="clear"/>
        <w:spacing w:before="120" w:after="120"/>
        <w:ind w:firstLine="283"/>
        <w:jc w:val="both"/>
        <w:rPr/>
      </w:pPr>
      <w:r>
        <w:rPr>
          <w:vertAlign w:val="superscript"/>
        </w:rPr>
        <w:t>1</w:t>
      </w:r>
      <w:r>
        <w:rPr/>
        <w:t xml:space="preserve"> Или одной при их суммарном числе три или пять.</w:t>
      </w:r>
    </w:p>
    <w:p>
      <w:pPr>
        <w:pStyle w:val="Normal"/>
        <w:shd w:fill="FFFFFF" w:val="clear"/>
        <w:ind w:firstLine="283"/>
        <w:jc w:val="both"/>
        <w:rPr/>
      </w:pPr>
      <w:r>
        <w:rPr>
          <w:b/>
          <w:bCs/>
        </w:rPr>
        <w:t>7.5.17.</w:t>
      </w:r>
      <w:r>
        <w:rPr/>
        <w:t xml:space="preserve"> Под маслонаполненным оборудованием печных подстанций должны сооружаться:</w:t>
      </w:r>
    </w:p>
    <w:p>
      <w:pPr>
        <w:pStyle w:val="Normal"/>
        <w:shd w:fill="FFFFFF" w:val="clear"/>
        <w:ind w:firstLine="283"/>
        <w:jc w:val="both"/>
        <w:rPr/>
      </w:pPr>
      <w:r>
        <w:rPr/>
        <w:t>при массе масла в одном баке (полюсе) до 60 кг - порог или пандус для удержания полного объема масла;</w:t>
      </w:r>
    </w:p>
    <w:p>
      <w:pPr>
        <w:pStyle w:val="Normal"/>
        <w:shd w:fill="FFFFFF" w:val="clear"/>
        <w:ind w:firstLine="283"/>
        <w:jc w:val="both"/>
        <w:rPr/>
      </w:pPr>
      <w:r>
        <w:rPr/>
        <w:t>при массе масла в одном баке (полюсе) от 60 до 600 кг - приямок или маслоприемник для удержания полного объема масла;</w:t>
      </w:r>
    </w:p>
    <w:p>
      <w:pPr>
        <w:pStyle w:val="Normal"/>
        <w:shd w:fill="FFFFFF" w:val="clear"/>
        <w:ind w:firstLine="283"/>
        <w:jc w:val="both"/>
        <w:rPr/>
      </w:pPr>
      <w:r>
        <w:rPr/>
        <w:t>при массе масла более 600 кг - маслоприемник на 20 % объема масла с отводом в маслосборный бак.</w:t>
      </w:r>
    </w:p>
    <w:p>
      <w:pPr>
        <w:pStyle w:val="Normal"/>
        <w:shd w:fill="FFFFFF" w:val="clear"/>
        <w:ind w:firstLine="283"/>
        <w:jc w:val="both"/>
        <w:rPr/>
      </w:pPr>
      <w:r>
        <w:rPr/>
        <w:t>Маслосборный бак должен быть подземным и располагаться вне зданий на расстоянии не менее 9 м от стен I-II степеней огнестойкости и не менее 12 м от стен III-IV степеней огнестойкости по СНиП 21-01-97 «Пожарная безопасность зданий и сооружений». 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70 мм толщиной не менее 250 мм.</w:t>
      </w:r>
    </w:p>
    <w:p>
      <w:pPr>
        <w:pStyle w:val="Normal"/>
        <w:shd w:fill="FFFFFF" w:val="clear"/>
        <w:ind w:firstLine="283"/>
        <w:jc w:val="both"/>
        <w:rPr/>
      </w:pPr>
      <w:r>
        <w:rPr>
          <w:b/>
          <w:bCs/>
        </w:rPr>
        <w:t>7.5.18.</w:t>
      </w:r>
      <w:r>
        <w:rPr/>
        <w:t xml:space="preserve"> 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 не менее 0,75 ч.</w:t>
      </w:r>
    </w:p>
    <w:p>
      <w:pPr>
        <w:pStyle w:val="Normal"/>
        <w:shd w:fill="FFFFFF" w:val="clear"/>
        <w:ind w:firstLine="283"/>
        <w:jc w:val="both"/>
        <w:rPr/>
      </w:pPr>
      <w:r>
        <w:rPr>
          <w:b/>
          <w:bCs/>
        </w:rPr>
        <w:t>7.5.19.</w:t>
      </w:r>
      <w:r>
        <w:rPr/>
        <w:t xml:space="preserve">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pPr>
        <w:pStyle w:val="Normal"/>
        <w:shd w:fill="FFFFFF" w:val="clear"/>
        <w:ind w:firstLine="283"/>
        <w:jc w:val="both"/>
        <w:rPr/>
      </w:pPr>
      <w:r>
        <w:rPr>
          <w:b/>
          <w:bCs/>
        </w:rPr>
        <w:t>7.5.20.</w:t>
      </w:r>
      <w:r>
        <w:rPr/>
        <w:t xml:space="preserve"> Внутренний диаметр маслоотводных труб, соединяющих маслоприемники с подземным сборным баком, определяется по формуле</w:t>
      </w:r>
    </w:p>
    <w:p>
      <w:pPr>
        <w:pStyle w:val="Normal"/>
        <w:shd w:fill="FFFFFF" w:val="clear"/>
        <w:spacing w:before="120" w:after="120"/>
        <w:jc w:val="center"/>
        <w:rPr/>
      </w:pPr>
      <w:r>
        <w:rPr>
          <w:i/>
          <w:iCs/>
        </w:rPr>
        <w:t>D</w:t>
      </w:r>
      <w:r>
        <w:rPr/>
        <w:t xml:space="preserve"> </w:t>
      </w:r>
      <w:r>
        <w:rPr>
          <w:rFonts w:cs="Symbol" w:ascii="Symbol" w:hAnsi="Symbol"/>
        </w:rPr>
        <w:t></w:t>
      </w:r>
      <w:r>
        <w:rPr/>
        <w:t xml:space="preserve"> 40</w:t>
      </w:r>
      <w:r>
        <w:rPr>
          <w:i/>
          <w:iCs/>
          <w:vertAlign w:val="subscript"/>
        </w:rPr>
        <w:drawing>
          <wp:inline distT="0" distB="0" distL="0" distR="0">
            <wp:extent cx="476250" cy="228600"/>
            <wp:effectExtent l="0" t="0" r="0" b="0"/>
            <wp:docPr id="105" name="image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097" descr=""/>
                    <pic:cNvPicPr>
                      <a:picLocks noChangeAspect="1" noChangeArrowheads="1"/>
                    </pic:cNvPicPr>
                  </pic:nvPicPr>
                  <pic:blipFill>
                    <a:blip r:embed="rId117"/>
                    <a:srcRect l="-75" t="-157" r="-75" b="-157"/>
                    <a:stretch>
                      <a:fillRect/>
                    </a:stretch>
                  </pic:blipFill>
                  <pic:spPr bwMode="auto">
                    <a:xfrm>
                      <a:off x="0" y="0"/>
                      <a:ext cx="476250" cy="228600"/>
                    </a:xfrm>
                    <a:prstGeom prst="rect">
                      <a:avLst/>
                    </a:prstGeom>
                  </pic:spPr>
                </pic:pic>
              </a:graphicData>
            </a:graphic>
          </wp:inline>
        </w:drawing>
      </w:r>
      <w:r>
        <w:rPr/>
        <w:t>,</w:t>
      </w:r>
    </w:p>
    <w:p>
      <w:pPr>
        <w:pStyle w:val="Normal"/>
        <w:shd w:fill="FFFFFF" w:val="clear"/>
        <w:jc w:val="both"/>
        <w:rPr/>
      </w:pPr>
      <w:r>
        <w:rPr/>
        <w:t xml:space="preserve">где </w:t>
      </w:r>
      <w:r>
        <w:rPr>
          <w:i/>
          <w:iCs/>
        </w:rPr>
        <w:t xml:space="preserve">М </w:t>
      </w:r>
      <w:r>
        <w:rPr/>
        <w:t>-</w:t>
      </w:r>
      <w:r>
        <w:rPr>
          <w:i/>
          <w:iCs/>
        </w:rPr>
        <w:t xml:space="preserve"> </w:t>
      </w:r>
      <w:r>
        <w:rPr/>
        <w:t>масса масла в оборудовании, расположенном в камере (помещении) над данным маслоприемником, т;</w:t>
      </w:r>
    </w:p>
    <w:p>
      <w:pPr>
        <w:pStyle w:val="Normal"/>
        <w:shd w:fill="FFFFFF" w:val="clear"/>
        <w:ind w:firstLine="284"/>
        <w:jc w:val="both"/>
        <w:rPr/>
      </w:pPr>
      <w:r>
        <w:rPr>
          <w:i/>
          <w:iCs/>
        </w:rPr>
        <w:t xml:space="preserve">п </w:t>
      </w:r>
      <w:r>
        <w:rPr/>
        <w:t>-</w:t>
      </w:r>
      <w:r>
        <w:rPr>
          <w:i/>
          <w:iCs/>
        </w:rPr>
        <w:t xml:space="preserve"> </w:t>
      </w:r>
      <w:r>
        <w:rPr/>
        <w:t>число труб, прокладываемых от маслоприемника до подземного сборного бака. Этот диаметр должен быть не менее 100 мм.</w:t>
      </w:r>
    </w:p>
    <w:p>
      <w:pPr>
        <w:pStyle w:val="Normal"/>
        <w:shd w:fill="FFFFFF" w:val="clear"/>
        <w:ind w:firstLine="283"/>
        <w:jc w:val="both"/>
        <w:rPr/>
      </w:pPr>
      <w:r>
        <w:rPr/>
        <w:t>Маслоотводные трубы со стороны маслоприемников должны закрываться съемными сетками из латуни или нержавеющей стали с размерами ячеек 3</w:t>
      </w:r>
      <w:r>
        <w:rPr>
          <w:rFonts w:cs="Symbol" w:ascii="Symbol" w:hAnsi="Symbol"/>
        </w:rPr>
        <w:t></w:t>
      </w:r>
      <w:r>
        <w:rPr/>
        <w:t>3 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pPr>
        <w:pStyle w:val="Normal"/>
        <w:shd w:fill="FFFFFF" w:val="clear"/>
        <w:ind w:firstLine="283"/>
        <w:jc w:val="both"/>
        <w:rPr/>
      </w:pPr>
      <w:r>
        <w:rPr>
          <w:b/>
          <w:bCs/>
        </w:rPr>
        <w:t>7.5.21.</w:t>
      </w:r>
      <w:r>
        <w:rPr/>
        <w:t xml:space="preserve">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pPr>
        <w:pStyle w:val="Normal"/>
        <w:shd w:fill="FFFFFF" w:val="clear"/>
        <w:ind w:firstLine="283"/>
        <w:jc w:val="both"/>
        <w:rPr/>
      </w:pPr>
      <w:r>
        <w:rP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pPr>
        <w:pStyle w:val="Normal"/>
        <w:shd w:fill="FFFFFF" w:val="clear"/>
        <w:ind w:firstLine="283"/>
        <w:jc w:val="both"/>
        <w:rPr/>
      </w:pPr>
      <w:r>
        <w:rPr/>
        <w:t>При суммарном количестве масла в указанных камерах (помещениях) менее 10 и 0,6 т соответственно они должны оборудоваться пожарной сигнализацией.</w:t>
      </w:r>
    </w:p>
    <w:p>
      <w:pPr>
        <w:pStyle w:val="Normal"/>
        <w:shd w:fill="FFFFFF" w:val="clear"/>
        <w:ind w:firstLine="283"/>
        <w:jc w:val="both"/>
        <w:rPr/>
      </w:pPr>
      <w:r>
        <w:rPr>
          <w:b/>
          <w:bCs/>
        </w:rPr>
        <w:t>7.5.22.</w:t>
      </w:r>
      <w:r>
        <w:rPr/>
        <w:t xml:space="preserve">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60 кг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I степени по СНиП 21-01-97.</w:t>
      </w:r>
    </w:p>
    <w:p>
      <w:pPr>
        <w:pStyle w:val="Normal"/>
        <w:shd w:fill="FFFFFF" w:val="clear"/>
        <w:ind w:firstLine="283"/>
        <w:jc w:val="both"/>
        <w:rPr/>
      </w:pPr>
      <w:r>
        <w:rPr>
          <w:b/>
          <w:bCs/>
        </w:rPr>
        <w:t>7.5.23.</w:t>
      </w:r>
      <w:r>
        <w:rPr/>
        <w:t xml:space="preserve">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pPr>
        <w:pStyle w:val="Normal"/>
        <w:shd w:fill="FFFFFF" w:val="clear"/>
        <w:ind w:firstLine="283"/>
        <w:jc w:val="both"/>
        <w:rPr/>
      </w:pPr>
      <w:r>
        <w:rP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pPr>
        <w:pStyle w:val="Normal"/>
        <w:shd w:fill="FFFFFF" w:val="clear"/>
        <w:ind w:firstLine="283"/>
        <w:jc w:val="both"/>
        <w:rPr/>
      </w:pPr>
      <w:r>
        <w:rP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pPr>
        <w:pStyle w:val="Normal"/>
        <w:shd w:fill="FFFFFF" w:val="clear"/>
        <w:ind w:firstLine="283"/>
        <w:jc w:val="both"/>
        <w:rPr/>
      </w:pPr>
      <w:r>
        <w:rP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2 м с блокированием, исключающим возможность открывания дверей до отключения установки.</w:t>
      </w:r>
    </w:p>
    <w:p>
      <w:pPr>
        <w:pStyle w:val="Normal"/>
        <w:shd w:fill="FFFFFF" w:val="clear"/>
        <w:ind w:firstLine="283"/>
        <w:jc w:val="both"/>
        <w:rPr/>
      </w:pPr>
      <w:r>
        <w:rPr>
          <w:b/>
          <w:bCs/>
        </w:rPr>
        <w:t>7.5.24.</w:t>
      </w:r>
      <w:r>
        <w:rPr/>
        <w:t xml:space="preserve">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pPr>
        <w:pStyle w:val="Normal"/>
        <w:shd w:fill="FFFFFF" w:val="clear"/>
        <w:ind w:firstLine="283"/>
        <w:jc w:val="both"/>
        <w:rPr/>
      </w:pPr>
      <w:r>
        <w:rPr>
          <w:b/>
          <w:bCs/>
        </w:rPr>
        <w:t>7.5.25.</w:t>
      </w:r>
      <w:r>
        <w:rPr/>
        <w:t xml:space="preserve">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рекомендуется принимать:</w:t>
      </w:r>
    </w:p>
    <w:p>
      <w:pPr>
        <w:pStyle w:val="Normal"/>
        <w:shd w:fill="FFFFFF" w:val="clear"/>
        <w:ind w:firstLine="283"/>
        <w:jc w:val="both"/>
        <w:rPr/>
      </w:pPr>
      <w:r>
        <w:rPr/>
        <w:t>до передней стенки камеры (со стороны печи или электронагревательного устройства) - 0,4 м для трансформаторов мощностью менее 0,4 МВ</w:t>
      </w:r>
      <w:r>
        <w:rPr>
          <w:rFonts w:cs="Symbol" w:ascii="Symbol" w:hAnsi="Symbol"/>
        </w:rPr>
        <w:t></w:t>
      </w:r>
      <w:r>
        <w:rPr/>
        <w:t>А, 0,6 м - от 0,4 до 12,5 МВ</w:t>
      </w:r>
      <w:r>
        <w:rPr>
          <w:rFonts w:cs="Symbol" w:ascii="Symbol" w:hAnsi="Symbol"/>
        </w:rPr>
        <w:t></w:t>
      </w:r>
      <w:r>
        <w:rPr/>
        <w:t>А и 0,8 м - более 12,5 МВ</w:t>
      </w:r>
      <w:r>
        <w:rPr>
          <w:rFonts w:cs="Symbol" w:ascii="Symbol" w:hAnsi="Symbol"/>
        </w:rPr>
        <w:t></w:t>
      </w:r>
      <w:r>
        <w:rPr/>
        <w:t>А;</w:t>
      </w:r>
    </w:p>
    <w:p>
      <w:pPr>
        <w:pStyle w:val="Normal"/>
        <w:shd w:fill="FFFFFF" w:val="clear"/>
        <w:ind w:firstLine="283"/>
        <w:jc w:val="both"/>
        <w:rPr/>
      </w:pPr>
      <w:r>
        <w:rPr/>
        <w:t>до боковых и задней стенок камеры - 0,8 м при мощности трансформатора менее 0,4 МВ</w:t>
      </w:r>
      <w:r>
        <w:rPr>
          <w:rFonts w:cs="Symbol" w:ascii="Symbol" w:hAnsi="Symbol"/>
        </w:rPr>
        <w:t></w:t>
      </w:r>
      <w:r>
        <w:rPr/>
        <w:t>А, 1 м - от 0,4 до 12,5 МВ</w:t>
      </w:r>
      <w:r>
        <w:rPr>
          <w:rFonts w:cs="Symbol" w:ascii="Symbol" w:hAnsi="Symbol"/>
        </w:rPr>
        <w:t></w:t>
      </w:r>
      <w:r>
        <w:rPr/>
        <w:t>А и 1,2 м - более 12,5 МВ</w:t>
      </w:r>
      <w:r>
        <w:rPr>
          <w:rFonts w:cs="Symbol" w:ascii="Symbol" w:hAnsi="Symbol"/>
        </w:rPr>
        <w:t></w:t>
      </w:r>
      <w:r>
        <w:rPr/>
        <w:t>А;</w:t>
      </w:r>
    </w:p>
    <w:p>
      <w:pPr>
        <w:pStyle w:val="Normal"/>
        <w:shd w:fill="FFFFFF" w:val="clear"/>
        <w:ind w:firstLine="283"/>
        <w:jc w:val="both"/>
        <w:rPr/>
      </w:pPr>
      <w:r>
        <w:rPr/>
        <w:t>до соседнего печного трансформатора (автотрансформатора) - 1 м при мощности до 12,5 МВ</w:t>
      </w:r>
      <w:r>
        <w:rPr>
          <w:rFonts w:cs="Symbol" w:ascii="Symbol" w:hAnsi="Symbol"/>
        </w:rPr>
        <w:t></w:t>
      </w:r>
      <w:r>
        <w:rPr/>
        <w:t>А и 1,2 м - более 12,5 МВ</w:t>
      </w:r>
      <w:r>
        <w:rPr>
          <w:rFonts w:cs="Symbol" w:ascii="Symbol" w:hAnsi="Symbol"/>
        </w:rPr>
        <w:t></w:t>
      </w:r>
      <w:r>
        <w:rPr/>
        <w:t>А для вновь проектируемых печных подстанций и соответственно 0,8 и 1 м - для реконструируемых;</w:t>
      </w:r>
    </w:p>
    <w:p>
      <w:pPr>
        <w:pStyle w:val="Normal"/>
        <w:shd w:fill="FFFFFF" w:val="clear"/>
        <w:ind w:firstLine="283"/>
        <w:jc w:val="both"/>
        <w:rPr/>
      </w:pPr>
      <w:r>
        <w:rPr/>
        <w:t>допускается уменьшение указанных расстояний на 0,2 м на длине не более 1 м.</w:t>
      </w:r>
    </w:p>
    <w:p>
      <w:pPr>
        <w:pStyle w:val="Normal"/>
        <w:shd w:fill="FFFFFF" w:val="clear"/>
        <w:ind w:firstLine="283"/>
        <w:jc w:val="both"/>
        <w:rPr/>
      </w:pPr>
      <w:r>
        <w:rPr/>
        <w:t xml:space="preserve">При совместной установке в общей камере печных трансформаторов и другого оборудования (согласно </w:t>
      </w:r>
      <w:r>
        <w:rPr>
          <w:b/>
          <w:bCs/>
        </w:rPr>
        <w:t>7.5.24</w:t>
      </w:r>
      <w:r>
        <w:rPr/>
        <w:t>) ширину проходов и расстояние между оборудованием, а также между оборудованием и стенками камеры рекомендуется принимать на 10-20 % больше указанных значений.</w:t>
      </w:r>
    </w:p>
    <w:p>
      <w:pPr>
        <w:pStyle w:val="Normal"/>
        <w:shd w:fill="FFFFFF" w:val="clear"/>
        <w:ind w:firstLine="283"/>
        <w:jc w:val="both"/>
        <w:rPr/>
      </w:pPr>
      <w:r>
        <w:rPr>
          <w:b/>
          <w:bCs/>
        </w:rPr>
        <w:t>7.5.26.</w:t>
      </w:r>
      <w:r>
        <w:rPr/>
        <w:t xml:space="preserve">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шкафов, расположенных вне электропомещений, а также дверей камер (помещений) распределительных устройств,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pPr>
        <w:pStyle w:val="Normal"/>
        <w:shd w:fill="FFFFFF" w:val="clear"/>
        <w:ind w:firstLine="283"/>
        <w:jc w:val="both"/>
        <w:rPr/>
      </w:pPr>
      <w:r>
        <w:rPr>
          <w:b/>
          <w:bCs/>
        </w:rPr>
        <w:t>7.5.27.</w:t>
      </w:r>
      <w:r>
        <w:rPr/>
        <w:t xml:space="preserve"> ЭТУ должны быть оборудованы устройствами защиты в соответствии с требованиями гл. 3.1 и 3.2. Защита дуговых печей и дуговых печей сопротивления должна выполняться в соответствии с требованиями, изложенными в </w:t>
      </w:r>
      <w:r>
        <w:rPr>
          <w:b/>
          <w:bCs/>
        </w:rPr>
        <w:t>7.5.46</w:t>
      </w:r>
      <w:r>
        <w:rPr/>
        <w:t xml:space="preserve">, индукционных - в </w:t>
      </w:r>
      <w:r>
        <w:rPr>
          <w:b/>
          <w:bCs/>
        </w:rPr>
        <w:t>7.5.54</w:t>
      </w:r>
      <w:r>
        <w:rPr/>
        <w:t xml:space="preserve"> (см. также </w:t>
      </w:r>
      <w:r>
        <w:rPr>
          <w:b/>
          <w:bCs/>
        </w:rPr>
        <w:t>7.5.38</w:t>
      </w:r>
      <w:r>
        <w:rPr/>
        <w:t>).</w:t>
      </w:r>
    </w:p>
    <w:p>
      <w:pPr>
        <w:pStyle w:val="Normal"/>
        <w:shd w:fill="FFFFFF" w:val="clear"/>
        <w:ind w:firstLine="283"/>
        <w:jc w:val="both"/>
        <w:rPr/>
      </w:pPr>
      <w:r>
        <w:rPr>
          <w:b/>
          <w:bCs/>
        </w:rPr>
        <w:t>7.5.28</w:t>
      </w:r>
      <w:r>
        <w:rPr/>
        <w:t>.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pPr>
        <w:pStyle w:val="Normal"/>
        <w:shd w:fill="FFFFFF" w:val="clear"/>
        <w:ind w:firstLine="283"/>
        <w:jc w:val="both"/>
        <w:rPr/>
      </w:pPr>
      <w:r>
        <w:rP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pPr>
        <w:pStyle w:val="Normal"/>
        <w:shd w:fill="FFFFFF" w:val="clear"/>
        <w:ind w:firstLine="283"/>
        <w:jc w:val="both"/>
        <w:rPr/>
      </w:pPr>
      <w:r>
        <w:rPr>
          <w:b/>
          <w:bCs/>
        </w:rPr>
        <w:t>7.5.29.</w:t>
      </w:r>
      <w:r>
        <w:rPr/>
        <w:t xml:space="preserve">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pPr>
        <w:pStyle w:val="Normal"/>
        <w:shd w:fill="FFFFFF" w:val="clear"/>
        <w:ind w:firstLine="283"/>
        <w:jc w:val="both"/>
        <w:rPr/>
      </w:pPr>
      <w:r>
        <w:rP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pPr>
        <w:pStyle w:val="Normal"/>
        <w:shd w:fill="FFFFFF" w:val="clear"/>
        <w:ind w:firstLine="283"/>
        <w:jc w:val="both"/>
        <w:rPr/>
      </w:pPr>
      <w:r>
        <w:rPr/>
        <w:t>Направление движения рукоятки аппарата управления приводом наклона печей должно соответствовать направлению наклона.</w:t>
      </w:r>
    </w:p>
    <w:p>
      <w:pPr>
        <w:pStyle w:val="Normal"/>
        <w:shd w:fill="FFFFFF" w:val="clear"/>
        <w:ind w:firstLine="283"/>
        <w:jc w:val="both"/>
        <w:rPr/>
      </w:pPr>
      <w:r>
        <w:rP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pPr>
        <w:pStyle w:val="Normal"/>
        <w:shd w:fill="FFFFFF" w:val="clear"/>
        <w:ind w:firstLine="283"/>
        <w:jc w:val="both"/>
        <w:rPr/>
      </w:pPr>
      <w:r>
        <w:rPr/>
        <w:t>При необходимости должны устанавливаться аварийные кнопки для дистанционного отключения всей установки или отдельных ее частей.</w:t>
      </w:r>
    </w:p>
    <w:p>
      <w:pPr>
        <w:pStyle w:val="Normal"/>
        <w:shd w:fill="FFFFFF" w:val="clear"/>
        <w:ind w:firstLine="283"/>
        <w:jc w:val="both"/>
        <w:rPr/>
      </w:pPr>
      <w:r>
        <w:rPr>
          <w:b/>
          <w:bCs/>
        </w:rPr>
        <w:t>7.5.30.</w:t>
      </w:r>
      <w:r>
        <w:rPr/>
        <w:t xml:space="preserve"> На щитах управления ЭТУ должна предусматриваться сигнализация включенного и отключенного положений оперативных коммутационных аппаратов (см. </w:t>
      </w:r>
      <w:r>
        <w:rPr>
          <w:b/>
          <w:bCs/>
        </w:rPr>
        <w:t>7.5.10</w:t>
      </w:r>
      <w:r>
        <w:rPr/>
        <w:t>),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pPr>
        <w:pStyle w:val="Normal"/>
        <w:shd w:fill="FFFFFF" w:val="clear"/>
        <w:ind w:firstLine="283"/>
        <w:jc w:val="both"/>
        <w:rPr/>
      </w:pPr>
      <w:r>
        <w:rPr>
          <w:b/>
          <w:bCs/>
        </w:rPr>
        <w:t>7.5.31.</w:t>
      </w:r>
      <w:r>
        <w:rPr/>
        <w:t xml:space="preserve">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pPr>
        <w:pStyle w:val="Normal"/>
        <w:shd w:fill="FFFFFF" w:val="clear"/>
        <w:ind w:firstLine="283"/>
        <w:jc w:val="both"/>
        <w:rPr/>
      </w:pPr>
      <w:r>
        <w:rPr/>
        <w:t>Конструкция токопроводов ЭТУ (в частности, вторичных токоподводов - «коротких сетей» электропечей) должна обеспечивать:</w:t>
      </w:r>
    </w:p>
    <w:p>
      <w:pPr>
        <w:pStyle w:val="Normal"/>
        <w:shd w:fill="FFFFFF" w:val="clear"/>
        <w:ind w:firstLine="283"/>
        <w:jc w:val="both"/>
        <w:rPr/>
      </w:pPr>
      <w:r>
        <w:rPr/>
        <w:t>оптимальные реактивное и активное сопротивления;</w:t>
      </w:r>
    </w:p>
    <w:p>
      <w:pPr>
        <w:pStyle w:val="Normal"/>
        <w:shd w:fill="FFFFFF" w:val="clear"/>
        <w:ind w:firstLine="283"/>
        <w:jc w:val="both"/>
        <w:rPr/>
      </w:pPr>
      <w:r>
        <w:rPr/>
        <w:t>рациональное распределение тока в проводниках;</w:t>
      </w:r>
    </w:p>
    <w:p>
      <w:pPr>
        <w:pStyle w:val="Normal"/>
        <w:shd w:fill="FFFFFF" w:val="clear"/>
        <w:ind w:firstLine="283"/>
        <w:jc w:val="both"/>
        <w:rPr/>
      </w:pPr>
      <w:r>
        <w:rP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электронагревательных устройств;</w:t>
      </w:r>
    </w:p>
    <w:p>
      <w:pPr>
        <w:pStyle w:val="Normal"/>
        <w:shd w:fill="FFFFFF" w:val="clear"/>
        <w:ind w:firstLine="283"/>
        <w:jc w:val="both"/>
        <w:rPr/>
      </w:pPr>
      <w:r>
        <w:rPr/>
        <w:t>ограничение потерь электроэнергии в металлических креплениях шин, конструкциях установок и строительных элементах зданий и сооружений.</w:t>
      </w:r>
    </w:p>
    <w:p>
      <w:pPr>
        <w:pStyle w:val="Normal"/>
        <w:shd w:fill="FFFFFF" w:val="clear"/>
        <w:ind w:firstLine="283"/>
        <w:jc w:val="both"/>
        <w:rPr/>
      </w:pPr>
      <w:r>
        <w:rPr/>
        <w:t>Вокруг одиночных шин и линий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pPr>
        <w:pStyle w:val="Normal"/>
        <w:shd w:fill="FFFFFF" w:val="clear"/>
        <w:ind w:firstLine="283"/>
        <w:jc w:val="both"/>
        <w:rPr/>
      </w:pPr>
      <w:r>
        <w:rP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коаксиальных токопроводов) должны изготавливаться из немагнитных или маломагнитных материалов.</w:t>
      </w:r>
    </w:p>
    <w:p>
      <w:pPr>
        <w:pStyle w:val="Normal"/>
        <w:shd w:fill="FFFFFF" w:val="clear"/>
        <w:ind w:firstLine="283"/>
        <w:jc w:val="both"/>
        <w:rPr/>
      </w:pPr>
      <w:r>
        <w:rPr/>
        <w:t>Температура шин и контактных соединений с учетом нагрева электрическим током и внешними тепловыми излучениями, как правило, должна быть не выше 90 °С. В реконструируемых установках для вторичных токоподводов допускается в обоснованных случаях для медных шин температура 140 °С, для алюминиевых - 120 °С,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pPr>
        <w:pStyle w:val="Normal"/>
        <w:shd w:fill="FFFFFF" w:val="clear"/>
        <w:ind w:firstLine="283"/>
        <w:jc w:val="both"/>
        <w:rPr/>
      </w:pPr>
      <w:r>
        <w:rPr>
          <w:b/>
          <w:bCs/>
        </w:rPr>
        <w:t>7.5.32.</w:t>
      </w:r>
      <w:r>
        <w:rPr/>
        <w:t xml:space="preserve">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w:t>
      </w:r>
      <w:r>
        <w:rPr>
          <w:b/>
          <w:bCs/>
        </w:rPr>
        <w:t>7.5.1</w:t>
      </w:r>
      <w:r>
        <w:rPr/>
        <w:t>),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pPr>
        <w:pStyle w:val="Normal"/>
        <w:shd w:fill="FFFFFF" w:val="clear"/>
        <w:ind w:firstLine="283"/>
        <w:jc w:val="both"/>
        <w:rPr/>
      </w:pPr>
      <w:r>
        <w:rP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многополосных пакетов шин рекомендуется выполнять шихтованным с параллельными чередующимися цепями разных фаз или прямого и обратного направлений тока.</w:t>
      </w:r>
    </w:p>
    <w:p>
      <w:pPr>
        <w:pStyle w:val="Normal"/>
        <w:shd w:fill="FFFFFF" w:val="clear"/>
        <w:ind w:firstLine="283"/>
        <w:jc w:val="both"/>
        <w:rPr/>
      </w:pPr>
      <w:r>
        <w:rPr/>
        <w:t>Жесткие однофазные токопроводы повышенно-средней частоты рекомендуется выполнять шихтованными и коаксиальными.</w:t>
      </w:r>
    </w:p>
    <w:p>
      <w:pPr>
        <w:pStyle w:val="Normal"/>
        <w:shd w:fill="FFFFFF" w:val="clear"/>
        <w:ind w:firstLine="283"/>
        <w:jc w:val="both"/>
        <w:rPr/>
      </w:pPr>
      <w:r>
        <w:rPr/>
        <w:t>В обоснованных случаях допускается изготовление жестких токопроводов вторичных токоподводов из меди.</w:t>
      </w:r>
    </w:p>
    <w:p>
      <w:pPr>
        <w:pStyle w:val="Normal"/>
        <w:shd w:fill="FFFFFF" w:val="clear"/>
        <w:ind w:firstLine="283"/>
        <w:jc w:val="both"/>
        <w:rPr/>
      </w:pPr>
      <w:r>
        <w:rP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медные кабели.</w:t>
      </w:r>
    </w:p>
    <w:p>
      <w:pPr>
        <w:pStyle w:val="Normal"/>
        <w:shd w:fill="FFFFFF" w:val="clear"/>
        <w:ind w:firstLine="283"/>
        <w:jc w:val="both"/>
        <w:rPr/>
      </w:pPr>
      <w:r>
        <w:rPr>
          <w:b/>
          <w:bCs/>
        </w:rPr>
        <w:t>7.5.33</w:t>
      </w:r>
      <w:r>
        <w:rPr/>
        <w:t>.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7.5.1-7.5.4, током повышенно-средней частоты токопроводов из двух прямоугольных шин - в табл. 7.5.5-7.5.6 и коаксиальных токопроводов из двух концентрических труб - в табл. 7.5.7-7.5.8, кабелей марки АСГ - в табл. 7.5.9 и марки СГ - в табл. 7.5.10.</w:t>
      </w:r>
    </w:p>
    <w:p>
      <w:pPr>
        <w:pStyle w:val="Normal"/>
        <w:shd w:fill="FFFFFF" w:val="clear"/>
        <w:ind w:firstLine="283"/>
        <w:jc w:val="both"/>
        <w:rPr/>
      </w:pPr>
      <w:r>
        <w:rPr/>
        <w:t>Токи в таблицах приняты с учетом температуры окружающего воздуха 25 °С, прямоугольных шин - 70 °С, внутренней трубы - 75 °С, жил кабеля - 80 °С (поправочные коэффициенты при другой температуре окружающего воздуха приведены в гл. 1.3 ПУЭ).</w:t>
      </w:r>
    </w:p>
    <w:p>
      <w:pPr>
        <w:pStyle w:val="Normal"/>
        <w:shd w:fill="FFFFFF" w:val="clear"/>
        <w:ind w:firstLine="283"/>
        <w:jc w:val="both"/>
        <w:rPr/>
      </w:pPr>
      <w:r>
        <w:rP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Pr>
          <w:vertAlign w:val="superscript"/>
        </w:rPr>
        <w:t>2</w:t>
      </w:r>
      <w:r>
        <w:rPr/>
        <w:t>, медных - до 8 А/мм</w:t>
      </w:r>
      <w:r>
        <w:rPr>
          <w:vertAlign w:val="superscript"/>
        </w:rPr>
        <w:t>2</w:t>
      </w:r>
      <w:r>
        <w:rP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pPr>
        <w:pStyle w:val="Normal"/>
        <w:shd w:fill="FFFFFF" w:val="clear"/>
        <w:ind w:firstLine="283"/>
        <w:jc w:val="both"/>
        <w:rPr/>
      </w:pPr>
      <w:r>
        <w:rPr/>
        <w:t xml:space="preserve">Для линий повышенно-средней частоты кроме токопроводов рекомендуется применять специальные коаксиальные кабели (см. также </w:t>
      </w:r>
      <w:r>
        <w:rPr>
          <w:bCs/>
        </w:rPr>
        <w:t>7.5.53</w:t>
      </w:r>
      <w:r>
        <w:rPr/>
        <w:t>).</w:t>
      </w:r>
    </w:p>
    <w:p>
      <w:pPr>
        <w:pStyle w:val="Normal"/>
        <w:shd w:fill="FFFFFF" w:val="clear"/>
        <w:ind w:firstLine="283"/>
        <w:jc w:val="both"/>
        <w:rPr/>
      </w:pPr>
      <w:r>
        <w:rPr/>
        <w:t>Коаксиальный кабель КВСП-М (номинальное напряжение 2 кВ) рассчитан на следующие допустимые токи:</w:t>
      </w:r>
    </w:p>
    <w:p>
      <w:pPr>
        <w:pStyle w:val="Normal"/>
        <w:shd w:fill="FFFFFF" w:val="clear"/>
        <w:ind w:firstLine="283"/>
        <w:jc w:val="both"/>
        <w:rPr/>
      </w:pPr>
      <w:r>
        <w:rPr>
          <w:i/>
          <w:iCs/>
        </w:rPr>
        <w:t>f</w:t>
      </w:r>
      <w:r>
        <w:rPr/>
        <w:t>, кГц                   0,5            2,4          4,0       8,0        10,0</w:t>
      </w:r>
    </w:p>
    <w:p>
      <w:pPr>
        <w:pStyle w:val="Normal"/>
        <w:shd w:fill="FFFFFF" w:val="clear"/>
        <w:ind w:firstLine="283"/>
        <w:jc w:val="both"/>
        <w:rPr/>
      </w:pPr>
      <w:r>
        <w:rPr>
          <w:i/>
          <w:iCs/>
        </w:rPr>
        <w:t>I</w:t>
      </w:r>
      <w:r>
        <w:rPr/>
        <w:t>, А                       400           360         340      300       290</w:t>
      </w:r>
    </w:p>
    <w:p>
      <w:pPr>
        <w:pStyle w:val="Normal"/>
        <w:shd w:fill="FFFFFF" w:val="clear"/>
        <w:ind w:firstLine="283"/>
        <w:jc w:val="both"/>
        <w:rPr/>
      </w:pPr>
      <w:r>
        <w:rPr/>
        <w:t xml:space="preserve">В зависимости от температуры окружающей среды для кабеля КВСП-М установлены следующие коэффициенты нагрузки </w:t>
      </w:r>
      <w:r>
        <w:rPr>
          <w:i/>
          <w:iCs/>
        </w:rPr>
        <w:t>k</w:t>
      </w:r>
      <w:r>
        <w:rPr>
          <w:i/>
          <w:iCs/>
          <w:vertAlign w:val="subscript"/>
        </w:rPr>
        <w:t>н</w:t>
      </w:r>
      <w:r>
        <w:rPr/>
        <w:t>:</w:t>
      </w:r>
    </w:p>
    <w:p>
      <w:pPr>
        <w:pStyle w:val="Normal"/>
        <w:shd w:fill="FFFFFF" w:val="clear"/>
        <w:ind w:firstLine="283"/>
        <w:jc w:val="both"/>
        <w:rPr/>
      </w:pPr>
      <w:r>
        <w:rPr>
          <w:i/>
          <w:iCs/>
        </w:rPr>
        <w:t>t, °C</w:t>
      </w:r>
      <w:r>
        <w:rPr/>
        <w:t>                     25             30           35        40         45</w:t>
      </w:r>
    </w:p>
    <w:p>
      <w:pPr>
        <w:pStyle w:val="Normal"/>
        <w:shd w:fill="FFFFFF" w:val="clear"/>
        <w:ind w:firstLine="283"/>
        <w:jc w:val="both"/>
        <w:rPr/>
      </w:pPr>
      <w:r>
        <w:rPr>
          <w:i/>
          <w:iCs/>
        </w:rPr>
        <w:t>k</w:t>
      </w:r>
      <w:r>
        <w:rPr>
          <w:i/>
          <w:iCs/>
          <w:vertAlign w:val="subscript"/>
        </w:rPr>
        <w:t>н</w:t>
      </w:r>
      <w:r>
        <w:rPr/>
        <w:t>                         1,0            0,93        0,87     0,80      0,73</w:t>
      </w:r>
    </w:p>
    <w:p>
      <w:pPr>
        <w:pStyle w:val="Normal"/>
        <w:shd w:fill="FFFFFF" w:val="clear"/>
        <w:spacing w:before="120" w:after="120"/>
        <w:jc w:val="right"/>
        <w:rPr>
          <w:i/>
          <w:i/>
          <w:iCs/>
        </w:rPr>
      </w:pPr>
      <w:r>
        <w:rPr>
          <w:i/>
          <w:iCs/>
        </w:rPr>
        <w:t>Таблица 7.5.1</w:t>
      </w:r>
    </w:p>
    <w:p>
      <w:pPr>
        <w:pStyle w:val="Normal"/>
        <w:shd w:fill="FFFFFF" w:val="clear"/>
        <w:spacing w:before="0" w:after="120"/>
        <w:jc w:val="center"/>
        <w:rPr>
          <w:b/>
          <w:b/>
          <w:bCs/>
        </w:rPr>
      </w:pPr>
      <w:r>
        <w:rPr>
          <w:b/>
          <w:bCs/>
        </w:rPr>
        <w:t>Допустимый длительный ток промышленной частоты однофазных токопроводов из шихтованного пакета алюминиевых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167"/>
        <w:gridCol w:w="1041"/>
        <w:gridCol w:w="900"/>
        <w:gridCol w:w="1040"/>
        <w:gridCol w:w="1026"/>
        <w:gridCol w:w="1027"/>
        <w:gridCol w:w="1040"/>
        <w:gridCol w:w="1039"/>
        <w:gridCol w:w="1075"/>
      </w:tblGrid>
      <w:tr>
        <w:trPr/>
        <w:tc>
          <w:tcPr>
            <w:tcW w:w="1167" w:type="dxa"/>
            <w:vMerge w:val="restart"/>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Размер полосы, мм</w:t>
            </w:r>
          </w:p>
        </w:tc>
        <w:tc>
          <w:tcPr>
            <w:tcW w:w="8188"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Токовая нагрузка, А, при количестве полос в пакете</w:t>
            </w:r>
          </w:p>
        </w:tc>
      </w:tr>
      <w:tr>
        <w:trPr/>
        <w:tc>
          <w:tcPr>
            <w:tcW w:w="1167" w:type="dxa"/>
            <w:vMerge w:val="continue"/>
            <w:tcBorders>
              <w:top w:val="single" w:sz="8" w:space="0" w:color="000000"/>
              <w:left w:val="single" w:sz="8" w:space="0" w:color="000000"/>
              <w:bottom w:val="single" w:sz="8" w:space="0" w:color="000000"/>
              <w:insideH w:val="single" w:sz="8" w:space="0" w:color="000000"/>
            </w:tcBorders>
            <w:shd w:fill="FFFFFF" w:val="clear"/>
          </w:tcPr>
          <w:p>
            <w:pPr>
              <w:pStyle w:val="Normal"/>
              <w:snapToGrid w:val="false"/>
              <w:rPr/>
            </w:pPr>
            <w:r>
              <w:rPr/>
            </w:r>
          </w:p>
        </w:tc>
        <w:tc>
          <w:tcPr>
            <w:tcW w:w="104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w:t>
            </w:r>
          </w:p>
        </w:tc>
        <w:tc>
          <w:tcPr>
            <w:tcW w:w="9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w:t>
            </w:r>
          </w:p>
        </w:tc>
        <w:tc>
          <w:tcPr>
            <w:tcW w:w="104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w:t>
            </w:r>
          </w:p>
        </w:tc>
        <w:tc>
          <w:tcPr>
            <w:tcW w:w="10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w:t>
            </w:r>
          </w:p>
        </w:tc>
        <w:tc>
          <w:tcPr>
            <w:tcW w:w="102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w:t>
            </w:r>
          </w:p>
        </w:tc>
        <w:tc>
          <w:tcPr>
            <w:tcW w:w="104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w:t>
            </w:r>
          </w:p>
        </w:tc>
        <w:tc>
          <w:tcPr>
            <w:tcW w:w="10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w:t>
            </w:r>
          </w:p>
        </w:tc>
        <w:tc>
          <w:tcPr>
            <w:tcW w:w="107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24</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100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1250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2480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3705</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4935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7380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9850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12315</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14750</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120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1455</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2885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4325</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5735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8600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11470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14315</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17155</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140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1685</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3330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4980</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6625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9910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13205</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16490</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19785</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160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1870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3705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5545</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7380</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11045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14710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18375</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22090</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180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2090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4135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6185</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8225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12315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16410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20490</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24610</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200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2310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4560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6825</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9090</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13585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18105</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22605</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27120</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2865</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5595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8390</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11185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16640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22185</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27730</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33275</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20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3910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7755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11560</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15415</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23075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30740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38350</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46060</w:t>
            </w:r>
          </w:p>
        </w:tc>
      </w:tr>
      <w:tr>
        <w:trPr/>
        <w:tc>
          <w:tcPr>
            <w:tcW w:w="1167" w:type="dxa"/>
            <w:tcBorders>
              <w:left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10</w:t>
            </w:r>
          </w:p>
        </w:tc>
        <w:tc>
          <w:tcPr>
            <w:tcW w:w="10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3330</w:t>
            </w:r>
          </w:p>
        </w:tc>
        <w:tc>
          <w:tcPr>
            <w:tcW w:w="90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6600</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9900</w:t>
            </w:r>
          </w:p>
        </w:tc>
        <w:tc>
          <w:tcPr>
            <w:tcW w:w="10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13200</w:t>
            </w:r>
          </w:p>
        </w:tc>
        <w:tc>
          <w:tcPr>
            <w:tcW w:w="102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19625</w:t>
            </w:r>
          </w:p>
        </w:tc>
        <w:tc>
          <w:tcPr>
            <w:tcW w:w="104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26170</w:t>
            </w:r>
          </w:p>
        </w:tc>
        <w:tc>
          <w:tcPr>
            <w:tcW w:w="103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32710</w:t>
            </w:r>
          </w:p>
        </w:tc>
        <w:tc>
          <w:tcPr>
            <w:tcW w:w="1075"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39200</w:t>
            </w:r>
          </w:p>
        </w:tc>
      </w:tr>
      <w:tr>
        <w:trPr/>
        <w:tc>
          <w:tcPr>
            <w:tcW w:w="1167"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20</w:t>
            </w:r>
          </w:p>
        </w:tc>
        <w:tc>
          <w:tcPr>
            <w:tcW w:w="10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4560</w:t>
            </w:r>
          </w:p>
        </w:tc>
        <w:tc>
          <w:tcPr>
            <w:tcW w:w="90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8995</w:t>
            </w:r>
          </w:p>
        </w:tc>
        <w:tc>
          <w:tcPr>
            <w:tcW w:w="104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13440</w:t>
            </w:r>
          </w:p>
        </w:tc>
        <w:tc>
          <w:tcPr>
            <w:tcW w:w="10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17880</w:t>
            </w:r>
          </w:p>
        </w:tc>
        <w:tc>
          <w:tcPr>
            <w:tcW w:w="102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26790</w:t>
            </w:r>
          </w:p>
        </w:tc>
        <w:tc>
          <w:tcPr>
            <w:tcW w:w="104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35720</w:t>
            </w:r>
          </w:p>
        </w:tc>
        <w:tc>
          <w:tcPr>
            <w:tcW w:w="103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44605</w:t>
            </w:r>
          </w:p>
        </w:tc>
        <w:tc>
          <w:tcPr>
            <w:tcW w:w="1075"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53485</w:t>
            </w:r>
          </w:p>
        </w:tc>
      </w:tr>
    </w:tbl>
    <w:p>
      <w:pPr>
        <w:pStyle w:val="Normal"/>
        <w:shd w:fill="FFFFFF" w:val="clear"/>
        <w:spacing w:before="120" w:after="0"/>
        <w:ind w:firstLine="283"/>
        <w:jc w:val="both"/>
        <w:rPr>
          <w:sz w:val="20"/>
          <w:szCs w:val="20"/>
        </w:rPr>
      </w:pPr>
      <w:r>
        <w:rPr>
          <w:i/>
          <w:iCs/>
        </w:rPr>
        <w:t xml:space="preserve">Примечания: </w:t>
      </w:r>
      <w:r>
        <w:rPr/>
        <w:t>1. В табл. 7.5.1-7.5.4 токи приведены для неокрашенных шин, установленных на ребро, при зазоре между шинами 30 мм для шин высотой 300 мм и 20 мм для шин высотой 250 мм и менее.</w:t>
      </w:r>
    </w:p>
    <w:p>
      <w:pPr>
        <w:pStyle w:val="Normal"/>
        <w:shd w:fill="FFFFFF" w:val="clear"/>
        <w:ind w:firstLine="283"/>
        <w:jc w:val="both"/>
        <w:rPr/>
      </w:pPr>
      <w:r>
        <w:rPr/>
        <w:t>2. Коэффициенты (</w:t>
      </w:r>
      <w:r>
        <w:rPr>
          <w:i/>
          <w:iCs/>
        </w:rPr>
        <w:t>k</w:t>
      </w:r>
      <w:r>
        <w:rPr/>
        <w:t>) допустимой длительной токовой нагрузки (к табл. 7.5.1 и 7.5.3) алюминиевых шин, окрашенных масляной краской или эмалевым лаком:</w:t>
      </w:r>
    </w:p>
    <w:p>
      <w:pPr>
        <w:pStyle w:val="Normal"/>
        <w:shd w:fill="FFFFFF" w:val="clear"/>
        <w:ind w:firstLine="283"/>
        <w:jc w:val="both"/>
        <w:rPr/>
      </w:pPr>
      <w:r>
        <w:rPr/>
        <w:t>Количество полос в пакете                        2              3-4            6-9          12-16        20-24</w:t>
      </w:r>
    </w:p>
    <w:p>
      <w:pPr>
        <w:pStyle w:val="Normal"/>
        <w:shd w:fill="FFFFFF" w:val="clear"/>
        <w:ind w:firstLine="283"/>
        <w:jc w:val="both"/>
        <w:rPr/>
      </w:pPr>
      <w:r>
        <w:rPr>
          <w:i/>
          <w:iCs/>
        </w:rPr>
        <w:t xml:space="preserve">k </w:t>
      </w:r>
      <w:r>
        <w:rPr/>
        <w:t>при высоте полосы, мм:</w:t>
      </w:r>
    </w:p>
    <w:p>
      <w:pPr>
        <w:pStyle w:val="Normal"/>
        <w:shd w:fill="FFFFFF" w:val="clear"/>
        <w:ind w:firstLine="283"/>
        <w:jc w:val="both"/>
        <w:rPr/>
      </w:pPr>
      <w:r>
        <w:rPr/>
        <w:t>100-120                                                            1,25         1,18           1,15         1,14           1,13</w:t>
      </w:r>
    </w:p>
    <w:p>
      <w:pPr>
        <w:pStyle w:val="Normal"/>
        <w:shd w:fill="FFFFFF" w:val="clear"/>
        <w:ind w:firstLine="283"/>
        <w:jc w:val="both"/>
        <w:rPr/>
      </w:pPr>
      <w:r>
        <w:rPr/>
        <w:t>140-160                                                            1,24         1,16           1,14         1,10           1,09</w:t>
      </w:r>
    </w:p>
    <w:p>
      <w:pPr>
        <w:pStyle w:val="Normal"/>
        <w:shd w:fill="FFFFFF" w:val="clear"/>
        <w:ind w:firstLine="283"/>
        <w:jc w:val="both"/>
        <w:rPr/>
      </w:pPr>
      <w:r>
        <w:rPr/>
        <w:t>180-300                                                            1,23         1,15           1,12         1,09           1,07</w:t>
      </w:r>
    </w:p>
    <w:p>
      <w:pPr>
        <w:pStyle w:val="Normal"/>
        <w:shd w:fill="FFFFFF" w:val="clear"/>
        <w:ind w:firstLine="283"/>
        <w:jc w:val="both"/>
        <w:rPr/>
      </w:pPr>
      <w:r>
        <w:rPr/>
        <w:t>3. Коэффициент снижения допустимой длительной токовой нагрузки для шин из сплава АД 31Т - 0,94, из сплава АД 31Т1 - 0,91.</w:t>
      </w:r>
    </w:p>
    <w:p>
      <w:pPr>
        <w:pStyle w:val="Normal"/>
        <w:shd w:fill="FFFFFF" w:val="clear"/>
        <w:spacing w:before="120" w:after="120"/>
        <w:jc w:val="right"/>
        <w:rPr>
          <w:i/>
          <w:i/>
          <w:iCs/>
        </w:rPr>
      </w:pPr>
      <w:r>
        <w:rPr>
          <w:i/>
          <w:iCs/>
        </w:rPr>
        <w:t>Таблица 7.5.2</w:t>
      </w:r>
    </w:p>
    <w:p>
      <w:pPr>
        <w:pStyle w:val="Normal"/>
        <w:shd w:fill="FFFFFF" w:val="clear"/>
        <w:spacing w:before="0" w:after="120"/>
        <w:jc w:val="center"/>
        <w:rPr>
          <w:b/>
          <w:b/>
          <w:bCs/>
        </w:rPr>
      </w:pPr>
      <w:r>
        <w:rPr>
          <w:b/>
          <w:bCs/>
        </w:rPr>
        <w:t>Допустимый длительный ток промышленной частоты однофазных токопроводов из шихтованного пакета медных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173"/>
        <w:gridCol w:w="928"/>
        <w:gridCol w:w="915"/>
        <w:gridCol w:w="1056"/>
        <w:gridCol w:w="1044"/>
        <w:gridCol w:w="1043"/>
        <w:gridCol w:w="1057"/>
        <w:gridCol w:w="1056"/>
        <w:gridCol w:w="1083"/>
      </w:tblGrid>
      <w:tr>
        <w:trPr/>
        <w:tc>
          <w:tcPr>
            <w:tcW w:w="1173" w:type="dxa"/>
            <w:vMerge w:val="restart"/>
            <w:tcBorders>
              <w:top w:val="single" w:sz="8" w:space="0" w:color="000000"/>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Размер полосы, мм</w:t>
            </w:r>
          </w:p>
        </w:tc>
        <w:tc>
          <w:tcPr>
            <w:tcW w:w="8182" w:type="dxa"/>
            <w:gridSpan w:val="8"/>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Токовая нагрузка, А, при количестве полос в пакете</w:t>
            </w:r>
          </w:p>
        </w:tc>
      </w:tr>
      <w:tr>
        <w:trPr/>
        <w:tc>
          <w:tcPr>
            <w:tcW w:w="1173" w:type="dxa"/>
            <w:vMerge w:val="continue"/>
            <w:tcBorders>
              <w:top w:val="single" w:sz="8" w:space="0" w:color="000000"/>
              <w:left w:val="single" w:sz="8" w:space="0" w:color="000000"/>
              <w:bottom w:val="single" w:sz="8" w:space="0" w:color="000000"/>
              <w:insideH w:val="single" w:sz="8" w:space="0" w:color="000000"/>
            </w:tcBorders>
            <w:shd w:fill="FFFFFF" w:val="clear"/>
          </w:tcPr>
          <w:p>
            <w:pPr>
              <w:pStyle w:val="Normal"/>
              <w:snapToGrid w:val="false"/>
              <w:rPr/>
            </w:pPr>
            <w:r>
              <w:rPr/>
            </w:r>
          </w:p>
        </w:tc>
        <w:tc>
          <w:tcPr>
            <w:tcW w:w="928"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w:t>
            </w:r>
          </w:p>
        </w:tc>
        <w:tc>
          <w:tcPr>
            <w:tcW w:w="9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w:t>
            </w:r>
          </w:p>
        </w:tc>
        <w:tc>
          <w:tcPr>
            <w:tcW w:w="10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w:t>
            </w:r>
          </w:p>
        </w:tc>
        <w:tc>
          <w:tcPr>
            <w:tcW w:w="10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w:t>
            </w:r>
          </w:p>
        </w:tc>
        <w:tc>
          <w:tcPr>
            <w:tcW w:w="10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w:t>
            </w:r>
          </w:p>
        </w:tc>
        <w:tc>
          <w:tcPr>
            <w:tcW w:w="105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w:t>
            </w:r>
          </w:p>
        </w:tc>
        <w:tc>
          <w:tcPr>
            <w:tcW w:w="10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w:t>
            </w:r>
          </w:p>
        </w:tc>
        <w:tc>
          <w:tcPr>
            <w:tcW w:w="10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24</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100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1880</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3590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5280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7005</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10435</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13820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17250</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20680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120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2185</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4145</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6110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8085</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12005</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15935</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19880</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23780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140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2475</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4700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6920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9135</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13585</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18050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22465</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26930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160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2755</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5170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7670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10150</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15040</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19930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24910</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29800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180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3035</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5735</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8440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11140</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16545</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21900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27355</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32760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200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3335</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6300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9280</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12220</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18140</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24065</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29985</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35910</w:t>
            </w:r>
          </w:p>
        </w:tc>
      </w:tr>
      <w:tr>
        <w:trPr/>
        <w:tc>
          <w:tcPr>
            <w:tcW w:w="1173"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10</w:t>
            </w:r>
          </w:p>
        </w:tc>
        <w:tc>
          <w:tcPr>
            <w:tcW w:w="92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4060</w:t>
            </w:r>
          </w:p>
        </w:tc>
        <w:tc>
          <w:tcPr>
            <w:tcW w:w="9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7660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11235</w:t>
            </w:r>
          </w:p>
        </w:tc>
        <w:tc>
          <w:tcPr>
            <w:tcW w:w="104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14805</w:t>
            </w:r>
          </w:p>
        </w:tc>
        <w:tc>
          <w:tcPr>
            <w:tcW w:w="10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21930</w:t>
            </w:r>
          </w:p>
        </w:tc>
        <w:tc>
          <w:tcPr>
            <w:tcW w:w="105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29140</w:t>
            </w:r>
          </w:p>
        </w:tc>
        <w:tc>
          <w:tcPr>
            <w:tcW w:w="105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36235</w:t>
            </w:r>
          </w:p>
        </w:tc>
        <w:tc>
          <w:tcPr>
            <w:tcW w:w="108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43430</w:t>
            </w:r>
          </w:p>
        </w:tc>
      </w:tr>
      <w:tr>
        <w:trPr/>
        <w:tc>
          <w:tcPr>
            <w:tcW w:w="1173"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10</w:t>
            </w:r>
          </w:p>
        </w:tc>
        <w:tc>
          <w:tcPr>
            <w:tcW w:w="92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4840</w:t>
            </w:r>
          </w:p>
        </w:tc>
        <w:tc>
          <w:tcPr>
            <w:tcW w:w="9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9135</w:t>
            </w:r>
          </w:p>
        </w:tc>
        <w:tc>
          <w:tcPr>
            <w:tcW w:w="10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13395</w:t>
            </w:r>
          </w:p>
        </w:tc>
        <w:tc>
          <w:tcPr>
            <w:tcW w:w="104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17670</w:t>
            </w:r>
          </w:p>
        </w:tc>
        <w:tc>
          <w:tcPr>
            <w:tcW w:w="10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26225</w:t>
            </w:r>
          </w:p>
        </w:tc>
        <w:tc>
          <w:tcPr>
            <w:tcW w:w="105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34780</w:t>
            </w:r>
          </w:p>
        </w:tc>
        <w:tc>
          <w:tcPr>
            <w:tcW w:w="105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43380</w:t>
            </w:r>
          </w:p>
        </w:tc>
        <w:tc>
          <w:tcPr>
            <w:tcW w:w="108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51700</w:t>
            </w:r>
          </w:p>
        </w:tc>
      </w:tr>
    </w:tbl>
    <w:p>
      <w:pPr>
        <w:pStyle w:val="Normal"/>
        <w:shd w:fill="FFFFFF" w:val="clear"/>
        <w:spacing w:before="120" w:after="120"/>
        <w:ind w:firstLine="283"/>
        <w:jc w:val="both"/>
        <w:rPr>
          <w:sz w:val="20"/>
          <w:szCs w:val="20"/>
        </w:rPr>
      </w:pPr>
      <w:r>
        <w:rPr/>
        <w:t>* См. примечания к табл. 7.5.1.</w:t>
      </w:r>
    </w:p>
    <w:p>
      <w:pPr>
        <w:pStyle w:val="Normal"/>
        <w:shd w:fill="FFFFFF" w:val="clear"/>
        <w:jc w:val="right"/>
        <w:rPr>
          <w:i/>
          <w:i/>
          <w:iCs/>
        </w:rPr>
      </w:pPr>
      <w:r>
        <w:rPr>
          <w:i/>
          <w:iCs/>
        </w:rPr>
        <w:t>Таблица 7.5.3</w:t>
      </w:r>
    </w:p>
    <w:p>
      <w:pPr>
        <w:pStyle w:val="Normal"/>
        <w:shd w:fill="FFFFFF" w:val="clear"/>
        <w:spacing w:before="0" w:after="120"/>
        <w:jc w:val="center"/>
        <w:rPr>
          <w:b/>
          <w:b/>
          <w:bCs/>
        </w:rPr>
      </w:pPr>
      <w:r>
        <w:rPr>
          <w:b/>
          <w:bCs/>
        </w:rPr>
        <w:t>Допустимый длительный ток промышленной частоты трехфазных токопроводов из шихтованного пакета алюминиевых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73"/>
        <w:gridCol w:w="1209"/>
        <w:gridCol w:w="1210"/>
        <w:gridCol w:w="1210"/>
        <w:gridCol w:w="1210"/>
        <w:gridCol w:w="1211"/>
        <w:gridCol w:w="1232"/>
      </w:tblGrid>
      <w:tr>
        <w:trPr>
          <w:tblHeader w:val="true"/>
        </w:trPr>
        <w:tc>
          <w:tcPr>
            <w:tcW w:w="2073"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Размер полосы, мм</w:t>
            </w:r>
          </w:p>
        </w:tc>
        <w:tc>
          <w:tcPr>
            <w:tcW w:w="7282"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количестве полос в пакете</w:t>
            </w:r>
          </w:p>
        </w:tc>
      </w:tr>
      <w:tr>
        <w:trPr>
          <w:tblHeader w:val="true"/>
        </w:trPr>
        <w:tc>
          <w:tcPr>
            <w:tcW w:w="2073"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09"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3</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6</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9</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12</w:t>
            </w:r>
          </w:p>
        </w:tc>
        <w:tc>
          <w:tcPr>
            <w:tcW w:w="121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18</w:t>
            </w:r>
          </w:p>
        </w:tc>
        <w:tc>
          <w:tcPr>
            <w:tcW w:w="123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24</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100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1240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2470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3690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4920</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7390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9900</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120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1445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2885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4300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5735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8560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11435</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140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1665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3320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4955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6605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9895</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13190</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160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1850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3695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5525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7365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11025</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14720</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180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2070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4125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6155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8210</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12290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16405</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200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2280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4550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6790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9055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13565</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18080</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2795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5590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8320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11095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16640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22185</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20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3880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7710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11540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15385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23010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30705</w:t>
            </w:r>
          </w:p>
        </w:tc>
      </w:tr>
      <w:tr>
        <w:trPr/>
        <w:tc>
          <w:tcPr>
            <w:tcW w:w="2073" w:type="dxa"/>
            <w:tcBorders>
              <w:left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10</w:t>
            </w:r>
          </w:p>
        </w:tc>
        <w:tc>
          <w:tcPr>
            <w:tcW w:w="120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3300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6580</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9815</w:t>
            </w:r>
          </w:p>
        </w:tc>
        <w:tc>
          <w:tcPr>
            <w:tcW w:w="121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13085</w:t>
            </w:r>
          </w:p>
        </w:tc>
        <w:tc>
          <w:tcPr>
            <w:tcW w:w="121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19620</w:t>
            </w:r>
          </w:p>
        </w:tc>
        <w:tc>
          <w:tcPr>
            <w:tcW w:w="123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26130</w:t>
            </w:r>
          </w:p>
        </w:tc>
      </w:tr>
      <w:tr>
        <w:trPr/>
        <w:tc>
          <w:tcPr>
            <w:tcW w:w="2073"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20</w:t>
            </w:r>
          </w:p>
        </w:tc>
        <w:tc>
          <w:tcPr>
            <w:tcW w:w="120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4500</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8960</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13395</w:t>
            </w:r>
          </w:p>
        </w:tc>
        <w:tc>
          <w:tcPr>
            <w:tcW w:w="121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17860</w:t>
            </w:r>
          </w:p>
        </w:tc>
        <w:tc>
          <w:tcPr>
            <w:tcW w:w="121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26760</w:t>
            </w:r>
          </w:p>
        </w:tc>
        <w:tc>
          <w:tcPr>
            <w:tcW w:w="123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35655</w:t>
            </w:r>
          </w:p>
        </w:tc>
      </w:tr>
    </w:tbl>
    <w:p>
      <w:pPr>
        <w:pStyle w:val="Normal"/>
        <w:shd w:fill="FFFFFF" w:val="clear"/>
        <w:spacing w:before="120" w:after="120"/>
        <w:ind w:firstLine="283"/>
        <w:jc w:val="both"/>
        <w:rPr>
          <w:sz w:val="20"/>
          <w:szCs w:val="20"/>
        </w:rPr>
      </w:pPr>
      <w:r>
        <w:rPr/>
        <w:t>* См. примечания к табл. 7.5.1.</w:t>
      </w:r>
    </w:p>
    <w:p>
      <w:pPr>
        <w:pStyle w:val="Normal"/>
        <w:shd w:fill="FFFFFF" w:val="clear"/>
        <w:jc w:val="right"/>
        <w:rPr>
          <w:i/>
          <w:i/>
          <w:iCs/>
        </w:rPr>
      </w:pPr>
      <w:r>
        <w:rPr>
          <w:i/>
          <w:iCs/>
        </w:rPr>
        <w:t>Таблица 7.5.4</w:t>
      </w:r>
    </w:p>
    <w:p>
      <w:pPr>
        <w:pStyle w:val="Normal"/>
        <w:shd w:fill="FFFFFF" w:val="clear"/>
        <w:spacing w:before="120" w:after="120"/>
        <w:jc w:val="center"/>
        <w:rPr>
          <w:b/>
          <w:b/>
          <w:bCs/>
        </w:rPr>
      </w:pPr>
      <w:r>
        <w:rPr>
          <w:b/>
          <w:bCs/>
        </w:rPr>
        <w:t>Допустимый длительный ток промышленной частоты трехфазных токопроводов из шихтованного пакета медных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66"/>
        <w:gridCol w:w="1217"/>
        <w:gridCol w:w="1202"/>
        <w:gridCol w:w="1202"/>
        <w:gridCol w:w="1203"/>
        <w:gridCol w:w="1217"/>
        <w:gridCol w:w="1248"/>
      </w:tblGrid>
      <w:tr>
        <w:trPr>
          <w:tblHeader w:val="true"/>
        </w:trPr>
        <w:tc>
          <w:tcPr>
            <w:tcW w:w="2066"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Размер полосы, мм</w:t>
            </w:r>
          </w:p>
        </w:tc>
        <w:tc>
          <w:tcPr>
            <w:tcW w:w="7289"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количестве полос в пакете</w:t>
            </w:r>
          </w:p>
        </w:tc>
      </w:tr>
      <w:tr>
        <w:trPr>
          <w:tblHeader w:val="true"/>
        </w:trPr>
        <w:tc>
          <w:tcPr>
            <w:tcW w:w="2066"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17"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3</w:t>
            </w:r>
          </w:p>
        </w:tc>
        <w:tc>
          <w:tcPr>
            <w:tcW w:w="120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6</w:t>
            </w:r>
          </w:p>
        </w:tc>
        <w:tc>
          <w:tcPr>
            <w:tcW w:w="120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9</w:t>
            </w:r>
          </w:p>
        </w:tc>
        <w:tc>
          <w:tcPr>
            <w:tcW w:w="120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12</w:t>
            </w:r>
          </w:p>
        </w:tc>
        <w:tc>
          <w:tcPr>
            <w:tcW w:w="121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18</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24</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100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1825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3530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5225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6965</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10340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13740</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120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2105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4070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6035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8000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11940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15885</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140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2395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4615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6845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9060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13470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17955</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160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2660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5125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7565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10040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14945</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19850</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180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2930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5640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8330</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11015</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16420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21810</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200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3220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6185</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9155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12090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18050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23925</w:t>
            </w:r>
          </w:p>
        </w:tc>
      </w:tr>
      <w:tr>
        <w:trPr/>
        <w:tc>
          <w:tcPr>
            <w:tcW w:w="2066" w:type="dxa"/>
            <w:tcBorders>
              <w:left w:val="single" w:sz="8" w:space="0" w:color="000000"/>
            </w:tcBorders>
            <w:shd w:fill="FFFFFF" w:val="clear"/>
          </w:tcPr>
          <w:p>
            <w:pPr>
              <w:pStyle w:val="Normal"/>
              <w:shd w:fill="FFFFFF" w:val="clear"/>
              <w:overflowPunct w:val="false"/>
              <w:autoSpaceDE w:val="false"/>
              <w:jc w:val="center"/>
              <w:rPr/>
            </w:pPr>
            <w:r>
              <w:rPr/>
              <w:t>250</w:t>
            </w:r>
            <w:r>
              <w:rPr>
                <w:rFonts w:cs="Symbol" w:ascii="Symbol" w:hAnsi="Symbol"/>
              </w:rPr>
              <w:t></w:t>
            </w:r>
            <w:r>
              <w:rPr/>
              <w:t>10</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3900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7480</w:t>
            </w:r>
          </w:p>
        </w:tc>
        <w:tc>
          <w:tcPr>
            <w:tcW w:w="120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11075</w:t>
            </w:r>
          </w:p>
        </w:tc>
        <w:tc>
          <w:tcPr>
            <w:tcW w:w="120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14625</w:t>
            </w:r>
          </w:p>
        </w:tc>
        <w:tc>
          <w:tcPr>
            <w:tcW w:w="12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21810</w:t>
            </w:r>
          </w:p>
        </w:tc>
        <w:tc>
          <w:tcPr>
            <w:tcW w:w="12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28950</w:t>
            </w:r>
          </w:p>
        </w:tc>
      </w:tr>
      <w:tr>
        <w:trPr/>
        <w:tc>
          <w:tcPr>
            <w:tcW w:w="2066"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300</w:t>
            </w:r>
            <w:r>
              <w:rPr>
                <w:rFonts w:cs="Symbol" w:ascii="Symbol" w:hAnsi="Symbol"/>
              </w:rPr>
              <w:t></w:t>
            </w:r>
            <w:r>
              <w:rPr/>
              <w:t>10</w:t>
            </w:r>
          </w:p>
        </w:tc>
        <w:tc>
          <w:tcPr>
            <w:tcW w:w="121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4660</w:t>
            </w:r>
          </w:p>
        </w:tc>
        <w:tc>
          <w:tcPr>
            <w:tcW w:w="120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8940</w:t>
            </w:r>
          </w:p>
        </w:tc>
        <w:tc>
          <w:tcPr>
            <w:tcW w:w="120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13205</w:t>
            </w:r>
          </w:p>
        </w:tc>
        <w:tc>
          <w:tcPr>
            <w:tcW w:w="120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17485</w:t>
            </w:r>
          </w:p>
        </w:tc>
        <w:tc>
          <w:tcPr>
            <w:tcW w:w="121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25990</w:t>
            </w:r>
          </w:p>
        </w:tc>
        <w:tc>
          <w:tcPr>
            <w:tcW w:w="12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34545</w:t>
            </w:r>
          </w:p>
        </w:tc>
      </w:tr>
    </w:tbl>
    <w:p>
      <w:pPr>
        <w:pStyle w:val="Normal"/>
        <w:shd w:fill="FFFFFF" w:val="clear"/>
        <w:spacing w:before="120" w:after="120"/>
        <w:ind w:firstLine="283"/>
        <w:jc w:val="both"/>
        <w:rPr>
          <w:sz w:val="20"/>
          <w:szCs w:val="20"/>
        </w:rPr>
      </w:pPr>
      <w:r>
        <w:rPr/>
        <w:t>* См. примечания к табл. 7.5.1.</w:t>
      </w:r>
    </w:p>
    <w:p>
      <w:pPr>
        <w:pStyle w:val="Normal"/>
        <w:shd w:fill="FFFFFF" w:val="clear"/>
        <w:jc w:val="right"/>
        <w:rPr>
          <w:i/>
          <w:i/>
          <w:iCs/>
        </w:rPr>
      </w:pPr>
      <w:r>
        <w:rPr>
          <w:i/>
          <w:iCs/>
        </w:rPr>
        <w:t>Таблица 7.5.5</w:t>
      </w:r>
    </w:p>
    <w:p>
      <w:pPr>
        <w:pStyle w:val="Normal"/>
        <w:shd w:fill="FFFFFF" w:val="clear"/>
        <w:spacing w:before="0" w:after="120"/>
        <w:jc w:val="center"/>
        <w:rPr>
          <w:b/>
          <w:b/>
          <w:bCs/>
        </w:rPr>
      </w:pPr>
      <w:r>
        <w:rPr>
          <w:b/>
          <w:bCs/>
        </w:rPr>
        <w:t>Допустимый длительный ток повышенно-средней частоты токопроводов из двух алюминиевых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85"/>
        <w:gridCol w:w="1206"/>
        <w:gridCol w:w="1206"/>
        <w:gridCol w:w="1191"/>
        <w:gridCol w:w="1206"/>
        <w:gridCol w:w="1207"/>
        <w:gridCol w:w="1254"/>
      </w:tblGrid>
      <w:tr>
        <w:trPr>
          <w:tblHeader w:val="true"/>
        </w:trPr>
        <w:tc>
          <w:tcPr>
            <w:tcW w:w="208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Ширина шины, мм</w:t>
            </w:r>
          </w:p>
        </w:tc>
        <w:tc>
          <w:tcPr>
            <w:tcW w:w="7270"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Гц</w:t>
            </w:r>
          </w:p>
        </w:tc>
      </w:tr>
      <w:tr>
        <w:trPr>
          <w:tblHeader w:val="true"/>
        </w:trPr>
        <w:tc>
          <w:tcPr>
            <w:tcW w:w="208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06"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500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1000</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4000</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8000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10000</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310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145</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365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245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40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490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410</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325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265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235</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50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615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510</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410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355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285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60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720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605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485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410</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355</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330</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80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960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805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640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545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465</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435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100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1160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980</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775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670</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570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535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120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1365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1140</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915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780</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670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625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150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1580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1315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1050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905</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770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725</w:t>
            </w:r>
          </w:p>
        </w:tc>
      </w:tr>
      <w:tr>
        <w:trPr/>
        <w:tc>
          <w:tcPr>
            <w:tcW w:w="20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2040</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1665</w:t>
            </w:r>
          </w:p>
        </w:tc>
        <w:tc>
          <w:tcPr>
            <w:tcW w:w="11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1325</w:t>
            </w:r>
          </w:p>
        </w:tc>
        <w:tc>
          <w:tcPr>
            <w:tcW w:w="120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1140</w:t>
            </w:r>
          </w:p>
        </w:tc>
        <w:tc>
          <w:tcPr>
            <w:tcW w:w="120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970</w:t>
            </w:r>
          </w:p>
        </w:tc>
        <w:tc>
          <w:tcPr>
            <w:tcW w:w="125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910</w:t>
            </w:r>
          </w:p>
        </w:tc>
      </w:tr>
    </w:tbl>
    <w:p>
      <w:pPr>
        <w:pStyle w:val="Normal"/>
        <w:shd w:fill="FFFFFF" w:val="clear"/>
        <w:spacing w:before="120" w:after="0"/>
        <w:ind w:firstLine="283"/>
        <w:jc w:val="both"/>
        <w:rPr>
          <w:sz w:val="20"/>
          <w:szCs w:val="20"/>
        </w:rPr>
      </w:pPr>
      <w:r>
        <w:rPr>
          <w:i/>
          <w:iCs/>
        </w:rPr>
        <w:t xml:space="preserve">Примечания: </w:t>
      </w:r>
      <w:r>
        <w:rPr/>
        <w:t>1. В табл. 7.5.5 и 7.5.6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p>
      <w:pPr>
        <w:pStyle w:val="Normal"/>
        <w:shd w:fill="FFFFFF" w:val="clear"/>
        <w:ind w:firstLine="283"/>
        <w:jc w:val="both"/>
        <w:rPr/>
      </w:pPr>
      <w:r>
        <w:rPr/>
        <w:t>2. Толщина шин токопроводов, допустимые длительные токи которых приведены в табл. 7.5.5 и 7.5.6, должна быть равной или больше расчетной; ее следует выбирать с учетом требований к механической прочности шин из сортамента, приведенного в стандартах или технических условиях.</w:t>
      </w:r>
    </w:p>
    <w:p>
      <w:pPr>
        <w:pStyle w:val="Normal"/>
        <w:shd w:fill="FFFFFF" w:val="clear"/>
        <w:ind w:firstLine="283"/>
        <w:jc w:val="both"/>
        <w:rPr/>
      </w:pPr>
      <w:r>
        <w:rPr/>
        <w:t xml:space="preserve">3. Глубина проникновения тока, </w:t>
      </w:r>
      <w:r>
        <w:rPr>
          <w:i/>
          <w:iCs/>
        </w:rPr>
        <w:t xml:space="preserve">h, </w:t>
      </w:r>
      <w:r>
        <w:rPr/>
        <w:t xml:space="preserve">при алюминиевых шинах в зависимости от частоты переменного тока </w:t>
      </w:r>
      <w:r>
        <w:rPr>
          <w:i/>
          <w:iCs/>
        </w:rPr>
        <w:t>f</w:t>
      </w:r>
      <w:r>
        <w:rPr/>
        <w:t>:</w:t>
      </w:r>
    </w:p>
    <w:p>
      <w:pPr>
        <w:pStyle w:val="Normal"/>
        <w:shd w:fill="FFFFFF" w:val="clear"/>
        <w:ind w:firstLine="283"/>
        <w:jc w:val="both"/>
        <w:rPr/>
      </w:pPr>
      <w:r>
        <w:rPr>
          <w:i/>
          <w:iCs/>
        </w:rPr>
        <w:t>f</w:t>
      </w:r>
      <w:r>
        <w:rPr/>
        <w:t>, кГц               0,5             1,0          2,5           4,0           8,0          10,0</w:t>
      </w:r>
    </w:p>
    <w:p>
      <w:pPr>
        <w:pStyle w:val="Normal"/>
        <w:shd w:fill="FFFFFF" w:val="clear"/>
        <w:ind w:firstLine="283"/>
        <w:jc w:val="both"/>
        <w:rPr/>
      </w:pPr>
      <w:r>
        <w:rPr>
          <w:i/>
          <w:iCs/>
        </w:rPr>
        <w:t xml:space="preserve">h, </w:t>
      </w:r>
      <w:r>
        <w:rPr/>
        <w:t>мм              4,2             3,0          1,9           1,5           1,06        0,95</w:t>
      </w:r>
    </w:p>
    <w:p>
      <w:pPr>
        <w:pStyle w:val="Normal"/>
        <w:shd w:fill="FFFFFF" w:val="clear"/>
        <w:spacing w:before="120" w:after="120"/>
        <w:jc w:val="right"/>
        <w:rPr>
          <w:i/>
          <w:i/>
          <w:iCs/>
        </w:rPr>
      </w:pPr>
      <w:r>
        <w:rPr>
          <w:i/>
          <w:iCs/>
        </w:rPr>
        <w:t>Таблица 7.5.6</w:t>
      </w:r>
    </w:p>
    <w:p>
      <w:pPr>
        <w:pStyle w:val="Normal"/>
        <w:shd w:fill="FFFFFF" w:val="clear"/>
        <w:spacing w:before="0" w:after="120"/>
        <w:jc w:val="center"/>
        <w:rPr>
          <w:b/>
          <w:b/>
          <w:bCs/>
        </w:rPr>
      </w:pPr>
      <w:r>
        <w:rPr>
          <w:b/>
          <w:bCs/>
        </w:rPr>
        <w:t>Допустимый длительный ток повышенно-средней частоты токопроводов из двух медных прямоугольных шин</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054"/>
        <w:gridCol w:w="1214"/>
        <w:gridCol w:w="1214"/>
        <w:gridCol w:w="1213"/>
        <w:gridCol w:w="1213"/>
        <w:gridCol w:w="1214"/>
        <w:gridCol w:w="1233"/>
      </w:tblGrid>
      <w:tr>
        <w:trPr>
          <w:tblHeader w:val="true"/>
        </w:trPr>
        <w:tc>
          <w:tcPr>
            <w:tcW w:w="2054"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Ширина шины, мм</w:t>
            </w:r>
          </w:p>
        </w:tc>
        <w:tc>
          <w:tcPr>
            <w:tcW w:w="7301"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Гц</w:t>
            </w:r>
          </w:p>
        </w:tc>
      </w:tr>
      <w:tr>
        <w:trPr>
          <w:tblHeader w:val="true"/>
        </w:trPr>
        <w:tc>
          <w:tcPr>
            <w:tcW w:w="2054"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214"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500</w:t>
            </w:r>
          </w:p>
        </w:tc>
        <w:tc>
          <w:tcPr>
            <w:tcW w:w="121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1000</w:t>
            </w:r>
          </w:p>
        </w:tc>
        <w:tc>
          <w:tcPr>
            <w:tcW w:w="121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2500</w:t>
            </w:r>
          </w:p>
        </w:tc>
        <w:tc>
          <w:tcPr>
            <w:tcW w:w="121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4000</w:t>
            </w:r>
          </w:p>
        </w:tc>
        <w:tc>
          <w:tcPr>
            <w:tcW w:w="121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8000</w:t>
            </w:r>
          </w:p>
        </w:tc>
        <w:tc>
          <w:tcPr>
            <w:tcW w:w="12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10000</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25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175</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30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425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350</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195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40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465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370</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330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265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50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705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585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460</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410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330</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60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835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685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545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495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420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395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80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725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645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515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100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1325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1130</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895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785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675</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630</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120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1420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1325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1045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915</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785</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735</w:t>
            </w:r>
          </w:p>
        </w:tc>
      </w:tr>
      <w:tr>
        <w:trPr/>
        <w:tc>
          <w:tcPr>
            <w:tcW w:w="2054" w:type="dxa"/>
            <w:tcBorders>
              <w:left w:val="single" w:sz="8" w:space="0" w:color="000000"/>
            </w:tcBorders>
            <w:shd w:fill="FFFFFF" w:val="clear"/>
          </w:tcPr>
          <w:p>
            <w:pPr>
              <w:pStyle w:val="Normal"/>
              <w:shd w:fill="FFFFFF" w:val="clear"/>
              <w:overflowPunct w:val="false"/>
              <w:autoSpaceDE w:val="false"/>
              <w:jc w:val="center"/>
              <w:rPr/>
            </w:pPr>
            <w:r>
              <w:rPr/>
              <w:t>150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1860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1515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1205</w:t>
            </w:r>
          </w:p>
        </w:tc>
        <w:tc>
          <w:tcPr>
            <w:tcW w:w="121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1060</w:t>
            </w:r>
          </w:p>
        </w:tc>
        <w:tc>
          <w:tcPr>
            <w:tcW w:w="12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910</w:t>
            </w:r>
          </w:p>
        </w:tc>
        <w:tc>
          <w:tcPr>
            <w:tcW w:w="1233"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845</w:t>
            </w:r>
          </w:p>
        </w:tc>
      </w:tr>
      <w:tr>
        <w:trPr/>
        <w:tc>
          <w:tcPr>
            <w:tcW w:w="2054"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2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2350</w:t>
            </w:r>
          </w:p>
        </w:tc>
        <w:tc>
          <w:tcPr>
            <w:tcW w:w="12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1920</w:t>
            </w:r>
          </w:p>
        </w:tc>
        <w:tc>
          <w:tcPr>
            <w:tcW w:w="121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1485</w:t>
            </w:r>
          </w:p>
        </w:tc>
        <w:tc>
          <w:tcPr>
            <w:tcW w:w="121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1340</w:t>
            </w:r>
          </w:p>
        </w:tc>
        <w:tc>
          <w:tcPr>
            <w:tcW w:w="12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1140</w:t>
            </w:r>
          </w:p>
        </w:tc>
        <w:tc>
          <w:tcPr>
            <w:tcW w:w="1233"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1070</w:t>
            </w:r>
          </w:p>
        </w:tc>
      </w:tr>
    </w:tbl>
    <w:p>
      <w:pPr>
        <w:pStyle w:val="Normal"/>
        <w:shd w:fill="FFFFFF" w:val="clear"/>
        <w:spacing w:before="120" w:after="0"/>
        <w:ind w:firstLine="283"/>
        <w:jc w:val="both"/>
        <w:rPr>
          <w:sz w:val="20"/>
          <w:szCs w:val="20"/>
        </w:rPr>
      </w:pPr>
      <w:r>
        <w:rPr>
          <w:i/>
          <w:iCs/>
        </w:rPr>
        <w:t xml:space="preserve">Примечание. </w:t>
      </w:r>
      <w:r>
        <w:rPr/>
        <w:t xml:space="preserve">Глубина проникновения тока, </w:t>
      </w:r>
      <w:r>
        <w:rPr>
          <w:i/>
          <w:iCs/>
        </w:rPr>
        <w:t xml:space="preserve">h, </w:t>
      </w:r>
      <w:r>
        <w:rPr/>
        <w:t xml:space="preserve">при медных шинах в зависимости от частоты переменного тока </w:t>
      </w:r>
      <w:r>
        <w:rPr>
          <w:i/>
          <w:iCs/>
        </w:rPr>
        <w:t>f</w:t>
      </w:r>
      <w:r>
        <w:rPr/>
        <w:t>:</w:t>
      </w:r>
    </w:p>
    <w:p>
      <w:pPr>
        <w:pStyle w:val="Normal"/>
        <w:shd w:fill="FFFFFF" w:val="clear"/>
        <w:ind w:firstLine="283"/>
        <w:jc w:val="both"/>
        <w:rPr/>
      </w:pPr>
      <w:r>
        <w:rPr>
          <w:i/>
          <w:iCs/>
        </w:rPr>
        <w:t>f</w:t>
      </w:r>
      <w:r>
        <w:rPr/>
        <w:t>, кГц                   0,5          1,0           2,5           4,0             8,0             10,0</w:t>
      </w:r>
    </w:p>
    <w:p>
      <w:pPr>
        <w:pStyle w:val="Normal"/>
        <w:shd w:fill="FFFFFF" w:val="clear"/>
        <w:ind w:firstLine="283"/>
        <w:jc w:val="both"/>
        <w:rPr/>
      </w:pPr>
      <w:r>
        <w:rPr>
          <w:i/>
          <w:iCs/>
        </w:rPr>
        <w:t>h</w:t>
      </w:r>
      <w:r>
        <w:rPr/>
        <w:t>, мм                   3,3          2,4           1,5           1,19           0,84           0,75</w:t>
      </w:r>
    </w:p>
    <w:p>
      <w:pPr>
        <w:pStyle w:val="Normal"/>
        <w:shd w:fill="FFFFFF" w:val="clear"/>
        <w:ind w:firstLine="283"/>
        <w:jc w:val="both"/>
        <w:rPr/>
      </w:pPr>
      <w:r>
        <w:rPr/>
        <w:t>См. также примечания 1 и 2 к табл. 7.5.5.</w:t>
      </w:r>
    </w:p>
    <w:p>
      <w:pPr>
        <w:pStyle w:val="Normal"/>
        <w:shd w:fill="FFFFFF" w:val="clear"/>
        <w:spacing w:before="120" w:after="120"/>
        <w:jc w:val="right"/>
        <w:rPr>
          <w:i/>
          <w:i/>
          <w:iCs/>
        </w:rPr>
      </w:pPr>
      <w:r>
        <w:rPr>
          <w:i/>
          <w:iCs/>
        </w:rPr>
        <w:t>Таблица 7.5.7</w:t>
      </w:r>
    </w:p>
    <w:p>
      <w:pPr>
        <w:pStyle w:val="Normal"/>
        <w:shd w:fill="FFFFFF" w:val="clear"/>
        <w:spacing w:before="0" w:after="120"/>
        <w:jc w:val="center"/>
        <w:rPr>
          <w:b/>
          <w:b/>
          <w:bCs/>
        </w:rPr>
      </w:pPr>
      <w:r>
        <w:rPr>
          <w:b/>
          <w:bCs/>
        </w:rPr>
        <w:t>Допустимый длительный ток повышенно-средней частоты токопроводов из двух алюминиевых концентрических труб</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21"/>
        <w:gridCol w:w="1601"/>
        <w:gridCol w:w="1068"/>
        <w:gridCol w:w="1068"/>
        <w:gridCol w:w="1069"/>
        <w:gridCol w:w="1068"/>
        <w:gridCol w:w="1068"/>
        <w:gridCol w:w="1092"/>
      </w:tblGrid>
      <w:tr>
        <w:trPr>
          <w:tblHeader w:val="true"/>
        </w:trPr>
        <w:tc>
          <w:tcPr>
            <w:tcW w:w="2922" w:type="dxa"/>
            <w:gridSpan w:val="2"/>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Наружный диаметр трубы, мм</w:t>
            </w:r>
          </w:p>
        </w:tc>
        <w:tc>
          <w:tcPr>
            <w:tcW w:w="6433"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кГц</w:t>
            </w:r>
          </w:p>
        </w:tc>
      </w:tr>
      <w:tr>
        <w:trPr>
          <w:tblHeader w:val="true"/>
        </w:trPr>
        <w:tc>
          <w:tcPr>
            <w:tcW w:w="1321"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внешней</w:t>
            </w:r>
          </w:p>
        </w:tc>
        <w:tc>
          <w:tcPr>
            <w:tcW w:w="160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внутренней</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0,5</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150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1330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885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770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640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615</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90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835</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665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480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455</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70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800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670</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530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465</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385</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370</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180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1660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1095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800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760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120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1075</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855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740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620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590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100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1030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905</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720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620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520</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495</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1890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1590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1260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910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865</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140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1230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845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710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675</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120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1260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1070</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840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725</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610</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580</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220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2185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1755</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1390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1010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960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160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1660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1390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800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760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140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1425</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1185</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940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815</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685</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650</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240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2310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1940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1520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1315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1115</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1050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180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1850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1230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1065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895</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850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160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1630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1365</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1080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930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785</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745</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260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2530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2130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1450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1220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1160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200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2040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1710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1165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980</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930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180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1820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1530</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1210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1040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875</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830</w:t>
            </w:r>
          </w:p>
        </w:tc>
      </w:tr>
      <w:tr>
        <w:trPr/>
        <w:tc>
          <w:tcPr>
            <w:tcW w:w="1321"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280</w:t>
            </w:r>
          </w:p>
        </w:tc>
        <w:tc>
          <w:tcPr>
            <w:tcW w:w="160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2320</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1850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1590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1335</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1270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tcBorders>
            <w:shd w:fill="FFFFFF" w:val="clear"/>
          </w:tcPr>
          <w:p>
            <w:pPr>
              <w:pStyle w:val="Normal"/>
              <w:shd w:fill="FFFFFF" w:val="clear"/>
              <w:overflowPunct w:val="false"/>
              <w:autoSpaceDE w:val="false"/>
              <w:jc w:val="center"/>
              <w:rPr/>
            </w:pPr>
            <w:r>
              <w:rPr/>
              <w:t>220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2220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1865</w:t>
            </w:r>
          </w:p>
        </w:tc>
        <w:tc>
          <w:tcPr>
            <w:tcW w:w="106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1480</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1275</w:t>
            </w:r>
          </w:p>
        </w:tc>
        <w:tc>
          <w:tcPr>
            <w:tcW w:w="106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1075</w:t>
            </w:r>
          </w:p>
        </w:tc>
        <w:tc>
          <w:tcPr>
            <w:tcW w:w="1092"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1020</w:t>
            </w:r>
          </w:p>
        </w:tc>
      </w:tr>
      <w:tr>
        <w:trPr/>
        <w:tc>
          <w:tcPr>
            <w:tcW w:w="1321"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60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2000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1685</w:t>
            </w:r>
          </w:p>
        </w:tc>
        <w:tc>
          <w:tcPr>
            <w:tcW w:w="106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1320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1150</w:t>
            </w:r>
          </w:p>
        </w:tc>
        <w:tc>
          <w:tcPr>
            <w:tcW w:w="106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960</w:t>
            </w:r>
          </w:p>
        </w:tc>
        <w:tc>
          <w:tcPr>
            <w:tcW w:w="1092"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930</w:t>
            </w:r>
          </w:p>
        </w:tc>
      </w:tr>
    </w:tbl>
    <w:p>
      <w:pPr>
        <w:pStyle w:val="Normal"/>
        <w:shd w:fill="FFFFFF" w:val="clear"/>
        <w:spacing w:before="120" w:after="120"/>
        <w:ind w:firstLine="283"/>
        <w:jc w:val="both"/>
        <w:rPr>
          <w:sz w:val="20"/>
          <w:szCs w:val="20"/>
        </w:rPr>
      </w:pPr>
      <w:r>
        <w:rPr>
          <w:i/>
          <w:iCs/>
        </w:rPr>
        <w:t xml:space="preserve">Примечание. </w:t>
      </w:r>
      <w:r>
        <w:rPr/>
        <w:t>В табл. 7.5.7 и 7.5.8 токовые нагрузки приведены для неокрашенных труб с толщиной стенок 10 мм.</w:t>
      </w:r>
    </w:p>
    <w:p>
      <w:pPr>
        <w:pStyle w:val="Normal"/>
        <w:shd w:fill="FFFFFF" w:val="clear"/>
        <w:jc w:val="right"/>
        <w:rPr>
          <w:i/>
          <w:i/>
          <w:iCs/>
        </w:rPr>
      </w:pPr>
      <w:r>
        <w:rPr>
          <w:i/>
          <w:iCs/>
        </w:rPr>
        <w:t>Таблица 7.5.8</w:t>
      </w:r>
    </w:p>
    <w:p>
      <w:pPr>
        <w:pStyle w:val="Normal"/>
        <w:shd w:fill="FFFFFF" w:val="clear"/>
        <w:spacing w:before="120" w:after="120"/>
        <w:jc w:val="center"/>
        <w:rPr>
          <w:b/>
          <w:b/>
          <w:bCs/>
        </w:rPr>
      </w:pPr>
      <w:r>
        <w:rPr>
          <w:b/>
          <w:bCs/>
        </w:rPr>
        <w:t>Допустимый длительный ток повышенно-средней частоты токопроводов из двух медных концентрических труб*</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359"/>
        <w:gridCol w:w="1435"/>
        <w:gridCol w:w="1090"/>
        <w:gridCol w:w="1090"/>
        <w:gridCol w:w="1090"/>
        <w:gridCol w:w="1090"/>
        <w:gridCol w:w="1091"/>
        <w:gridCol w:w="1110"/>
      </w:tblGrid>
      <w:tr>
        <w:trPr>
          <w:tblHeader w:val="true"/>
        </w:trPr>
        <w:tc>
          <w:tcPr>
            <w:tcW w:w="2794" w:type="dxa"/>
            <w:gridSpan w:val="2"/>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Наружный диаметр трубы, мм</w:t>
            </w:r>
          </w:p>
        </w:tc>
        <w:tc>
          <w:tcPr>
            <w:tcW w:w="6561"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кГц</w:t>
            </w:r>
          </w:p>
        </w:tc>
      </w:tr>
      <w:tr>
        <w:trPr>
          <w:tblHeader w:val="true"/>
        </w:trPr>
        <w:tc>
          <w:tcPr>
            <w:tcW w:w="1359"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внешней</w:t>
            </w:r>
          </w:p>
        </w:tc>
        <w:tc>
          <w:tcPr>
            <w:tcW w:w="1435"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внутренней</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0,5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150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1530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1270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895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755</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715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90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670</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565</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535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70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920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760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610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540</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455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430</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180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1585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1240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1120</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945</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895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120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1225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965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865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730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690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100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1250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1030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815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725</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615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580</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2190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1430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1275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1075</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1020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140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1690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995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840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795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120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1460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1210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955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830</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715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665</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220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2420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1415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1190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1130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160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1915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1585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1250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1115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940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890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140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1620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1350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1150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955</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810</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765</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240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2670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1740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1565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1310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1250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180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2130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1765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1395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1245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995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160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1880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1555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1230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1095</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925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875</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260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1910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1470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1365</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200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2360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1950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1535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1315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1160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1050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180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2100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1740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1375</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1225</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1035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980</w:t>
            </w:r>
          </w:p>
        </w:tc>
      </w:tr>
      <w:tr>
        <w:trPr/>
        <w:tc>
          <w:tcPr>
            <w:tcW w:w="1359" w:type="dxa"/>
            <w:vMerge w:val="restart"/>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280</w:t>
            </w:r>
          </w:p>
        </w:tc>
        <w:tc>
          <w:tcPr>
            <w:tcW w:w="143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3220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2655</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2090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1865</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1580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1490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tcBorders>
            <w:shd w:fill="FFFFFF" w:val="clear"/>
          </w:tcPr>
          <w:p>
            <w:pPr>
              <w:pStyle w:val="Normal"/>
              <w:shd w:fill="FFFFFF" w:val="clear"/>
              <w:overflowPunct w:val="false"/>
              <w:autoSpaceDE w:val="false"/>
              <w:jc w:val="center"/>
              <w:rPr/>
            </w:pPr>
            <w:r>
              <w:rPr/>
              <w:t>220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2560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2130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1680</w:t>
            </w:r>
          </w:p>
        </w:tc>
        <w:tc>
          <w:tcPr>
            <w:tcW w:w="109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1500</w:t>
            </w:r>
          </w:p>
        </w:tc>
        <w:tc>
          <w:tcPr>
            <w:tcW w:w="109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1270</w:t>
            </w:r>
          </w:p>
        </w:tc>
        <w:tc>
          <w:tcPr>
            <w:tcW w:w="1110"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1200</w:t>
            </w:r>
          </w:p>
        </w:tc>
      </w:tr>
      <w:tr>
        <w:trPr/>
        <w:tc>
          <w:tcPr>
            <w:tcW w:w="1359" w:type="dxa"/>
            <w:vMerge w:val="continue"/>
            <w:tcBorders>
              <w:left w:val="single" w:sz="8" w:space="0" w:color="000000"/>
              <w:bottom w:val="single" w:sz="8" w:space="0" w:color="000000"/>
              <w:insideH w:val="single" w:sz="8" w:space="0" w:color="000000"/>
            </w:tcBorders>
            <w:shd w:fill="FFFFFF" w:val="clear"/>
          </w:tcPr>
          <w:p>
            <w:pPr>
              <w:pStyle w:val="Normal"/>
              <w:snapToGrid w:val="false"/>
              <w:rPr/>
            </w:pPr>
            <w:r>
              <w:rPr/>
            </w:r>
          </w:p>
        </w:tc>
        <w:tc>
          <w:tcPr>
            <w:tcW w:w="143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200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2310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1900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1500</w:t>
            </w:r>
          </w:p>
        </w:tc>
        <w:tc>
          <w:tcPr>
            <w:tcW w:w="109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1340</w:t>
            </w:r>
          </w:p>
        </w:tc>
        <w:tc>
          <w:tcPr>
            <w:tcW w:w="109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1135</w:t>
            </w:r>
          </w:p>
        </w:tc>
        <w:tc>
          <w:tcPr>
            <w:tcW w:w="1110"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1070</w:t>
            </w:r>
          </w:p>
        </w:tc>
      </w:tr>
    </w:tbl>
    <w:p>
      <w:pPr>
        <w:pStyle w:val="Normal"/>
        <w:shd w:fill="FFFFFF" w:val="clear"/>
        <w:spacing w:before="120" w:after="120"/>
        <w:ind w:firstLine="283"/>
        <w:jc w:val="both"/>
        <w:rPr>
          <w:sz w:val="20"/>
          <w:szCs w:val="20"/>
        </w:rPr>
      </w:pPr>
      <w:r>
        <w:rPr/>
        <w:t>* См. примечание к табл. 7.5.7.</w:t>
      </w:r>
    </w:p>
    <w:p>
      <w:pPr>
        <w:pStyle w:val="Normal"/>
        <w:shd w:fill="FFFFFF" w:val="clear"/>
        <w:jc w:val="right"/>
        <w:rPr>
          <w:i/>
          <w:i/>
          <w:iCs/>
        </w:rPr>
      </w:pPr>
      <w:r>
        <w:rPr>
          <w:i/>
          <w:iCs/>
        </w:rPr>
        <w:t>Таблица 7.5.9</w:t>
      </w:r>
    </w:p>
    <w:p>
      <w:pPr>
        <w:pStyle w:val="Normal"/>
        <w:shd w:fill="FFFFFF" w:val="clear"/>
        <w:spacing w:before="0" w:after="120"/>
        <w:jc w:val="center"/>
        <w:rPr>
          <w:b/>
          <w:b/>
          <w:bCs/>
        </w:rPr>
      </w:pPr>
      <w:r>
        <w:rPr>
          <w:b/>
          <w:bCs/>
        </w:rPr>
        <w:t>Допустимый длительный ток повышенно-средней частоты кабелей марки АСГ на напряжение 1 кВ при однофазной нагрузке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482"/>
        <w:gridCol w:w="1141"/>
        <w:gridCol w:w="1143"/>
        <w:gridCol w:w="1142"/>
        <w:gridCol w:w="1143"/>
        <w:gridCol w:w="1143"/>
        <w:gridCol w:w="1161"/>
      </w:tblGrid>
      <w:tr>
        <w:trPr>
          <w:tblHeader w:val="true"/>
        </w:trPr>
        <w:tc>
          <w:tcPr>
            <w:tcW w:w="2482"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Сечение токопроводящей жилы, мм</w:t>
            </w:r>
          </w:p>
        </w:tc>
        <w:tc>
          <w:tcPr>
            <w:tcW w:w="6873"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кГц</w:t>
            </w:r>
          </w:p>
        </w:tc>
      </w:tr>
      <w:tr>
        <w:trPr>
          <w:tblHeader w:val="true"/>
        </w:trPr>
        <w:tc>
          <w:tcPr>
            <w:tcW w:w="2482"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141"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0,5</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w:t>
            </w:r>
          </w:p>
        </w:tc>
        <w:tc>
          <w:tcPr>
            <w:tcW w:w="11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25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47</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45</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35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50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62</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70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95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120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r>
      <w:tr>
        <w:trPr/>
        <w:tc>
          <w:tcPr>
            <w:tcW w:w="2482"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150</w:t>
            </w:r>
          </w:p>
        </w:tc>
        <w:tc>
          <w:tcPr>
            <w:tcW w:w="11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225</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185</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1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25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35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50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70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95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120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150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185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r>
      <w:tr>
        <w:trPr/>
        <w:tc>
          <w:tcPr>
            <w:tcW w:w="2482"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240</w:t>
            </w:r>
          </w:p>
        </w:tc>
        <w:tc>
          <w:tcPr>
            <w:tcW w:w="11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325</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285</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50 + 1</w:t>
            </w:r>
            <w:r>
              <w:rPr>
                <w:rFonts w:cs="Symbol" w:ascii="Symbol" w:hAnsi="Symbol"/>
              </w:rPr>
              <w:t></w:t>
            </w:r>
            <w:r>
              <w:rPr/>
              <w:t>25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70 + 1</w:t>
            </w:r>
            <w:r>
              <w:rPr>
                <w:rFonts w:cs="Symbol" w:ascii="Symbol" w:hAnsi="Symbol"/>
              </w:rPr>
              <w:t></w:t>
            </w:r>
            <w:r>
              <w:rPr/>
              <w:t>35</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r>
      <w:tr>
        <w:trPr/>
        <w:tc>
          <w:tcPr>
            <w:tcW w:w="2482"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95 + 1</w:t>
            </w:r>
            <w:r>
              <w:rPr>
                <w:rFonts w:cs="Symbol" w:ascii="Symbol" w:hAnsi="Symbol"/>
              </w:rPr>
              <w:t></w:t>
            </w:r>
            <w:r>
              <w:rPr/>
              <w:t>50</w:t>
            </w:r>
          </w:p>
        </w:tc>
        <w:tc>
          <w:tcPr>
            <w:tcW w:w="11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335</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1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120 + 1</w:t>
            </w:r>
            <w:r>
              <w:rPr>
                <w:rFonts w:cs="Symbol" w:ascii="Symbol" w:hAnsi="Symbol"/>
              </w:rPr>
              <w:t></w:t>
            </w:r>
            <w:r>
              <w:rPr/>
              <w:t>50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370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310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r>
      <w:tr>
        <w:trPr/>
        <w:tc>
          <w:tcPr>
            <w:tcW w:w="2482"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150 + 1</w:t>
            </w:r>
            <w:r>
              <w:rPr>
                <w:rFonts w:cs="Symbol" w:ascii="Symbol" w:hAnsi="Symbol"/>
              </w:rPr>
              <w:t></w:t>
            </w:r>
            <w:r>
              <w:rPr/>
              <w:t>70</w:t>
            </w:r>
          </w:p>
        </w:tc>
        <w:tc>
          <w:tcPr>
            <w:tcW w:w="1141"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415</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340</w:t>
            </w:r>
          </w:p>
        </w:tc>
        <w:tc>
          <w:tcPr>
            <w:tcW w:w="1142"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14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195</w:t>
            </w:r>
          </w:p>
        </w:tc>
        <w:tc>
          <w:tcPr>
            <w:tcW w:w="116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r>
      <w:tr>
        <w:trPr/>
        <w:tc>
          <w:tcPr>
            <w:tcW w:w="2482"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185 + 1</w:t>
            </w:r>
            <w:r>
              <w:rPr>
                <w:rFonts w:cs="Symbol" w:ascii="Symbol" w:hAnsi="Symbol"/>
              </w:rPr>
              <w:t></w:t>
            </w:r>
            <w:r>
              <w:rPr/>
              <w:t>70</w:t>
            </w:r>
          </w:p>
        </w:tc>
        <w:tc>
          <w:tcPr>
            <w:tcW w:w="1141"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450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375</w:t>
            </w:r>
          </w:p>
        </w:tc>
        <w:tc>
          <w:tcPr>
            <w:tcW w:w="1142"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300</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255</w:t>
            </w:r>
          </w:p>
        </w:tc>
        <w:tc>
          <w:tcPr>
            <w:tcW w:w="114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c>
          <w:tcPr>
            <w:tcW w:w="116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r>
    </w:tbl>
    <w:p>
      <w:pPr>
        <w:pStyle w:val="Normal"/>
        <w:shd w:fill="FFFFFF" w:val="clear"/>
        <w:spacing w:before="120" w:after="0"/>
        <w:ind w:firstLine="283"/>
        <w:jc w:val="both"/>
        <w:rPr>
          <w:sz w:val="20"/>
          <w:szCs w:val="20"/>
        </w:rPr>
      </w:pPr>
      <w:r>
        <w:rPr>
          <w:i/>
          <w:iCs/>
        </w:rPr>
        <w:t xml:space="preserve">Примечание. </w:t>
      </w:r>
      <w:r>
        <w:rPr/>
        <w:t>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pPr>
        <w:pStyle w:val="Normal"/>
        <w:shd w:fill="FFFFFF" w:val="clear"/>
        <w:spacing w:before="120" w:after="120"/>
        <w:jc w:val="right"/>
        <w:rPr>
          <w:i/>
          <w:i/>
          <w:iCs/>
        </w:rPr>
      </w:pPr>
      <w:r>
        <w:rPr>
          <w:i/>
          <w:iCs/>
        </w:rPr>
        <w:t>Таблица 7.5.10</w:t>
      </w:r>
    </w:p>
    <w:p>
      <w:pPr>
        <w:pStyle w:val="Normal"/>
        <w:shd w:fill="FFFFFF" w:val="clear"/>
        <w:spacing w:before="0" w:after="120"/>
        <w:jc w:val="center"/>
        <w:rPr>
          <w:b/>
          <w:b/>
          <w:bCs/>
        </w:rPr>
      </w:pPr>
      <w:r>
        <w:rPr>
          <w:b/>
          <w:bCs/>
        </w:rPr>
        <w:t>Допустимый длительный ток повышенно-средней частоты кабелей марки СГ на напряжение 1 кВ при однофазной нагрузке*</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584"/>
        <w:gridCol w:w="1123"/>
        <w:gridCol w:w="1126"/>
        <w:gridCol w:w="1124"/>
        <w:gridCol w:w="1126"/>
        <w:gridCol w:w="1124"/>
        <w:gridCol w:w="1148"/>
      </w:tblGrid>
      <w:tr>
        <w:trPr>
          <w:tblHeader w:val="true"/>
        </w:trPr>
        <w:tc>
          <w:tcPr>
            <w:tcW w:w="2584"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Сечение токопроводящей жилы, мм</w:t>
            </w:r>
            <w:r>
              <w:rPr>
                <w:vertAlign w:val="superscript"/>
              </w:rPr>
              <w:t>2</w:t>
            </w:r>
          </w:p>
        </w:tc>
        <w:tc>
          <w:tcPr>
            <w:tcW w:w="6771" w:type="dxa"/>
            <w:gridSpan w:val="6"/>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Токовая нагрузка, А, при частоте, кГц</w:t>
            </w:r>
          </w:p>
        </w:tc>
      </w:tr>
      <w:tr>
        <w:trPr>
          <w:tblHeader w:val="true"/>
        </w:trPr>
        <w:tc>
          <w:tcPr>
            <w:tcW w:w="2584"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123"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0,5</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2,50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4,0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8,0</w:t>
            </w:r>
          </w:p>
        </w:tc>
        <w:tc>
          <w:tcPr>
            <w:tcW w:w="11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10,0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25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76</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57</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35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86</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50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96</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70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95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120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r>
      <w:tr>
        <w:trPr/>
        <w:tc>
          <w:tcPr>
            <w:tcW w:w="2584"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2</w:t>
            </w:r>
            <w:r>
              <w:rPr>
                <w:rFonts w:cs="Symbol" w:ascii="Symbol" w:hAnsi="Symbol"/>
              </w:rPr>
              <w:t></w:t>
            </w:r>
            <w:r>
              <w:rPr/>
              <w:t>150</w:t>
            </w:r>
          </w:p>
        </w:tc>
        <w:tc>
          <w:tcPr>
            <w:tcW w:w="112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260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215</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c>
          <w:tcPr>
            <w:tcW w:w="11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25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60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35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50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90</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85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70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170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105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95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95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245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140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115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110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120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150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305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145</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185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340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160</w:t>
            </w:r>
          </w:p>
        </w:tc>
      </w:tr>
      <w:tr>
        <w:trPr/>
        <w:tc>
          <w:tcPr>
            <w:tcW w:w="2584"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240</w:t>
            </w:r>
          </w:p>
        </w:tc>
        <w:tc>
          <w:tcPr>
            <w:tcW w:w="112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375</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310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225</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185</w:t>
            </w:r>
          </w:p>
        </w:tc>
        <w:tc>
          <w:tcPr>
            <w:tcW w:w="11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50 + 1</w:t>
            </w:r>
            <w:r>
              <w:rPr>
                <w:rFonts w:cs="Symbol" w:ascii="Symbol" w:hAnsi="Symbol"/>
              </w:rPr>
              <w:t></w:t>
            </w:r>
            <w:r>
              <w:rPr/>
              <w:t>25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290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185</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165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135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130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70 + 1</w:t>
            </w:r>
            <w:r>
              <w:rPr>
                <w:rFonts w:cs="Symbol" w:ascii="Symbol" w:hAnsi="Symbol"/>
              </w:rPr>
              <w:t></w:t>
            </w:r>
            <w:r>
              <w:rPr/>
              <w:t>35</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320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265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155</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150</w:t>
            </w:r>
          </w:p>
        </w:tc>
      </w:tr>
      <w:tr>
        <w:trPr/>
        <w:tc>
          <w:tcPr>
            <w:tcW w:w="2584"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95 + 1</w:t>
            </w:r>
            <w:r>
              <w:rPr>
                <w:rFonts w:cs="Symbol" w:ascii="Symbol" w:hAnsi="Symbol"/>
              </w:rPr>
              <w:t></w:t>
            </w:r>
            <w:r>
              <w:rPr/>
              <w:t>50</w:t>
            </w:r>
          </w:p>
        </w:tc>
        <w:tc>
          <w:tcPr>
            <w:tcW w:w="112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385</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325</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225</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190</w:t>
            </w:r>
          </w:p>
        </w:tc>
        <w:tc>
          <w:tcPr>
            <w:tcW w:w="11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180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120 + 1</w:t>
            </w:r>
            <w:r>
              <w:rPr>
                <w:rFonts w:cs="Symbol" w:ascii="Symbol" w:hAnsi="Symbol"/>
              </w:rPr>
              <w:t></w:t>
            </w:r>
            <w:r>
              <w:rPr/>
              <w:t>50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430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355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280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210</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200</w:t>
            </w:r>
          </w:p>
        </w:tc>
      </w:tr>
      <w:tr>
        <w:trPr/>
        <w:tc>
          <w:tcPr>
            <w:tcW w:w="2584" w:type="dxa"/>
            <w:tcBorders>
              <w:left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150 + 1</w:t>
            </w:r>
            <w:r>
              <w:rPr>
                <w:rFonts w:cs="Symbol" w:ascii="Symbol" w:hAnsi="Symbol"/>
              </w:rPr>
              <w:t></w:t>
            </w:r>
            <w:r>
              <w:rPr/>
              <w:t>70</w:t>
            </w:r>
          </w:p>
        </w:tc>
        <w:tc>
          <w:tcPr>
            <w:tcW w:w="1123"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470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385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310</w:t>
            </w:r>
          </w:p>
        </w:tc>
        <w:tc>
          <w:tcPr>
            <w:tcW w:w="1126"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275</w:t>
            </w:r>
          </w:p>
        </w:tc>
        <w:tc>
          <w:tcPr>
            <w:tcW w:w="11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230</w:t>
            </w:r>
          </w:p>
        </w:tc>
        <w:tc>
          <w:tcPr>
            <w:tcW w:w="1148"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220</w:t>
            </w:r>
          </w:p>
        </w:tc>
      </w:tr>
      <w:tr>
        <w:trPr/>
        <w:tc>
          <w:tcPr>
            <w:tcW w:w="2584"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center"/>
              <w:rPr/>
            </w:pPr>
            <w:r>
              <w:rPr/>
              <w:t>3</w:t>
            </w:r>
            <w:r>
              <w:rPr>
                <w:rFonts w:cs="Symbol" w:ascii="Symbol" w:hAnsi="Symbol"/>
              </w:rPr>
              <w:t></w:t>
            </w:r>
            <w:r>
              <w:rPr/>
              <w:t>185 + 1</w:t>
            </w:r>
            <w:r>
              <w:rPr>
                <w:rFonts w:cs="Symbol" w:ascii="Symbol" w:hAnsi="Symbol"/>
              </w:rPr>
              <w:t></w:t>
            </w:r>
            <w:r>
              <w:rPr/>
              <w:t>70</w:t>
            </w:r>
          </w:p>
        </w:tc>
        <w:tc>
          <w:tcPr>
            <w:tcW w:w="1123"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510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430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340</w:t>
            </w:r>
          </w:p>
        </w:tc>
        <w:tc>
          <w:tcPr>
            <w:tcW w:w="1126"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300</w:t>
            </w:r>
          </w:p>
        </w:tc>
        <w:tc>
          <w:tcPr>
            <w:tcW w:w="11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c>
          <w:tcPr>
            <w:tcW w:w="1148"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240</w:t>
            </w:r>
          </w:p>
        </w:tc>
      </w:tr>
    </w:tbl>
    <w:p>
      <w:pPr>
        <w:pStyle w:val="Normal"/>
        <w:shd w:fill="FFFFFF" w:val="clear"/>
        <w:spacing w:before="120" w:after="120"/>
        <w:ind w:firstLine="283"/>
        <w:jc w:val="both"/>
        <w:rPr>
          <w:sz w:val="20"/>
          <w:szCs w:val="20"/>
        </w:rPr>
      </w:pPr>
      <w:r>
        <w:rPr/>
        <w:t>* См. примечание к табл. 7.5.9.</w:t>
      </w:r>
    </w:p>
    <w:p>
      <w:pPr>
        <w:pStyle w:val="Normal"/>
        <w:shd w:fill="FFFFFF" w:val="clear"/>
        <w:ind w:firstLine="283"/>
        <w:jc w:val="both"/>
        <w:rPr/>
      </w:pPr>
      <w:r>
        <w:rPr>
          <w:b/>
          <w:bCs/>
        </w:rPr>
        <w:t>7.5.34.</w:t>
      </w:r>
      <w:r>
        <w:rPr/>
        <w:t xml:space="preserve">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pPr>
        <w:pStyle w:val="Normal"/>
        <w:shd w:fill="FFFFFF" w:val="clear"/>
        <w:ind w:firstLine="283"/>
        <w:jc w:val="both"/>
        <w:rPr/>
      </w:pPr>
      <w:r>
        <w:rPr>
          <w:b/>
          <w:bCs/>
        </w:rPr>
        <w:t>7.5.35.</w:t>
      </w:r>
      <w:r>
        <w:rPr/>
        <w:t xml:space="preserve">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pPr>
        <w:pStyle w:val="Normal"/>
        <w:shd w:fill="FFFFFF" w:val="clear"/>
        <w:ind w:firstLine="283"/>
        <w:jc w:val="both"/>
        <w:rPr/>
      </w:pPr>
      <w:r>
        <w:rP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pPr>
        <w:pStyle w:val="Normal"/>
        <w:shd w:fill="FFFFFF" w:val="clear"/>
        <w:ind w:firstLine="283"/>
        <w:jc w:val="both"/>
        <w:rPr/>
      </w:pPr>
      <w:r>
        <w:rPr/>
        <w:t>Для сжима рекомендуется применять болты и шпильки из немагнитных хромоникелевых и медно-цинковых (латунь) сплавов.</w:t>
      </w:r>
    </w:p>
    <w:p>
      <w:pPr>
        <w:pStyle w:val="Normal"/>
        <w:shd w:fill="FFFFFF" w:val="clear"/>
        <w:ind w:firstLine="283"/>
        <w:jc w:val="both"/>
        <w:rPr/>
      </w:pPr>
      <w:r>
        <w:rP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pPr>
        <w:pStyle w:val="Normal"/>
        <w:shd w:fill="FFFFFF" w:val="clear"/>
        <w:ind w:firstLine="283"/>
        <w:jc w:val="both"/>
        <w:rPr/>
      </w:pPr>
      <w:r>
        <w:rPr/>
        <w:t xml:space="preserve">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w:t>
      </w:r>
      <w:r>
        <w:rPr>
          <w:color w:val="000000"/>
        </w:rPr>
        <w:t>7.5.11</w:t>
      </w:r>
      <w:r>
        <w:rPr/>
        <w:t>.</w:t>
      </w:r>
    </w:p>
    <w:p>
      <w:pPr>
        <w:pStyle w:val="Normal"/>
        <w:shd w:fill="FFFFFF" w:val="clear"/>
        <w:spacing w:before="120" w:after="120"/>
        <w:jc w:val="right"/>
        <w:rPr>
          <w:i/>
          <w:i/>
          <w:iCs/>
        </w:rPr>
      </w:pPr>
      <w:r>
        <w:rPr>
          <w:i/>
          <w:iCs/>
        </w:rPr>
        <w:t>Таблица 7.5.11</w:t>
      </w:r>
    </w:p>
    <w:p>
      <w:pPr>
        <w:pStyle w:val="Normal"/>
        <w:shd w:fill="FFFFFF" w:val="clear"/>
        <w:spacing w:before="0" w:after="120"/>
        <w:jc w:val="center"/>
        <w:rPr>
          <w:b/>
          <w:b/>
          <w:bCs/>
        </w:rPr>
      </w:pPr>
      <w:r>
        <w:rPr>
          <w:b/>
          <w:bCs/>
        </w:rPr>
        <w:t>Сопротивление изоляции вторичных токоподводов</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2961"/>
        <w:gridCol w:w="1594"/>
        <w:gridCol w:w="1580"/>
        <w:gridCol w:w="1579"/>
        <w:gridCol w:w="1641"/>
      </w:tblGrid>
      <w:tr>
        <w:trPr>
          <w:tblHeader w:val="true"/>
        </w:trPr>
        <w:tc>
          <w:tcPr>
            <w:tcW w:w="2961"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Мощность электропечи или электронагревательного устройства, МВ</w:t>
            </w:r>
            <w:r>
              <w:rPr>
                <w:rFonts w:cs="Symbol" w:ascii="Symbol" w:hAnsi="Symbol"/>
              </w:rPr>
              <w:t></w:t>
            </w:r>
            <w:r>
              <w:rPr/>
              <w:t>А</w:t>
            </w:r>
          </w:p>
        </w:tc>
        <w:tc>
          <w:tcPr>
            <w:tcW w:w="6394" w:type="dxa"/>
            <w:gridSpan w:val="4"/>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Наименьшее сопротивление изоляции*, кОм, в зависимости от напряжения токоподводов, кВ</w:t>
            </w:r>
          </w:p>
        </w:tc>
      </w:tr>
      <w:tr>
        <w:trPr>
          <w:tblHeader w:val="true"/>
        </w:trPr>
        <w:tc>
          <w:tcPr>
            <w:tcW w:w="2961"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594"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до 1,0</w:t>
            </w:r>
          </w:p>
        </w:tc>
        <w:tc>
          <w:tcPr>
            <w:tcW w:w="158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1,0 до 1,6</w:t>
            </w:r>
          </w:p>
        </w:tc>
        <w:tc>
          <w:tcPr>
            <w:tcW w:w="157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1,6 до 3,0</w:t>
            </w:r>
          </w:p>
        </w:tc>
        <w:tc>
          <w:tcPr>
            <w:tcW w:w="164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3,0 до 15</w:t>
            </w:r>
          </w:p>
        </w:tc>
      </w:tr>
      <w:tr>
        <w:trPr/>
        <w:tc>
          <w:tcPr>
            <w:tcW w:w="296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both"/>
              <w:rPr/>
            </w:pPr>
            <w:r>
              <w:rPr/>
              <w:t>До 5</w:t>
            </w:r>
          </w:p>
        </w:tc>
        <w:tc>
          <w:tcPr>
            <w:tcW w:w="15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w:t>
            </w:r>
          </w:p>
        </w:tc>
        <w:tc>
          <w:tcPr>
            <w:tcW w:w="15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w:t>
            </w:r>
          </w:p>
        </w:tc>
        <w:tc>
          <w:tcPr>
            <w:tcW w:w="15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c>
          <w:tcPr>
            <w:tcW w:w="164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500</w:t>
            </w:r>
          </w:p>
        </w:tc>
      </w:tr>
      <w:tr>
        <w:trPr/>
        <w:tc>
          <w:tcPr>
            <w:tcW w:w="296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both"/>
              <w:rPr/>
            </w:pPr>
            <w:r>
              <w:rPr/>
              <w:t>От 5 до 25</w:t>
            </w:r>
          </w:p>
        </w:tc>
        <w:tc>
          <w:tcPr>
            <w:tcW w:w="15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w:t>
            </w:r>
          </w:p>
        </w:tc>
        <w:tc>
          <w:tcPr>
            <w:tcW w:w="15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10</w:t>
            </w:r>
          </w:p>
        </w:tc>
        <w:tc>
          <w:tcPr>
            <w:tcW w:w="15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50</w:t>
            </w:r>
          </w:p>
        </w:tc>
        <w:tc>
          <w:tcPr>
            <w:tcW w:w="164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250</w:t>
            </w:r>
          </w:p>
        </w:tc>
      </w:tr>
      <w:tr>
        <w:trPr/>
        <w:tc>
          <w:tcPr>
            <w:tcW w:w="2961"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both"/>
              <w:rPr/>
            </w:pPr>
            <w:r>
              <w:rPr/>
              <w:t>От 25</w:t>
            </w:r>
          </w:p>
        </w:tc>
        <w:tc>
          <w:tcPr>
            <w:tcW w:w="159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w:t>
            </w:r>
          </w:p>
        </w:tc>
        <w:tc>
          <w:tcPr>
            <w:tcW w:w="158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5</w:t>
            </w:r>
          </w:p>
        </w:tc>
        <w:tc>
          <w:tcPr>
            <w:tcW w:w="157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w:t>
            </w:r>
          </w:p>
        </w:tc>
        <w:tc>
          <w:tcPr>
            <w:tcW w:w="164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r>
    </w:tbl>
    <w:p>
      <w:pPr>
        <w:pStyle w:val="Normal"/>
        <w:shd w:fill="FFFFFF" w:val="clear"/>
        <w:spacing w:before="120" w:after="120"/>
        <w:ind w:firstLine="283"/>
        <w:jc w:val="both"/>
        <w:rPr>
          <w:sz w:val="20"/>
          <w:szCs w:val="20"/>
        </w:rPr>
      </w:pPr>
      <w:r>
        <w:rPr/>
        <w:t>* Сопротивление изоляции следует измерять мегаомметром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снятых электродах и шлангах системы водяного охлаждения.</w:t>
      </w:r>
    </w:p>
    <w:p>
      <w:pPr>
        <w:pStyle w:val="Normal"/>
        <w:shd w:fill="FFFFFF" w:val="clear"/>
        <w:ind w:firstLine="283"/>
        <w:jc w:val="both"/>
        <w:rPr/>
      </w:pPr>
      <w:r>
        <w:rP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pPr>
        <w:pStyle w:val="Normal"/>
        <w:shd w:fill="FFFFFF" w:val="clear"/>
        <w:ind w:firstLine="283"/>
        <w:jc w:val="both"/>
        <w:rPr/>
      </w:pPr>
      <w:r>
        <w:rPr>
          <w:b/>
          <w:bCs/>
        </w:rPr>
        <w:t xml:space="preserve">7.5.36. </w:t>
      </w:r>
      <w:r>
        <w:rPr/>
        <w:t>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7.5.12, и определяться в зависимости от номинального значения его напряжения, рода тока и частоты.</w:t>
      </w:r>
    </w:p>
    <w:p>
      <w:pPr>
        <w:pStyle w:val="Normal"/>
        <w:shd w:fill="FFFFFF" w:val="clear"/>
        <w:spacing w:before="120" w:after="120"/>
        <w:jc w:val="right"/>
        <w:rPr>
          <w:i/>
          <w:i/>
          <w:iCs/>
        </w:rPr>
      </w:pPr>
      <w:r>
        <w:rPr>
          <w:i/>
          <w:iCs/>
        </w:rPr>
        <w:t>Таблица 7.5.12</w:t>
      </w:r>
    </w:p>
    <w:p>
      <w:pPr>
        <w:pStyle w:val="Normal"/>
        <w:shd w:fill="FFFFFF" w:val="clear"/>
        <w:spacing w:before="0" w:after="120"/>
        <w:jc w:val="center"/>
        <w:rPr/>
      </w:pPr>
      <w:r>
        <w:rPr>
          <w:b/>
          <w:bCs/>
        </w:rPr>
        <w:t>Расстояние в свету между шинами токопровода вторичного токоподвода</w:t>
      </w:r>
      <w:r>
        <w:rPr>
          <w:b/>
          <w:bCs/>
          <w:vertAlign w:val="superscript"/>
        </w:rPr>
        <w:t>1</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1685"/>
        <w:gridCol w:w="814"/>
        <w:gridCol w:w="815"/>
        <w:gridCol w:w="917"/>
        <w:gridCol w:w="1324"/>
        <w:gridCol w:w="919"/>
        <w:gridCol w:w="1430"/>
        <w:gridCol w:w="1451"/>
      </w:tblGrid>
      <w:tr>
        <w:trPr>
          <w:tblHeader w:val="true"/>
        </w:trPr>
        <w:tc>
          <w:tcPr>
            <w:tcW w:w="1685" w:type="dxa"/>
            <w:vMerge w:val="restart"/>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Помещение, в котором прокладывается токопровод</w:t>
            </w:r>
          </w:p>
        </w:tc>
        <w:tc>
          <w:tcPr>
            <w:tcW w:w="7670" w:type="dxa"/>
            <w:gridSpan w:val="7"/>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Изоляционное расстояние, мм, при токе:</w:t>
            </w:r>
          </w:p>
        </w:tc>
      </w:tr>
      <w:tr>
        <w:trPr>
          <w:tblHeader w:val="true"/>
        </w:trPr>
        <w:tc>
          <w:tcPr>
            <w:tcW w:w="168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1629" w:type="dxa"/>
            <w:gridSpan w:val="2"/>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постоянном</w:t>
            </w:r>
          </w:p>
        </w:tc>
        <w:tc>
          <w:tcPr>
            <w:tcW w:w="6041" w:type="dxa"/>
            <w:gridSpan w:val="5"/>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переменном</w:t>
            </w:r>
          </w:p>
        </w:tc>
      </w:tr>
      <w:tr>
        <w:trPr>
          <w:tblHeader w:val="true"/>
        </w:trPr>
        <w:tc>
          <w:tcPr>
            <w:tcW w:w="168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14" w:type="dxa"/>
            <w:vMerge w:val="restart"/>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до 1,6 кВ</w:t>
            </w:r>
          </w:p>
        </w:tc>
        <w:tc>
          <w:tcPr>
            <w:tcW w:w="815" w:type="dxa"/>
            <w:vMerge w:val="restart"/>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1,6 до 3 кВ</w:t>
            </w:r>
          </w:p>
        </w:tc>
        <w:tc>
          <w:tcPr>
            <w:tcW w:w="2241"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0,05 кГц</w:t>
            </w:r>
          </w:p>
        </w:tc>
        <w:tc>
          <w:tcPr>
            <w:tcW w:w="2349" w:type="dxa"/>
            <w:gridSpan w:val="2"/>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0,5-10 кГц</w:t>
            </w:r>
          </w:p>
        </w:tc>
        <w:tc>
          <w:tcPr>
            <w:tcW w:w="14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10000 Гц</w:t>
            </w:r>
          </w:p>
        </w:tc>
      </w:tr>
      <w:tr>
        <w:trPr>
          <w:tblHeader w:val="true"/>
        </w:trPr>
        <w:tc>
          <w:tcPr>
            <w:tcW w:w="1685" w:type="dxa"/>
            <w:vMerge w:val="continue"/>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14" w:type="dxa"/>
            <w:vMerge w:val="continue"/>
            <w:tcBorders>
              <w:left w:val="single" w:sz="8" w:space="0" w:color="000000"/>
              <w:bottom w:val="single" w:sz="8" w:space="0" w:color="000000"/>
              <w:insideH w:val="single" w:sz="8" w:space="0" w:color="000000"/>
            </w:tcBorders>
            <w:shd w:fill="FFFFFF" w:val="clear"/>
            <w:vAlign w:val="center"/>
          </w:tcPr>
          <w:p>
            <w:pPr>
              <w:pStyle w:val="Normal"/>
              <w:snapToGrid w:val="false"/>
              <w:rPr/>
            </w:pPr>
            <w:r>
              <w:rPr/>
            </w:r>
          </w:p>
        </w:tc>
        <w:tc>
          <w:tcPr>
            <w:tcW w:w="815" w:type="dxa"/>
            <w:vMerge w:val="continue"/>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napToGrid w:val="false"/>
              <w:rPr/>
            </w:pPr>
            <w:r>
              <w:rPr/>
            </w:r>
          </w:p>
        </w:tc>
        <w:tc>
          <w:tcPr>
            <w:tcW w:w="917" w:type="dxa"/>
            <w:tcBorders>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до 1,6 кВ</w:t>
            </w:r>
          </w:p>
        </w:tc>
        <w:tc>
          <w:tcPr>
            <w:tcW w:w="1324"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1,6 до 3 кВ</w:t>
            </w:r>
          </w:p>
        </w:tc>
        <w:tc>
          <w:tcPr>
            <w:tcW w:w="919"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до 1,6 кВ</w:t>
            </w:r>
          </w:p>
        </w:tc>
        <w:tc>
          <w:tcPr>
            <w:tcW w:w="1430" w:type="dxa"/>
            <w:tcBorders>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1,6 до 3 кВ</w:t>
            </w:r>
          </w:p>
        </w:tc>
        <w:tc>
          <w:tcPr>
            <w:tcW w:w="14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от 1,6 до 15 кВ</w:t>
            </w:r>
          </w:p>
        </w:tc>
      </w:tr>
      <w:tr>
        <w:trPr/>
        <w:tc>
          <w:tcPr>
            <w:tcW w:w="1685" w:type="dxa"/>
            <w:tcBorders>
              <w:left w:val="single" w:sz="8" w:space="0" w:color="000000"/>
            </w:tcBorders>
            <w:shd w:fill="FFFFFF" w:val="clear"/>
          </w:tcPr>
          <w:p>
            <w:pPr>
              <w:pStyle w:val="Normal"/>
              <w:shd w:fill="FFFFFF" w:val="clear"/>
              <w:overflowPunct w:val="false"/>
              <w:autoSpaceDE w:val="false"/>
              <w:jc w:val="both"/>
              <w:rPr/>
            </w:pPr>
            <w:r>
              <w:rPr/>
              <w:t>Сухое непыльное</w:t>
            </w:r>
          </w:p>
        </w:tc>
        <w:tc>
          <w:tcPr>
            <w:tcW w:w="81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12-25</w:t>
            </w:r>
          </w:p>
        </w:tc>
        <w:tc>
          <w:tcPr>
            <w:tcW w:w="815"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30-130</w:t>
            </w:r>
          </w:p>
        </w:tc>
        <w:tc>
          <w:tcPr>
            <w:tcW w:w="917"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15-20</w:t>
            </w:r>
          </w:p>
        </w:tc>
        <w:tc>
          <w:tcPr>
            <w:tcW w:w="1324"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25-30</w:t>
            </w:r>
          </w:p>
        </w:tc>
        <w:tc>
          <w:tcPr>
            <w:tcW w:w="919"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15-20</w:t>
            </w:r>
          </w:p>
        </w:tc>
        <w:tc>
          <w:tcPr>
            <w:tcW w:w="1430"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25-30</w:t>
            </w:r>
          </w:p>
        </w:tc>
        <w:tc>
          <w:tcPr>
            <w:tcW w:w="1451"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40-140</w:t>
            </w:r>
          </w:p>
        </w:tc>
      </w:tr>
      <w:tr>
        <w:trPr/>
        <w:tc>
          <w:tcPr>
            <w:tcW w:w="1685"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both"/>
              <w:rPr/>
            </w:pPr>
            <w:r>
              <w:rPr/>
              <w:t>Сухое пыльное</w:t>
            </w:r>
            <w:r>
              <w:rPr>
                <w:vertAlign w:val="superscript"/>
              </w:rPr>
              <w:t>2</w:t>
            </w:r>
          </w:p>
        </w:tc>
        <w:tc>
          <w:tcPr>
            <w:tcW w:w="81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16-30</w:t>
            </w:r>
          </w:p>
        </w:tc>
        <w:tc>
          <w:tcPr>
            <w:tcW w:w="815"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35-150</w:t>
            </w:r>
          </w:p>
        </w:tc>
        <w:tc>
          <w:tcPr>
            <w:tcW w:w="917"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20-25</w:t>
            </w:r>
          </w:p>
        </w:tc>
        <w:tc>
          <w:tcPr>
            <w:tcW w:w="1324"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30-35</w:t>
            </w:r>
          </w:p>
        </w:tc>
        <w:tc>
          <w:tcPr>
            <w:tcW w:w="919"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20-25</w:t>
            </w:r>
          </w:p>
        </w:tc>
        <w:tc>
          <w:tcPr>
            <w:tcW w:w="1430"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30-35</w:t>
            </w:r>
          </w:p>
        </w:tc>
        <w:tc>
          <w:tcPr>
            <w:tcW w:w="1451"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45-150</w:t>
            </w:r>
          </w:p>
        </w:tc>
      </w:tr>
    </w:tbl>
    <w:p>
      <w:pPr>
        <w:pStyle w:val="Normal"/>
        <w:shd w:fill="FFFFFF" w:val="clear"/>
        <w:spacing w:before="120" w:after="0"/>
        <w:ind w:firstLine="283"/>
        <w:jc w:val="both"/>
        <w:rPr>
          <w:sz w:val="20"/>
          <w:szCs w:val="20"/>
        </w:rPr>
      </w:pPr>
      <w:r>
        <w:rPr>
          <w:vertAlign w:val="superscript"/>
        </w:rPr>
        <w:t>1</w:t>
      </w:r>
      <w:r>
        <w:rPr/>
        <w:t xml:space="preserve"> При высоте шины до 250 мм; при большей высоте расстояние должно быть увеличено на 5-10 мм.</w:t>
      </w:r>
    </w:p>
    <w:p>
      <w:pPr>
        <w:pStyle w:val="Normal"/>
        <w:shd w:fill="FFFFFF" w:val="clear"/>
        <w:spacing w:before="0" w:after="120"/>
        <w:ind w:firstLine="283"/>
        <w:jc w:val="both"/>
        <w:rPr/>
      </w:pPr>
      <w:r>
        <w:rPr>
          <w:vertAlign w:val="superscript"/>
        </w:rPr>
        <w:t>2</w:t>
      </w:r>
      <w:r>
        <w:rPr/>
        <w:t xml:space="preserve"> Пыль непроводящая.</w:t>
      </w:r>
    </w:p>
    <w:p>
      <w:pPr>
        <w:pStyle w:val="Normal"/>
        <w:shd w:fill="FFFFFF" w:val="clear"/>
        <w:ind w:firstLine="283"/>
        <w:jc w:val="both"/>
        <w:rPr/>
      </w:pPr>
      <w:r>
        <w:rPr>
          <w:b/>
          <w:bCs/>
        </w:rPr>
        <w:t>7.5.37.</w:t>
      </w:r>
      <w:r>
        <w:rPr/>
        <w:t xml:space="preserve">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pPr>
        <w:pStyle w:val="Normal"/>
        <w:shd w:fill="FFFFFF" w:val="clear"/>
        <w:ind w:firstLine="283"/>
        <w:jc w:val="both"/>
        <w:rPr/>
      </w:pPr>
      <w:r>
        <w:rPr>
          <w:b/>
          <w:bCs/>
        </w:rPr>
        <w:t>7.5.38.</w:t>
      </w:r>
      <w:r>
        <w:rPr/>
        <w:t xml:space="preserve">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pPr>
        <w:pStyle w:val="Normal"/>
        <w:shd w:fill="FFFFFF" w:val="clear"/>
        <w:ind w:firstLine="283"/>
        <w:jc w:val="both"/>
        <w:rPr/>
      </w:pPr>
      <w:r>
        <w:rP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pPr>
        <w:pStyle w:val="Normal"/>
        <w:shd w:fill="FFFFFF" w:val="clear"/>
        <w:ind w:firstLine="283"/>
        <w:jc w:val="both"/>
        <w:rPr/>
      </w:pPr>
      <w:r>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pPr>
        <w:pStyle w:val="Normal"/>
        <w:shd w:fill="FFFFFF" w:val="clear"/>
        <w:spacing w:before="0" w:after="120"/>
        <w:ind w:firstLine="283"/>
        <w:jc w:val="both"/>
        <w:rPr/>
      </w:pPr>
      <w:r>
        <w:rP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W w:w="5000" w:type="pct"/>
        <w:jc w:val="center"/>
        <w:tblInd w:w="0" w:type="dxa"/>
        <w:tblBorders>
          <w:top w:val="single" w:sz="8" w:space="0" w:color="000000"/>
          <w:left w:val="single" w:sz="8" w:space="0" w:color="000000"/>
          <w:bottom w:val="single" w:sz="8" w:space="0" w:color="000000"/>
          <w:insideH w:val="single" w:sz="8" w:space="0" w:color="000000"/>
        </w:tblBorders>
        <w:tblCellMar>
          <w:top w:w="0" w:type="dxa"/>
          <w:left w:w="28" w:type="dxa"/>
          <w:bottom w:w="0" w:type="dxa"/>
          <w:right w:w="28" w:type="dxa"/>
        </w:tblCellMar>
      </w:tblPr>
      <w:tblGrid>
        <w:gridCol w:w="3913"/>
        <w:gridCol w:w="2658"/>
        <w:gridCol w:w="2784"/>
      </w:tblGrid>
      <w:tr>
        <w:trPr>
          <w:tblHeader w:val="true"/>
        </w:trPr>
        <w:tc>
          <w:tcPr>
            <w:tcW w:w="3913" w:type="dxa"/>
            <w:tcBorders>
              <w:top w:val="single" w:sz="8" w:space="0" w:color="000000"/>
              <w:left w:val="single" w:sz="8" w:space="0" w:color="000000"/>
              <w:bottom w:val="single" w:sz="8" w:space="0" w:color="000000"/>
              <w:insideH w:val="single" w:sz="8" w:space="0" w:color="000000"/>
            </w:tcBorders>
            <w:shd w:fill="FFFFFF" w:val="clear"/>
            <w:vAlign w:val="center"/>
          </w:tcPr>
          <w:p>
            <w:pPr>
              <w:pStyle w:val="Normal"/>
              <w:shd w:fill="FFFFFF" w:val="clear"/>
              <w:overflowPunct w:val="false"/>
              <w:autoSpaceDE w:val="false"/>
              <w:jc w:val="center"/>
              <w:rPr/>
            </w:pPr>
            <w:r>
              <w:rPr/>
              <w:t>Показатель</w:t>
            </w:r>
          </w:p>
        </w:tc>
        <w:tc>
          <w:tcPr>
            <w:tcW w:w="2658" w:type="dxa"/>
            <w:tcBorders>
              <w:top w:val="single" w:sz="8" w:space="0" w:color="000000"/>
              <w:left w:val="single" w:sz="8" w:space="0" w:color="000000"/>
              <w:bottom w:val="single" w:sz="8" w:space="0" w:color="000000"/>
              <w:insideH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Вода из хозяйственно-питьевого водопровода</w:t>
            </w:r>
          </w:p>
        </w:tc>
        <w:tc>
          <w:tcPr>
            <w:tcW w:w="2784"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vAlign w:val="center"/>
          </w:tcPr>
          <w:p>
            <w:pPr>
              <w:pStyle w:val="Normal"/>
              <w:shd w:fill="FFFFFF" w:val="clear"/>
              <w:overflowPunct w:val="false"/>
              <w:autoSpaceDE w:val="false"/>
              <w:jc w:val="center"/>
              <w:rPr/>
            </w:pPr>
            <w:r>
              <w:rPr/>
              <w:t>Вода из сети оборотного водоснабжения предприятия</w:t>
            </w:r>
          </w:p>
        </w:tc>
      </w:tr>
      <w:tr>
        <w:trPr/>
        <w:tc>
          <w:tcPr>
            <w:tcW w:w="3913" w:type="dxa"/>
            <w:tcBorders>
              <w:left w:val="single" w:sz="8" w:space="0" w:color="000000"/>
            </w:tcBorders>
            <w:shd w:fill="FFFFFF" w:val="clear"/>
          </w:tcPr>
          <w:p>
            <w:pPr>
              <w:pStyle w:val="Normal"/>
              <w:shd w:fill="FFFFFF" w:val="clear"/>
              <w:overflowPunct w:val="false"/>
              <w:autoSpaceDE w:val="false"/>
              <w:jc w:val="both"/>
              <w:rPr/>
            </w:pPr>
            <w:r>
              <w:rPr/>
              <w:t>Жесткость, мг</w:t>
            </w:r>
            <w:r>
              <w:rPr>
                <w:rFonts w:cs="Symbol" w:ascii="Symbol" w:hAnsi="Symbol"/>
              </w:rPr>
              <w:t></w:t>
            </w:r>
            <w:r>
              <w:rPr/>
              <w:t>экв/л, не более:</w:t>
            </w:r>
          </w:p>
        </w:tc>
        <w:tc>
          <w:tcPr>
            <w:tcW w:w="2658" w:type="dxa"/>
            <w:tcBorders>
              <w:left w:val="single" w:sz="8" w:space="0" w:color="000000"/>
            </w:tcBorders>
            <w:shd w:fill="FFFFFF" w:val="clear"/>
            <w:tcMar>
              <w:left w:w="0" w:type="dxa"/>
              <w:right w:w="0" w:type="dxa"/>
            </w:tcMar>
          </w:tcPr>
          <w:p>
            <w:pPr>
              <w:pStyle w:val="Normal"/>
              <w:snapToGrid w:val="false"/>
              <w:rPr/>
            </w:pPr>
            <w:r>
              <w:rPr/>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общая</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7</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w:t>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карбидная</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5</w:t>
            </w:r>
          </w:p>
        </w:tc>
      </w:tr>
      <w:tr>
        <w:trPr/>
        <w:tc>
          <w:tcPr>
            <w:tcW w:w="3913" w:type="dxa"/>
            <w:tcBorders>
              <w:left w:val="single" w:sz="8" w:space="0" w:color="000000"/>
            </w:tcBorders>
            <w:shd w:fill="FFFFFF" w:val="clear"/>
          </w:tcPr>
          <w:p>
            <w:pPr>
              <w:pStyle w:val="Normal"/>
              <w:shd w:fill="FFFFFF" w:val="clear"/>
              <w:overflowPunct w:val="false"/>
              <w:autoSpaceDE w:val="false"/>
              <w:jc w:val="both"/>
              <w:rPr/>
            </w:pPr>
            <w:r>
              <w:rPr/>
              <w:t>Содержание, мг/л, не более:</w:t>
            </w:r>
          </w:p>
        </w:tc>
        <w:tc>
          <w:tcPr>
            <w:tcW w:w="2658" w:type="dxa"/>
            <w:tcBorders>
              <w:left w:val="single" w:sz="8" w:space="0" w:color="000000"/>
            </w:tcBorders>
            <w:shd w:fill="FFFFFF" w:val="clear"/>
            <w:tcMar>
              <w:left w:w="0" w:type="dxa"/>
              <w:right w:w="0" w:type="dxa"/>
            </w:tcMar>
          </w:tcPr>
          <w:p>
            <w:pPr>
              <w:pStyle w:val="Normal"/>
              <w:snapToGrid w:val="false"/>
              <w:rPr/>
            </w:pPr>
            <w:r>
              <w:rPr/>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napToGrid w:val="false"/>
              <w:rPr/>
            </w:pPr>
            <w:r>
              <w:rPr/>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взвешенных веществ (мутность)</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3</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100</w:t>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активного хлора</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0,5</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Нет</w:t>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железа</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0,3</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1,5</w:t>
            </w:r>
          </w:p>
        </w:tc>
      </w:tr>
      <w:tr>
        <w:trPr/>
        <w:tc>
          <w:tcPr>
            <w:tcW w:w="3913" w:type="dxa"/>
            <w:tcBorders>
              <w:left w:val="single" w:sz="8" w:space="0" w:color="000000"/>
            </w:tcBorders>
            <w:shd w:fill="FFFFFF" w:val="clear"/>
          </w:tcPr>
          <w:p>
            <w:pPr>
              <w:pStyle w:val="Normal"/>
              <w:shd w:fill="FFFFFF" w:val="clear"/>
              <w:overflowPunct w:val="false"/>
              <w:autoSpaceDE w:val="false"/>
              <w:ind w:left="300" w:hanging="0"/>
              <w:jc w:val="both"/>
              <w:rPr/>
            </w:pPr>
            <w:r>
              <w:rPr/>
              <w:t>рН</w:t>
            </w:r>
          </w:p>
        </w:tc>
        <w:tc>
          <w:tcPr>
            <w:tcW w:w="2658" w:type="dxa"/>
            <w:tcBorders>
              <w:left w:val="single" w:sz="8" w:space="0" w:color="000000"/>
            </w:tcBorders>
            <w:shd w:fill="FFFFFF" w:val="clear"/>
            <w:tcMar>
              <w:left w:w="0" w:type="dxa"/>
              <w:right w:w="0" w:type="dxa"/>
            </w:tcMar>
          </w:tcPr>
          <w:p>
            <w:pPr>
              <w:pStyle w:val="Normal"/>
              <w:shd w:fill="FFFFFF" w:val="clear"/>
              <w:overflowPunct w:val="false"/>
              <w:autoSpaceDE w:val="false"/>
              <w:jc w:val="center"/>
              <w:rPr/>
            </w:pPr>
            <w:r>
              <w:rPr/>
              <w:t>6,5-9,5</w:t>
            </w:r>
          </w:p>
        </w:tc>
        <w:tc>
          <w:tcPr>
            <w:tcW w:w="2784" w:type="dxa"/>
            <w:tcBorders>
              <w:left w:val="single" w:sz="8" w:space="0" w:color="000000"/>
              <w:right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7-8</w:t>
            </w:r>
          </w:p>
        </w:tc>
      </w:tr>
      <w:tr>
        <w:trPr/>
        <w:tc>
          <w:tcPr>
            <w:tcW w:w="3913" w:type="dxa"/>
            <w:tcBorders>
              <w:left w:val="single" w:sz="8" w:space="0" w:color="000000"/>
              <w:bottom w:val="single" w:sz="8" w:space="0" w:color="000000"/>
              <w:insideH w:val="single" w:sz="8" w:space="0" w:color="000000"/>
            </w:tcBorders>
            <w:shd w:fill="FFFFFF" w:val="clear"/>
          </w:tcPr>
          <w:p>
            <w:pPr>
              <w:pStyle w:val="Normal"/>
              <w:shd w:fill="FFFFFF" w:val="clear"/>
              <w:overflowPunct w:val="false"/>
              <w:autoSpaceDE w:val="false"/>
              <w:jc w:val="both"/>
              <w:rPr/>
            </w:pPr>
            <w:r>
              <w:rPr>
                <w:i/>
                <w:iCs/>
              </w:rPr>
              <w:t>t</w:t>
            </w:r>
            <w:r>
              <w:rPr/>
              <w:t>, °C, не более</w:t>
            </w:r>
          </w:p>
        </w:tc>
        <w:tc>
          <w:tcPr>
            <w:tcW w:w="2658" w:type="dxa"/>
            <w:tcBorders>
              <w:left w:val="single" w:sz="8" w:space="0" w:color="000000"/>
              <w:bottom w:val="single" w:sz="8" w:space="0" w:color="000000"/>
              <w:insideH w:val="single" w:sz="8" w:space="0" w:color="000000"/>
            </w:tcBorders>
            <w:shd w:fill="FFFFFF" w:val="clear"/>
            <w:tcMar>
              <w:left w:w="0" w:type="dxa"/>
              <w:right w:w="0" w:type="dxa"/>
            </w:tcMar>
          </w:tcPr>
          <w:p>
            <w:pPr>
              <w:pStyle w:val="Normal"/>
              <w:shd w:fill="FFFFFF" w:val="clear"/>
              <w:overflowPunct w:val="false"/>
              <w:autoSpaceDE w:val="false"/>
              <w:jc w:val="center"/>
              <w:rPr/>
            </w:pPr>
            <w:r>
              <w:rPr/>
              <w:t>25</w:t>
            </w:r>
          </w:p>
        </w:tc>
        <w:tc>
          <w:tcPr>
            <w:tcW w:w="2784" w:type="dxa"/>
            <w:tcBorders>
              <w:left w:val="single" w:sz="8" w:space="0" w:color="000000"/>
              <w:bottom w:val="single" w:sz="8" w:space="0" w:color="000000"/>
              <w:right w:val="single" w:sz="8" w:space="0" w:color="000000"/>
              <w:insideH w:val="single" w:sz="8" w:space="0" w:color="000000"/>
              <w:insideV w:val="single" w:sz="8" w:space="0" w:color="000000"/>
            </w:tcBorders>
            <w:shd w:fill="FFFFFF" w:val="clear"/>
            <w:tcMar>
              <w:left w:w="0" w:type="dxa"/>
              <w:right w:w="0" w:type="dxa"/>
            </w:tcMar>
          </w:tcPr>
          <w:p>
            <w:pPr>
              <w:pStyle w:val="Normal"/>
              <w:shd w:fill="FFFFFF" w:val="clear"/>
              <w:overflowPunct w:val="false"/>
              <w:autoSpaceDE w:val="false"/>
              <w:jc w:val="center"/>
              <w:rPr/>
            </w:pPr>
            <w:r>
              <w:rPr/>
              <w:t>30</w:t>
            </w:r>
          </w:p>
        </w:tc>
      </w:tr>
    </w:tbl>
    <w:p>
      <w:pPr>
        <w:pStyle w:val="Normal"/>
        <w:shd w:fill="FFFFFF" w:val="clear"/>
        <w:spacing w:before="120" w:after="0"/>
        <w:ind w:firstLine="283"/>
        <w:jc w:val="both"/>
        <w:rPr>
          <w:sz w:val="20"/>
          <w:szCs w:val="20"/>
        </w:rPr>
      </w:pPr>
      <w:r>
        <w:rPr/>
        <w:t>Рекомендуется предусматривать повторное использование охлаждающей воды на другие технологические нужды с устройством водосбора и перекачки.</w:t>
      </w:r>
    </w:p>
    <w:p>
      <w:pPr>
        <w:pStyle w:val="Normal"/>
        <w:shd w:fill="FFFFFF" w:val="clear"/>
        <w:ind w:firstLine="283"/>
        <w:jc w:val="both"/>
        <w:rPr/>
      </w:pPr>
      <w:r>
        <w:rP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pPr>
        <w:pStyle w:val="Normal"/>
        <w:shd w:fill="FFFFFF" w:val="clear"/>
        <w:ind w:firstLine="283"/>
        <w:jc w:val="both"/>
        <w:rPr/>
      </w:pPr>
      <w:r>
        <w:rP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pPr>
        <w:pStyle w:val="Normal"/>
        <w:shd w:fill="FFFFFF" w:val="clear"/>
        <w:ind w:firstLine="283"/>
        <w:jc w:val="both"/>
        <w:rPr/>
      </w:pPr>
      <w:r>
        <w:rP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pPr>
        <w:pStyle w:val="Normal"/>
        <w:shd w:fill="FFFFFF" w:val="clear"/>
        <w:ind w:firstLine="283"/>
        <w:jc w:val="both"/>
        <w:rPr/>
      </w:pPr>
      <w:r>
        <w:rPr>
          <w:b/>
          <w:bCs/>
        </w:rPr>
        <w:t>7.5.39.</w:t>
      </w:r>
      <w:r>
        <w:rPr/>
        <w:t xml:space="preserve">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 прикосновение к ним персонала при включенной установке.</w:t>
      </w:r>
    </w:p>
    <w:p>
      <w:pPr>
        <w:pStyle w:val="Normal"/>
        <w:shd w:fill="FFFFFF" w:val="clear"/>
        <w:ind w:firstLine="283"/>
        <w:jc w:val="both"/>
        <w:rPr/>
      </w:pPr>
      <w:r>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1,5 м для шлангов с внутренним диаметром до 25 мм и 2,5 м - для шлангов с диаметром более 25 мм; при номинальном напряжении выше 1,6 кВ - 2,5 и 4 м соответственно. Длина шлангов не нормируется, если между шлангом и сточной трубой имеется разрыв и струя воды свободно падает в воронку.</w:t>
      </w:r>
    </w:p>
    <w:p>
      <w:pPr>
        <w:pStyle w:val="Normal"/>
        <w:shd w:fill="FFFFFF" w:val="clear"/>
        <w:ind w:firstLine="283"/>
        <w:jc w:val="both"/>
        <w:rPr/>
      </w:pPr>
      <w:r>
        <w:rPr>
          <w:b/>
          <w:bCs/>
        </w:rPr>
        <w:t>7.5.40.</w:t>
      </w:r>
      <w:r>
        <w:rPr/>
        <w:t xml:space="preserve"> ЭТУ,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pPr>
        <w:pStyle w:val="Normal"/>
        <w:shd w:fill="FFFFFF" w:val="clear"/>
        <w:ind w:firstLine="283"/>
        <w:jc w:val="both"/>
        <w:rPr/>
      </w:pPr>
      <w:r>
        <w:rPr>
          <w:b/>
          <w:bCs/>
        </w:rPr>
        <w:t>7.5.41.</w:t>
      </w:r>
      <w:r>
        <w:rPr/>
        <w:t xml:space="preserve"> Насосно-аккумуляторные и маслонапорные установки систем гидропривода электротермического оборудования, содержащие 60 кг масла или более, должны располагаться в помещениях, в которых обеспечивается аварийное удаление масла и выполнение требований </w:t>
      </w:r>
      <w:r>
        <w:rPr>
          <w:b/>
          <w:bCs/>
        </w:rPr>
        <w:t>7.5.17-7.5.22</w:t>
      </w:r>
      <w:r>
        <w:rPr/>
        <w:t>.</w:t>
      </w:r>
    </w:p>
    <w:p>
      <w:pPr>
        <w:pStyle w:val="Normal"/>
        <w:shd w:fill="FFFFFF" w:val="clear"/>
        <w:ind w:firstLine="283"/>
        <w:jc w:val="both"/>
        <w:rPr/>
      </w:pPr>
      <w:r>
        <w:rPr>
          <w:b/>
          <w:bCs/>
        </w:rPr>
        <w:t>7.5.42.</w:t>
      </w:r>
      <w:r>
        <w:rPr/>
        <w:t xml:space="preserve">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pPr>
        <w:pStyle w:val="Normal"/>
        <w:shd w:fill="FFFFFF" w:val="clear"/>
        <w:ind w:firstLine="283"/>
        <w:jc w:val="both"/>
        <w:rPr/>
      </w:pPr>
      <w:r>
        <w:rPr>
          <w:b/>
          <w:bCs/>
        </w:rPr>
        <w:t>7.5.43.</w:t>
      </w:r>
      <w:r>
        <w:rPr/>
        <w:t xml:space="preserve"> Газы из выхлопа вакуум-насосов предварительного разрежения, как правило, должны удаляться наружу, выпускать 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ГОСТ 12.1.005-88).</w:t>
      </w:r>
    </w:p>
    <w:p>
      <w:pPr>
        <w:pStyle w:val="Heading3"/>
        <w:rPr/>
      </w:pPr>
      <w:r>
        <w:rPr/>
        <w:t>Установки дуговых печей прямого, косвенного действия и дуговых печей сопротивления</w:t>
      </w:r>
    </w:p>
    <w:p>
      <w:pPr>
        <w:pStyle w:val="Normal"/>
        <w:shd w:fill="FFFFFF" w:val="clear"/>
        <w:ind w:firstLine="283"/>
        <w:jc w:val="both"/>
        <w:rPr/>
      </w:pPr>
      <w:r>
        <w:rPr>
          <w:b/>
          <w:bCs/>
        </w:rPr>
        <w:t>7.5.44.</w:t>
      </w:r>
      <w:r>
        <w:rPr/>
        <w:t xml:space="preserve">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ГОСТ 13109-97 значений показателей качества электроэнергии в питающей электрической сети общего назначения, к которой эти установки будут присоединены.</w:t>
      </w:r>
    </w:p>
    <w:p>
      <w:pPr>
        <w:pStyle w:val="Normal"/>
        <w:shd w:fill="FFFFFF" w:val="clear"/>
        <w:ind w:firstLine="283"/>
        <w:jc w:val="both"/>
        <w:rPr/>
      </w:pPr>
      <w:r>
        <w:rPr/>
        <w:t>С целью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pPr>
        <w:pStyle w:val="Normal"/>
        <w:shd w:fill="FFFFFF" w:val="clear"/>
        <w:ind w:firstLine="283"/>
        <w:jc w:val="both"/>
        <w:rPr/>
      </w:pPr>
      <w:r>
        <w:rP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условие:</w:t>
      </w:r>
    </w:p>
    <w:p>
      <w:pPr>
        <w:pStyle w:val="Normal"/>
        <w:shd w:fill="FFFFFF" w:val="clear"/>
        <w:spacing w:before="120" w:after="120"/>
        <w:jc w:val="center"/>
        <w:rPr/>
      </w:pPr>
      <w:r>
        <w:rPr>
          <w:vertAlign w:val="subscript"/>
        </w:rPr>
        <w:drawing>
          <wp:inline distT="0" distB="0" distL="0" distR="0">
            <wp:extent cx="523875" cy="476250"/>
            <wp:effectExtent l="0" t="0" r="0" b="0"/>
            <wp:docPr id="106" name="image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098" descr=""/>
                    <pic:cNvPicPr>
                      <a:picLocks noChangeAspect="1" noChangeArrowheads="1"/>
                    </pic:cNvPicPr>
                  </pic:nvPicPr>
                  <pic:blipFill>
                    <a:blip r:embed="rId118"/>
                    <a:srcRect l="-68" t="-75" r="-68" b="-75"/>
                    <a:stretch>
                      <a:fillRect/>
                    </a:stretch>
                  </pic:blipFill>
                  <pic:spPr bwMode="auto">
                    <a:xfrm>
                      <a:off x="0" y="0"/>
                      <a:ext cx="523875" cy="476250"/>
                    </a:xfrm>
                    <a:prstGeom prst="rect">
                      <a:avLst/>
                    </a:prstGeom>
                  </pic:spPr>
                </pic:pic>
              </a:graphicData>
            </a:graphic>
          </wp:inline>
        </w:drawing>
      </w:r>
      <w:r>
        <w:rPr/>
        <w:t>/</w:t>
      </w:r>
      <w:r>
        <w:rPr>
          <w:i/>
          <w:iCs/>
        </w:rPr>
        <w:t>S</w:t>
      </w:r>
      <w:r>
        <w:rPr>
          <w:i/>
          <w:iCs/>
          <w:vertAlign w:val="subscript"/>
        </w:rPr>
        <w:t>k</w:t>
      </w:r>
      <w:r>
        <w:rPr/>
        <w:t xml:space="preserve"> </w:t>
      </w:r>
      <w:r>
        <w:rPr>
          <w:rFonts w:cs="Symbol" w:ascii="Symbol" w:hAnsi="Symbol"/>
        </w:rPr>
        <w:t></w:t>
      </w:r>
      <w:r>
        <w:rPr/>
        <w:t xml:space="preserve"> 0,01</w:t>
      </w:r>
      <w:r>
        <w:rPr>
          <w:i/>
          <w:iCs/>
        </w:rPr>
        <w:t>D</w:t>
      </w:r>
      <w:r>
        <w:rPr/>
        <w:t>,</w:t>
      </w:r>
    </w:p>
    <w:p>
      <w:pPr>
        <w:pStyle w:val="Normal"/>
        <w:shd w:fill="FFFFFF" w:val="clear"/>
        <w:ind w:left="1100" w:hanging="1100"/>
        <w:jc w:val="both"/>
        <w:rPr/>
      </w:pPr>
      <w:r>
        <w:rPr/>
        <w:t xml:space="preserve">где </w:t>
      </w:r>
      <w:r>
        <w:rPr>
          <w:i/>
          <w:iCs/>
        </w:rPr>
        <w:t>S</w:t>
      </w:r>
      <w:r>
        <w:rPr>
          <w:i/>
          <w:iCs/>
          <w:vertAlign w:val="subscript"/>
        </w:rPr>
        <w:t>Ti</w:t>
      </w:r>
      <w:r>
        <w:rPr/>
        <w:t xml:space="preserve"> - номинальная мощность печного понижающего или преобразовательного трансформатора, МВ</w:t>
      </w:r>
      <w:r>
        <w:rPr>
          <w:rFonts w:cs="Symbol" w:ascii="Symbol" w:hAnsi="Symbol"/>
        </w:rPr>
        <w:t></w:t>
      </w:r>
      <w:r>
        <w:rPr/>
        <w:t>А;</w:t>
      </w:r>
    </w:p>
    <w:p>
      <w:pPr>
        <w:pStyle w:val="Normal"/>
        <w:shd w:fill="FFFFFF" w:val="clear"/>
        <w:ind w:left="284" w:hanging="0"/>
        <w:jc w:val="both"/>
        <w:rPr/>
      </w:pPr>
      <w:r>
        <w:rPr>
          <w:i/>
          <w:iCs/>
        </w:rPr>
        <w:t>S</w:t>
      </w:r>
      <w:r>
        <w:rPr>
          <w:i/>
          <w:iCs/>
          <w:vertAlign w:val="subscript"/>
        </w:rPr>
        <w:t>k</w:t>
      </w:r>
      <w:r>
        <w:rPr>
          <w:i/>
          <w:iCs/>
        </w:rPr>
        <w:t xml:space="preserve"> </w:t>
      </w:r>
      <w:r>
        <w:rPr/>
        <w:t>-</w:t>
      </w:r>
      <w:r>
        <w:rPr>
          <w:i/>
          <w:iCs/>
        </w:rPr>
        <w:t xml:space="preserve"> </w:t>
      </w:r>
      <w:r>
        <w:rPr/>
        <w:t>мощность КЗ в месте присоединения установки дуговых печей к электрическим сетям общего назначения, МВ</w:t>
      </w:r>
      <w:r>
        <w:rPr>
          <w:rFonts w:cs="Symbol" w:ascii="Symbol" w:hAnsi="Symbol"/>
        </w:rPr>
        <w:t></w:t>
      </w:r>
      <w:r>
        <w:rPr/>
        <w:t>А;</w:t>
      </w:r>
    </w:p>
    <w:p>
      <w:pPr>
        <w:pStyle w:val="Normal"/>
        <w:shd w:fill="FFFFFF" w:val="clear"/>
        <w:ind w:firstLine="284"/>
        <w:jc w:val="both"/>
        <w:rPr/>
      </w:pPr>
      <w:r>
        <w:rPr>
          <w:i/>
          <w:iCs/>
        </w:rPr>
        <w:t xml:space="preserve">п </w:t>
      </w:r>
      <w:r>
        <w:rPr/>
        <w:t>-</w:t>
      </w:r>
      <w:r>
        <w:rPr>
          <w:i/>
          <w:iCs/>
        </w:rPr>
        <w:t xml:space="preserve"> </w:t>
      </w:r>
      <w:r>
        <w:rPr/>
        <w:t>число присоединяемых установок дуговых печей;</w:t>
      </w:r>
    </w:p>
    <w:p>
      <w:pPr>
        <w:pStyle w:val="Normal"/>
        <w:shd w:fill="FFFFFF" w:val="clear"/>
        <w:ind w:left="284" w:hanging="0"/>
        <w:jc w:val="both"/>
        <w:rPr/>
      </w:pPr>
      <w:r>
        <w:rPr>
          <w:i/>
          <w:iCs/>
        </w:rPr>
        <w:t xml:space="preserve">D </w:t>
      </w:r>
      <w:r>
        <w:rPr/>
        <w:t>-</w:t>
      </w:r>
      <w:r>
        <w:rPr>
          <w:i/>
          <w:iCs/>
        </w:rPr>
        <w:t xml:space="preserve"> </w:t>
      </w:r>
      <w:r>
        <w:rPr/>
        <w:t>коэффициент при установках дуговых сталеплавильных печей: переменного тока (ДСП), равный 1, а постоянного тока (ДСППТ) - 2.</w:t>
      </w:r>
    </w:p>
    <w:p>
      <w:pPr>
        <w:pStyle w:val="TextBodyIndent"/>
        <w:rPr/>
      </w:pPr>
      <w:r>
        <w:rP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pPr>
        <w:pStyle w:val="Normal"/>
        <w:shd w:fill="FFFFFF" w:val="clear"/>
        <w:ind w:firstLine="283"/>
        <w:jc w:val="both"/>
        <w:rPr/>
      </w:pPr>
      <w:r>
        <w:rP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pPr>
        <w:pStyle w:val="Normal"/>
        <w:shd w:fill="FFFFFF" w:val="clear"/>
        <w:ind w:firstLine="283"/>
        <w:jc w:val="both"/>
        <w:rPr/>
      </w:pPr>
      <w:r>
        <w:rPr>
          <w:b/>
          <w:bCs/>
        </w:rPr>
        <w:t>7.5.45.</w:t>
      </w:r>
      <w:r>
        <w:rPr/>
        <w:t xml:space="preserve">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pPr>
        <w:pStyle w:val="Normal"/>
        <w:shd w:fill="FFFFFF" w:val="clear"/>
        <w:ind w:firstLine="283"/>
        <w:jc w:val="both"/>
        <w:rPr/>
      </w:pPr>
      <w:r>
        <w:rPr>
          <w:b/>
          <w:bCs/>
        </w:rPr>
        <w:t>7.5.46.</w:t>
      </w:r>
      <w:r>
        <w:rPr/>
        <w:t xml:space="preserve"> Для печных трансформаторов (трансформаторных агрегатов) установок дуговых печей должны быть предусмотрены:</w:t>
      </w:r>
    </w:p>
    <w:p>
      <w:pPr>
        <w:pStyle w:val="Normal"/>
        <w:shd w:fill="FFFFFF" w:val="clear"/>
        <w:ind w:firstLine="283"/>
        <w:jc w:val="both"/>
        <w:rPr/>
      </w:pPr>
      <w:r>
        <w:rP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pPr>
        <w:pStyle w:val="Normal"/>
        <w:shd w:fill="FFFFFF" w:val="clear"/>
        <w:ind w:firstLine="283"/>
        <w:jc w:val="both"/>
        <w:rPr/>
      </w:pPr>
      <w:r>
        <w:rPr/>
        <w:t>2) газовая защита от повреждения внутри бака, сопровождающегося выделением газа, и от понижения уровня масла в баке;</w:t>
      </w:r>
    </w:p>
    <w:p>
      <w:pPr>
        <w:pStyle w:val="Normal"/>
        <w:shd w:fill="FFFFFF" w:val="clear"/>
        <w:ind w:firstLine="283"/>
        <w:jc w:val="both"/>
        <w:rPr/>
      </w:pPr>
      <w:r>
        <w:rPr/>
        <w:t>3) 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pPr>
        <w:pStyle w:val="Normal"/>
        <w:shd w:fill="FFFFFF" w:val="clear"/>
        <w:ind w:firstLine="283"/>
        <w:jc w:val="both"/>
        <w:rPr/>
      </w:pPr>
      <w:r>
        <w:rPr/>
        <w:t>4) защита от перегрузок для установок всех видов дуговых печей. 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pPr>
        <w:pStyle w:val="Normal"/>
        <w:shd w:fill="FFFFFF" w:val="clear"/>
        <w:ind w:firstLine="283"/>
        <w:jc w:val="both"/>
        <w:rPr/>
      </w:pPr>
      <w:r>
        <w:rP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регулятора;</w:t>
      </w:r>
    </w:p>
    <w:p>
      <w:pPr>
        <w:pStyle w:val="Normal"/>
        <w:shd w:fill="FFFFFF" w:val="clear"/>
        <w:ind w:firstLine="283"/>
        <w:jc w:val="both"/>
        <w:rPr/>
      </w:pPr>
      <w:r>
        <w:rP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pPr>
        <w:pStyle w:val="Normal"/>
        <w:shd w:fill="FFFFFF" w:val="clear"/>
        <w:ind w:firstLine="283"/>
        <w:jc w:val="both"/>
        <w:rPr/>
      </w:pPr>
      <w:r>
        <w:rP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pPr>
        <w:pStyle w:val="Normal"/>
        <w:shd w:fill="FFFFFF" w:val="clear"/>
        <w:ind w:firstLine="283"/>
        <w:jc w:val="both"/>
        <w:rPr/>
      </w:pPr>
      <w:r>
        <w:rPr>
          <w:b/>
          <w:bCs/>
        </w:rPr>
        <w:t>7.5.47.</w:t>
      </w:r>
      <w:r>
        <w:rPr/>
        <w:t xml:space="preserve"> Установки дуговых печей, как правило,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pPr>
        <w:pStyle w:val="Normal"/>
        <w:shd w:fill="FFFFFF" w:val="clear"/>
        <w:ind w:firstLine="283"/>
        <w:jc w:val="both"/>
        <w:rPr/>
      </w:pPr>
      <w:r>
        <w:rPr/>
        <w:t>Амперметры должны иметь соответствующие перегрузочные шкалы.</w:t>
      </w:r>
    </w:p>
    <w:p>
      <w:pPr>
        <w:pStyle w:val="Normal"/>
        <w:shd w:fill="FFFFFF" w:val="clear"/>
        <w:ind w:firstLine="283"/>
        <w:jc w:val="both"/>
        <w:rPr/>
      </w:pPr>
      <w:r>
        <w:rP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pPr>
        <w:pStyle w:val="Normal"/>
        <w:shd w:fill="FFFFFF" w:val="clear"/>
        <w:ind w:firstLine="283"/>
        <w:jc w:val="both"/>
        <w:rPr/>
      </w:pPr>
      <w:r>
        <w:rPr>
          <w:b/>
          <w:bCs/>
        </w:rPr>
        <w:t>7.5.48.</w:t>
      </w:r>
      <w:r>
        <w:rPr/>
        <w:t xml:space="preserve">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 или для размещения пультового помещения (с надежной гидроизоляцией) без постоянного пребывания людей.</w:t>
      </w:r>
    </w:p>
    <w:p>
      <w:pPr>
        <w:pStyle w:val="Normal"/>
        <w:shd w:fill="FFFFFF" w:val="clear"/>
        <w:ind w:firstLine="283"/>
        <w:jc w:val="both"/>
        <w:rPr/>
      </w:pPr>
      <w:r>
        <w:rPr>
          <w:b/>
          <w:bCs/>
        </w:rPr>
        <w:t>7.5.49.</w:t>
      </w:r>
      <w:r>
        <w:rPr/>
        <w:t xml:space="preserve">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w:t>
      </w:r>
      <w:r>
        <w:rPr>
          <w:b/>
          <w:bCs/>
        </w:rPr>
        <w:t>7.5.40</w:t>
      </w:r>
      <w:r>
        <w:rPr/>
        <w:t>) следует предусматривать установку между электродами постоянных разделительных изолирующих щитов.</w:t>
      </w:r>
    </w:p>
    <w:p>
      <w:pPr>
        <w:pStyle w:val="Heading3"/>
        <w:rPr/>
      </w:pPr>
      <w:r>
        <w:rPr/>
        <w:t>Установки индукционного и диэлектрического нагрева</w:t>
      </w:r>
    </w:p>
    <w:p>
      <w:pPr>
        <w:pStyle w:val="Normal"/>
        <w:shd w:fill="FFFFFF" w:val="clear"/>
        <w:ind w:firstLine="283"/>
        <w:jc w:val="both"/>
        <w:rPr/>
      </w:pPr>
      <w:r>
        <w:rPr>
          <w:b/>
          <w:bCs/>
        </w:rPr>
        <w:t>7.5.50.</w:t>
      </w:r>
      <w:r>
        <w:rPr/>
        <w:t xml:space="preserve"> Оборудование установок индукционных и диэлектрического нагрева с трансформаторами,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w:t>
      </w:r>
      <w:r>
        <w:rPr>
          <w:b/>
          <w:bCs/>
        </w:rPr>
        <w:t>7.5.22</w:t>
      </w:r>
      <w:r>
        <w:rPr/>
        <w:t xml:space="preserve"> для внутрицеховых печных (в том числе преобразовательных) подстанций при количестве масла в них менее 10 т.</w:t>
      </w:r>
    </w:p>
    <w:p>
      <w:pPr>
        <w:pStyle w:val="Normal"/>
        <w:shd w:fill="FFFFFF" w:val="clear"/>
        <w:ind w:firstLine="283"/>
        <w:jc w:val="both"/>
        <w:rPr/>
      </w:pPr>
      <w:r>
        <w:rPr>
          <w:b/>
          <w:bCs/>
        </w:rPr>
        <w:t>7.5.51.</w:t>
      </w:r>
      <w:r>
        <w:rPr/>
        <w:t xml:space="preserve">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pPr>
        <w:pStyle w:val="Normal"/>
        <w:shd w:fill="FFFFFF" w:val="clear"/>
        <w:ind w:firstLine="283"/>
        <w:jc w:val="both"/>
        <w:rPr/>
      </w:pPr>
      <w:r>
        <w:rPr>
          <w:b/>
          <w:bCs/>
        </w:rPr>
        <w:t>7.5.52.</w:t>
      </w:r>
      <w:r>
        <w:rPr/>
        <w:t xml:space="preserve">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pPr>
        <w:pStyle w:val="Normal"/>
        <w:shd w:fill="FFFFFF" w:val="clear"/>
        <w:ind w:firstLine="283"/>
        <w:jc w:val="both"/>
        <w:rPr/>
      </w:pPr>
      <w:r>
        <w:rPr>
          <w:b/>
          <w:bCs/>
        </w:rPr>
        <w:t>7.5.53.</w:t>
      </w:r>
      <w:r>
        <w:rPr/>
        <w:t xml:space="preserve"> Для цепей повышенно-средней частоты, как указано в </w:t>
      </w:r>
      <w:r>
        <w:rPr>
          <w:b/>
          <w:bCs/>
        </w:rPr>
        <w:t>7.5.33</w:t>
      </w:r>
      <w:r>
        <w:rPr/>
        <w:t>,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проводов в стальных трубах для цепей частотой более 10 кГц не допускается.</w:t>
      </w:r>
    </w:p>
    <w:p>
      <w:pPr>
        <w:pStyle w:val="Normal"/>
        <w:shd w:fill="FFFFFF" w:val="clear"/>
        <w:ind w:firstLine="283"/>
        <w:jc w:val="both"/>
        <w:rPr/>
      </w:pPr>
      <w:r>
        <w:rP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pPr>
        <w:pStyle w:val="Normal"/>
        <w:shd w:fill="FFFFFF" w:val="clear"/>
        <w:ind w:firstLine="283"/>
        <w:jc w:val="both"/>
        <w:rPr/>
      </w:pPr>
      <w:r>
        <w:rPr>
          <w:b/>
          <w:bCs/>
        </w:rPr>
        <w:t>7.5.54.</w:t>
      </w:r>
      <w:r>
        <w:rPr/>
        <w:t xml:space="preserve"> 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электрической защиты с действием на сигнал или отключение.</w:t>
      </w:r>
    </w:p>
    <w:p>
      <w:pPr>
        <w:pStyle w:val="Normal"/>
        <w:shd w:fill="FFFFFF" w:val="clear"/>
        <w:ind w:firstLine="283"/>
        <w:jc w:val="both"/>
        <w:rPr/>
      </w:pPr>
      <w:r>
        <w:rPr>
          <w:b/>
          <w:bCs/>
        </w:rPr>
        <w:t>7.5.55.</w:t>
      </w:r>
      <w:r>
        <w:rPr/>
        <w:t xml:space="preserve"> Двигатель-генераторы установок частотой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pPr>
        <w:pStyle w:val="Normal"/>
        <w:shd w:fill="FFFFFF" w:val="clear"/>
        <w:ind w:firstLine="283"/>
        <w:jc w:val="both"/>
        <w:rPr/>
      </w:pPr>
      <w:r>
        <w:rP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pPr>
        <w:pStyle w:val="Normal"/>
        <w:shd w:fill="FFFFFF" w:val="clear"/>
        <w:ind w:firstLine="283"/>
        <w:jc w:val="both"/>
        <w:rPr/>
      </w:pPr>
      <w:r>
        <w:rPr>
          <w:b/>
          <w:bCs/>
        </w:rPr>
        <w:t>7.5.56.</w:t>
      </w:r>
      <w:r>
        <w:rPr/>
        <w:t xml:space="preserve">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pPr>
        <w:pStyle w:val="Normal"/>
        <w:shd w:fill="FFFFFF" w:val="clear"/>
        <w:ind w:firstLine="283"/>
        <w:jc w:val="both"/>
        <w:rPr/>
      </w:pPr>
      <w:r>
        <w:rPr>
          <w:b/>
          <w:bCs/>
        </w:rPr>
        <w:t>7.5.57.</w:t>
      </w:r>
      <w:r>
        <w:rPr/>
        <w:t xml:space="preserve">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pPr>
        <w:pStyle w:val="Normal"/>
        <w:shd w:fill="FFFFFF" w:val="clear"/>
        <w:ind w:firstLine="283"/>
        <w:jc w:val="both"/>
        <w:rPr/>
      </w:pPr>
      <w:r>
        <w:rPr>
          <w:b/>
          <w:bCs/>
        </w:rPr>
        <w:t>7.5.58.</w:t>
      </w:r>
      <w:r>
        <w:rPr/>
        <w:t xml:space="preserve">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pPr>
        <w:pStyle w:val="Normal"/>
        <w:shd w:fill="FFFFFF" w:val="clear"/>
        <w:ind w:firstLine="283"/>
        <w:jc w:val="both"/>
        <w:rPr/>
      </w:pPr>
      <w:r>
        <w:rPr>
          <w:b/>
          <w:bCs/>
        </w:rPr>
        <w:t>7.5.59.</w:t>
      </w:r>
      <w:r>
        <w:rPr/>
        <w:t xml:space="preserve">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p>
      <w:pPr>
        <w:pStyle w:val="Normal"/>
        <w:shd w:fill="FFFFFF" w:val="clear"/>
        <w:ind w:firstLine="283"/>
        <w:jc w:val="both"/>
        <w:rPr/>
      </w:pPr>
      <w:r>
        <w:rPr>
          <w:b/>
          <w:bCs/>
        </w:rPr>
        <w:t>7.5.60.</w:t>
      </w:r>
      <w:r>
        <w:rPr/>
        <w:t xml:space="preserve">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pPr>
        <w:pStyle w:val="Normal"/>
        <w:shd w:fill="FFFFFF" w:val="clear"/>
        <w:ind w:firstLine="283"/>
        <w:jc w:val="both"/>
        <w:rPr/>
      </w:pPr>
      <w:r>
        <w:rP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pPr>
        <w:pStyle w:val="Heading3"/>
        <w:rPr/>
      </w:pPr>
      <w:r>
        <w:rPr/>
        <w:t>Установки печей сопротивления прямого и косвенного действия</w:t>
      </w:r>
    </w:p>
    <w:p>
      <w:pPr>
        <w:pStyle w:val="Normal"/>
        <w:shd w:fill="FFFFFF" w:val="clear"/>
        <w:ind w:firstLine="283"/>
        <w:jc w:val="both"/>
        <w:rPr/>
      </w:pPr>
      <w:r>
        <w:rPr>
          <w:b/>
          <w:bCs/>
        </w:rPr>
        <w:t>7.5.61.</w:t>
      </w:r>
      <w:r>
        <w:rPr/>
        <w:t xml:space="preserve">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pPr>
        <w:pStyle w:val="Normal"/>
        <w:shd w:fill="FFFFFF" w:val="clear"/>
        <w:ind w:firstLine="283"/>
        <w:jc w:val="both"/>
        <w:rPr/>
      </w:pPr>
      <w:r>
        <w:rPr/>
        <w:t>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pPr>
        <w:pStyle w:val="Normal"/>
        <w:shd w:fill="FFFFFF" w:val="clear"/>
        <w:ind w:firstLine="283"/>
        <w:jc w:val="both"/>
        <w:rPr/>
      </w:pPr>
      <w:r>
        <w:rPr>
          <w:b/>
          <w:bCs/>
        </w:rPr>
        <w:t>7.5.62.</w:t>
      </w:r>
      <w:r>
        <w:rPr/>
        <w:t xml:space="preserve">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pPr>
        <w:pStyle w:val="Normal"/>
        <w:shd w:fill="FFFFFF" w:val="clear"/>
        <w:ind w:firstLine="283"/>
        <w:jc w:val="both"/>
        <w:rPr/>
      </w:pPr>
      <w:r>
        <w:rPr/>
        <w:t>Допускается устанавливать две электропечи рядом без прохода между ними, если по условиям эксплуатации в нем нет необходимости.</w:t>
      </w:r>
    </w:p>
    <w:p>
      <w:pPr>
        <w:pStyle w:val="Normal"/>
        <w:shd w:fill="FFFFFF" w:val="clear"/>
        <w:ind w:firstLine="283"/>
        <w:jc w:val="both"/>
        <w:rPr/>
      </w:pPr>
      <w:r>
        <w:rPr>
          <w:b/>
          <w:bCs/>
        </w:rPr>
        <w:t>7.5.63.</w:t>
      </w:r>
      <w:r>
        <w:rPr/>
        <w:t xml:space="preserve">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p>
    <w:p>
      <w:pPr>
        <w:pStyle w:val="Normal"/>
        <w:shd w:fill="FFFFFF" w:val="clear"/>
        <w:ind w:firstLine="283"/>
        <w:jc w:val="both"/>
        <w:rPr/>
      </w:pPr>
      <w:r>
        <w:rP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вынесены в отдельные щитовые помещения (помещения КИПиА).</w:t>
      </w:r>
    </w:p>
    <w:p>
      <w:pPr>
        <w:pStyle w:val="Normal"/>
        <w:shd w:fill="FFFFFF" w:val="clear"/>
        <w:ind w:firstLine="283"/>
        <w:jc w:val="both"/>
        <w:rPr/>
      </w:pPr>
      <w:r>
        <w:rPr/>
        <w:t>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или сырые (см. гл. 1.1).</w:t>
      </w:r>
    </w:p>
    <w:p>
      <w:pPr>
        <w:pStyle w:val="Normal"/>
        <w:shd w:fill="FFFFFF" w:val="clear"/>
        <w:ind w:firstLine="283"/>
        <w:jc w:val="both"/>
        <w:rPr/>
      </w:pPr>
      <w:r>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pPr>
        <w:pStyle w:val="Normal"/>
        <w:shd w:fill="FFFFFF" w:val="clear"/>
        <w:ind w:firstLine="283"/>
        <w:jc w:val="both"/>
        <w:rPr/>
      </w:pPr>
      <w:r>
        <w:rPr>
          <w:b/>
          <w:bCs/>
        </w:rPr>
        <w:t>7.5.64.</w:t>
      </w:r>
      <w:r>
        <w:rPr/>
        <w:t xml:space="preserve">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pPr>
        <w:pStyle w:val="Normal"/>
        <w:shd w:fill="FFFFFF" w:val="clear"/>
        <w:ind w:firstLine="283"/>
        <w:jc w:val="both"/>
        <w:rPr/>
      </w:pPr>
      <w:r>
        <w:rPr>
          <w:b/>
          <w:bCs/>
        </w:rPr>
        <w:t>7.5.65.</w:t>
      </w:r>
      <w:r>
        <w:rPr/>
        <w:t xml:space="preserve"> Провода пирометрических цепей рекомендуется присоединять к приборам непосредственно, не заводя их на сборки зажимов щитов управления.</w:t>
      </w:r>
    </w:p>
    <w:p>
      <w:pPr>
        <w:pStyle w:val="Normal"/>
        <w:shd w:fill="FFFFFF" w:val="clear"/>
        <w:ind w:firstLine="283"/>
        <w:jc w:val="both"/>
        <w:rPr/>
      </w:pPr>
      <w:r>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pPr>
        <w:pStyle w:val="Normal"/>
        <w:shd w:fill="FFFFFF" w:val="clear"/>
        <w:ind w:firstLine="283"/>
        <w:jc w:val="both"/>
        <w:rPr/>
      </w:pPr>
      <w:r>
        <w:rPr>
          <w:b/>
          <w:bCs/>
        </w:rPr>
        <w:t>7.5.66.</w:t>
      </w:r>
      <w:r>
        <w:rPr/>
        <w:t xml:space="preserve">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pPr>
        <w:pStyle w:val="Normal"/>
        <w:shd w:fill="FFFFFF" w:val="clear"/>
        <w:ind w:firstLine="283"/>
        <w:jc w:val="both"/>
        <w:rPr/>
      </w:pPr>
      <w:r>
        <w:rPr>
          <w:b/>
          <w:bCs/>
        </w:rPr>
        <w:t>7.5.67.</w:t>
      </w:r>
      <w:r>
        <w:rPr/>
        <w:t xml:space="preserve">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pPr>
        <w:pStyle w:val="Normal"/>
        <w:shd w:fill="FFFFFF" w:val="clear"/>
        <w:ind w:firstLine="283"/>
        <w:jc w:val="both"/>
        <w:rPr/>
      </w:pPr>
      <w:r>
        <w:rPr>
          <w:b/>
          <w:bCs/>
        </w:rPr>
        <w:t>7.5.68.</w:t>
      </w:r>
      <w:r>
        <w:rPr/>
        <w:t xml:space="preserve"> Для установок печей сопротивления мощностью 100 кВт и более следует предусматривать установку счетчиков активной энергии (по одному на печь).</w:t>
      </w:r>
    </w:p>
    <w:p>
      <w:pPr>
        <w:pStyle w:val="Normal"/>
        <w:shd w:fill="FFFFFF" w:val="clear"/>
        <w:ind w:firstLine="283"/>
        <w:jc w:val="both"/>
        <w:rPr/>
      </w:pPr>
      <w:r>
        <w:rPr>
          <w:b/>
          <w:bCs/>
        </w:rPr>
        <w:t>7.5.69.</w:t>
      </w:r>
      <w:r>
        <w:rPr/>
        <w:t xml:space="preserve">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pPr>
        <w:pStyle w:val="Normal"/>
        <w:shd w:fill="FFFFFF" w:val="clear"/>
        <w:ind w:firstLine="283"/>
        <w:jc w:val="both"/>
        <w:rPr/>
      </w:pPr>
      <w:r>
        <w:rPr/>
        <w:t>Если в указанных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pPr>
        <w:pStyle w:val="Normal"/>
        <w:shd w:fill="FFFFFF" w:val="clear"/>
        <w:ind w:firstLine="283"/>
        <w:jc w:val="both"/>
        <w:rPr/>
      </w:pPr>
      <w:r>
        <w:rPr>
          <w:b/>
          <w:bCs/>
        </w:rPr>
        <w:t>7.5.70.</w:t>
      </w:r>
      <w:r>
        <w:rPr/>
        <w:t xml:space="preserve"> В установках прямого нагрева,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pPr>
        <w:pStyle w:val="Normal"/>
        <w:shd w:fill="FFFFFF" w:val="clear"/>
        <w:ind w:firstLine="283"/>
        <w:jc w:val="both"/>
        <w:rPr/>
      </w:pPr>
      <w:r>
        <w:rPr/>
        <w:t>Кроме того, такие установки должны снабжаться устройством контроля изоляции с действием на сигнал.</w:t>
      </w:r>
    </w:p>
    <w:p>
      <w:pPr>
        <w:pStyle w:val="Normal"/>
        <w:shd w:fill="FFFFFF" w:val="clear"/>
        <w:ind w:firstLine="283"/>
        <w:jc w:val="both"/>
        <w:rPr/>
      </w:pPr>
      <w:r>
        <w:rPr>
          <w:b/>
          <w:bCs/>
        </w:rPr>
        <w:t>7.5.71.</w:t>
      </w:r>
      <w:r>
        <w:rPr/>
        <w:t xml:space="preserve">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p>
    <w:p>
      <w:pPr>
        <w:pStyle w:val="Normal"/>
        <w:shd w:fill="FFFFFF" w:val="clear"/>
        <w:ind w:firstLine="283"/>
        <w:jc w:val="both"/>
        <w:rPr/>
      </w:pPr>
      <w:r>
        <w:rPr>
          <w:b/>
          <w:bCs/>
        </w:rPr>
        <w:t>7.5.72.</w:t>
      </w:r>
      <w:r>
        <w:rPr/>
        <w:t xml:space="preserve"> Ток утечки в установках прямого нагрева должен составлять не более 0,2 % номинального тока установки.</w:t>
      </w:r>
    </w:p>
    <w:p>
      <w:pPr>
        <w:pStyle w:val="Heading3"/>
        <w:rPr/>
      </w:pPr>
      <w:r>
        <w:rPr/>
        <w:t>Электронно-лучевые установки</w:t>
      </w:r>
    </w:p>
    <w:p>
      <w:pPr>
        <w:pStyle w:val="Normal"/>
        <w:shd w:fill="FFFFFF" w:val="clear"/>
        <w:ind w:firstLine="283"/>
        <w:jc w:val="both"/>
        <w:rPr/>
      </w:pPr>
      <w:r>
        <w:rPr>
          <w:b/>
          <w:bCs/>
        </w:rPr>
        <w:t>7.5.73.</w:t>
      </w:r>
      <w:r>
        <w:rPr/>
        <w:t xml:space="preserve">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pPr>
        <w:pStyle w:val="Normal"/>
        <w:shd w:fill="FFFFFF" w:val="clear"/>
        <w:ind w:firstLine="283"/>
        <w:jc w:val="both"/>
        <w:rPr/>
      </w:pPr>
      <w:r>
        <w:rPr>
          <w:b/>
          <w:bCs/>
        </w:rPr>
        <w:t>7.5.74.</w:t>
      </w:r>
      <w:r>
        <w:rPr/>
        <w:t xml:space="preserve">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действующими нормативными документами для лиц, не работающих с источниками ионизирующих излучений.</w:t>
      </w:r>
    </w:p>
    <w:p>
      <w:pPr>
        <w:pStyle w:val="Normal"/>
        <w:shd w:fill="FFFFFF" w:val="clear"/>
        <w:ind w:firstLine="283"/>
        <w:jc w:val="both"/>
        <w:rPr/>
      </w:pPr>
      <w:r>
        <w:rPr/>
        <w:t>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стороне высшего напряжения.</w:t>
      </w:r>
    </w:p>
    <w:p>
      <w:pPr>
        <w:pStyle w:val="Heading3"/>
        <w:rPr/>
      </w:pPr>
      <w:r>
        <w:rPr/>
        <w:t>Ионные и лазерные установки</w:t>
      </w:r>
    </w:p>
    <w:p>
      <w:pPr>
        <w:pStyle w:val="Normal"/>
        <w:shd w:fill="FFFFFF" w:val="clear"/>
        <w:ind w:firstLine="283"/>
        <w:jc w:val="both"/>
        <w:rPr/>
      </w:pPr>
      <w:r>
        <w:rPr>
          <w:b/>
          <w:bCs/>
        </w:rPr>
        <w:t>7.5.75.</w:t>
      </w:r>
      <w:r>
        <w:rPr/>
        <w:t xml:space="preserve">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pPr>
        <w:pStyle w:val="Heading2"/>
        <w:rPr/>
      </w:pPr>
      <w:bookmarkStart w:id="37" w:name="_%D0%93%D0%BB%D0%B0%D0%B2%D0%B0_7.6_%D0%"/>
      <w:bookmarkEnd w:id="37"/>
      <w:r>
        <w:rPr/>
        <w:t>Глава 7.6 ЭЛЕКТРОСВАРОЧНЫЕ УСТАНОВКИ</w:t>
      </w:r>
    </w:p>
    <w:p>
      <w:pPr>
        <w:pStyle w:val="Heading3"/>
        <w:rPr/>
      </w:pPr>
      <w:r>
        <w:rPr/>
        <w:t>Область применения</w:t>
      </w:r>
    </w:p>
    <w:p>
      <w:pPr>
        <w:pStyle w:val="Normal"/>
        <w:shd w:fill="FFFFFF" w:val="clear"/>
        <w:ind w:firstLine="283"/>
        <w:jc w:val="both"/>
        <w:rPr/>
      </w:pPr>
      <w:r>
        <w:rPr>
          <w:b/>
          <w:bCs/>
        </w:rPr>
        <w:t>7.6.1.</w:t>
      </w:r>
      <w:r>
        <w:rPr/>
        <w:t xml:space="preserve">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pPr>
        <w:pStyle w:val="Normal"/>
        <w:shd w:fill="FFFFFF" w:val="clear"/>
        <w:ind w:firstLine="283"/>
        <w:jc w:val="both"/>
        <w:rPr/>
      </w:pPr>
      <w:r>
        <w:rPr/>
        <w:t>дуговой и плазменной сварки, наплавки, переплава, напыления, резки;</w:t>
      </w:r>
    </w:p>
    <w:p>
      <w:pPr>
        <w:pStyle w:val="Normal"/>
        <w:shd w:fill="FFFFFF" w:val="clear"/>
        <w:ind w:firstLine="283"/>
        <w:jc w:val="both"/>
        <w:rPr/>
      </w:pPr>
      <w:r>
        <w:rPr/>
        <w:t>электрошлаковой сварки, электрошлакового и плазменно-дугового переплава;</w:t>
      </w:r>
    </w:p>
    <w:p>
      <w:pPr>
        <w:pStyle w:val="Normal"/>
        <w:shd w:fill="FFFFFF" w:val="clear"/>
        <w:ind w:firstLine="283"/>
        <w:jc w:val="both"/>
        <w:rPr/>
      </w:pPr>
      <w:r>
        <w:rPr/>
        <w:t>индукционной сварки и наплавления;</w:t>
      </w:r>
    </w:p>
    <w:p>
      <w:pPr>
        <w:pStyle w:val="Normal"/>
        <w:shd w:fill="FFFFFF" w:val="clear"/>
        <w:ind w:firstLine="283"/>
        <w:jc w:val="both"/>
        <w:rPr/>
      </w:pPr>
      <w:r>
        <w:rPr/>
        <w:t>электронно-лучевой сварки;</w:t>
      </w:r>
    </w:p>
    <w:p>
      <w:pPr>
        <w:pStyle w:val="Normal"/>
        <w:shd w:fill="FFFFFF" w:val="clear"/>
        <w:ind w:firstLine="283"/>
        <w:jc w:val="both"/>
        <w:rPr/>
      </w:pPr>
      <w:r>
        <w:rPr/>
        <w:t>лазерной сварки и резки;</w:t>
      </w:r>
    </w:p>
    <w:p>
      <w:pPr>
        <w:pStyle w:val="Normal"/>
        <w:shd w:fill="FFFFFF" w:val="clear"/>
        <w:ind w:firstLine="283"/>
        <w:jc w:val="both"/>
        <w:rPr/>
      </w:pPr>
      <w:r>
        <w:rPr/>
        <w:t>сварки контактным разогревом;</w:t>
      </w:r>
    </w:p>
    <w:p>
      <w:pPr>
        <w:pStyle w:val="Normal"/>
        <w:shd w:fill="FFFFFF" w:val="clear"/>
        <w:ind w:firstLine="283"/>
        <w:jc w:val="both"/>
        <w:rPr/>
      </w:pPr>
      <w:r>
        <w:rPr/>
        <w:t>контактной или диффузионной сварки;</w:t>
      </w:r>
    </w:p>
    <w:p>
      <w:pPr>
        <w:pStyle w:val="Normal"/>
        <w:shd w:fill="FFFFFF" w:val="clear"/>
        <w:ind w:firstLine="283"/>
        <w:jc w:val="both"/>
        <w:rPr/>
      </w:pPr>
      <w:r>
        <w:rP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pPr>
        <w:pStyle w:val="Normal"/>
        <w:shd w:fill="FFFFFF" w:val="clear"/>
        <w:ind w:firstLine="283"/>
        <w:jc w:val="both"/>
        <w:rPr/>
      </w:pPr>
      <w:r>
        <w:rP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pPr>
        <w:pStyle w:val="Normal"/>
        <w:shd w:fill="FFFFFF" w:val="clear"/>
        <w:ind w:firstLine="283"/>
        <w:jc w:val="both"/>
        <w:rPr/>
      </w:pPr>
      <w:r>
        <w:rPr>
          <w:b/>
          <w:bCs/>
        </w:rPr>
        <w:t>7.6.2.</w:t>
      </w:r>
      <w:r>
        <w:rPr/>
        <w:t xml:space="preserve"> Электросварочные установки должны удовлетворять требованиям разд. 1-6, гл. 7.3-7.5 Правил в той мере, в какой они не изменены в настоящей главе.</w:t>
      </w:r>
    </w:p>
    <w:p>
      <w:pPr>
        <w:pStyle w:val="Heading3"/>
        <w:rPr/>
      </w:pPr>
      <w:r>
        <w:rPr/>
        <w:t>Определения</w:t>
      </w:r>
    </w:p>
    <w:p>
      <w:pPr>
        <w:pStyle w:val="Normal"/>
        <w:shd w:fill="FFFFFF" w:val="clear"/>
        <w:ind w:firstLine="283"/>
        <w:jc w:val="both"/>
        <w:rPr/>
      </w:pPr>
      <w:r>
        <w:rPr>
          <w:b/>
          <w:bCs/>
        </w:rPr>
        <w:t>7.6.3.</w:t>
      </w:r>
      <w:r>
        <w:rPr/>
        <w:t xml:space="preserve"> </w:t>
      </w:r>
      <w:r>
        <w:rPr>
          <w:spacing w:val="50"/>
        </w:rPr>
        <w:t>Электросварочная установка</w:t>
      </w:r>
      <w:r>
        <w:rPr/>
        <w:t xml:space="preserve">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pPr>
        <w:pStyle w:val="Normal"/>
        <w:shd w:fill="FFFFFF" w:val="clear"/>
        <w:ind w:firstLine="283"/>
        <w:jc w:val="both"/>
        <w:rPr/>
      </w:pPr>
      <w:r>
        <w:rP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pPr>
        <w:pStyle w:val="Normal"/>
        <w:shd w:fill="FFFFFF" w:val="clear"/>
        <w:ind w:firstLine="283"/>
        <w:jc w:val="both"/>
        <w:rPr/>
      </w:pPr>
      <w:r>
        <w:rP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pPr>
        <w:pStyle w:val="Normal"/>
        <w:shd w:fill="FFFFFF" w:val="clear"/>
        <w:ind w:firstLine="283"/>
        <w:jc w:val="both"/>
        <w:rPr/>
      </w:pPr>
      <w:r>
        <w:rPr>
          <w:b/>
          <w:bCs/>
        </w:rPr>
        <w:t>7.6.4.</w:t>
      </w:r>
      <w:r>
        <w:rPr/>
        <w:t xml:space="preserve"> </w:t>
      </w:r>
      <w:r>
        <w:rPr>
          <w:spacing w:val="50"/>
        </w:rPr>
        <w:t>Источник сварочного тока</w:t>
      </w:r>
      <w:r>
        <w:rPr/>
        <w:t xml:space="preserve">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r>
        <w:rPr>
          <w:bCs/>
        </w:rPr>
        <w:t>7.6.1</w:t>
      </w:r>
      <w:r>
        <w:rPr/>
        <w:t xml:space="preserve"> процессов.</w:t>
      </w:r>
    </w:p>
    <w:p>
      <w:pPr>
        <w:pStyle w:val="Normal"/>
        <w:shd w:fill="FFFFFF" w:val="clear"/>
        <w:ind w:firstLine="283"/>
        <w:jc w:val="both"/>
        <w:rPr/>
      </w:pPr>
      <w:r>
        <w:rPr>
          <w:b/>
          <w:bCs/>
        </w:rPr>
        <w:t>7.6.5.</w:t>
      </w:r>
      <w:r>
        <w:rPr/>
        <w:t xml:space="preserve"> </w:t>
      </w:r>
      <w:r>
        <w:rPr>
          <w:spacing w:val="50"/>
        </w:rPr>
        <w:t>Сварочная цепь</w:t>
      </w:r>
      <w:r>
        <w:rPr/>
        <w:t xml:space="preserve"> - предназначенная для прохождения сварочного тока часть электрической цепи электросварочной установки от выводов</w:t>
      </w:r>
      <w:r>
        <w:rPr>
          <w:vertAlign w:val="superscript"/>
        </w:rPr>
        <w:t>1</w:t>
      </w:r>
      <w:r>
        <w:rPr/>
        <w:t xml:space="preserve"> источника сварочного тока до свариваемой детали (изделия).</w:t>
      </w:r>
    </w:p>
    <w:p>
      <w:pPr>
        <w:pStyle w:val="Normal"/>
        <w:shd w:fill="FFFFFF" w:val="clear"/>
        <w:spacing w:before="120" w:after="120"/>
        <w:ind w:firstLine="283"/>
        <w:jc w:val="both"/>
        <w:rPr/>
      </w:pPr>
      <w:r>
        <w:rPr>
          <w:vertAlign w:val="superscript"/>
        </w:rPr>
        <w:t>1</w:t>
      </w:r>
      <w:r>
        <w:rPr/>
        <w:t xml:space="preserve"> Вывод - термин по ГОСТ 18311-80.</w:t>
      </w:r>
    </w:p>
    <w:p>
      <w:pPr>
        <w:pStyle w:val="Normal"/>
        <w:shd w:fill="FFFFFF" w:val="clear"/>
        <w:ind w:firstLine="283"/>
        <w:jc w:val="both"/>
        <w:rPr/>
      </w:pPr>
      <w:r>
        <w:rPr>
          <w:b/>
          <w:bCs/>
        </w:rPr>
        <w:t>7.6.6.</w:t>
      </w:r>
      <w:r>
        <w:rPr/>
        <w:t xml:space="preserve"> </w:t>
      </w:r>
      <w:r>
        <w:rPr>
          <w:spacing w:val="50"/>
        </w:rPr>
        <w:t>Сварочный пост электросварочной установки</w:t>
      </w:r>
      <w:r>
        <w:rPr/>
        <w:t xml:space="preserve">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pPr>
        <w:pStyle w:val="Normal"/>
        <w:shd w:fill="FFFFFF" w:val="clear"/>
        <w:ind w:firstLine="283"/>
        <w:jc w:val="both"/>
        <w:rPr/>
      </w:pPr>
      <w:r>
        <w:rPr>
          <w:b/>
          <w:bCs/>
        </w:rPr>
        <w:t>7.6.7.</w:t>
      </w:r>
      <w:r>
        <w:rPr/>
        <w:t xml:space="preserve"> </w:t>
      </w:r>
      <w:r>
        <w:rPr>
          <w:spacing w:val="50"/>
        </w:rPr>
        <w:t>Однопостовый и многопостовый источник сварочного тока</w:t>
      </w:r>
      <w:r>
        <w:rPr/>
        <w:t xml:space="preserve"> - источники сварочного тока, питающие соответственно один или несколько сварочных постов.</w:t>
      </w:r>
    </w:p>
    <w:p>
      <w:pPr>
        <w:pStyle w:val="Normal"/>
        <w:shd w:fill="FFFFFF" w:val="clear"/>
        <w:ind w:firstLine="283"/>
        <w:jc w:val="both"/>
        <w:rPr/>
      </w:pPr>
      <w:r>
        <w:rPr>
          <w:b/>
          <w:bCs/>
        </w:rPr>
        <w:t>7.6.8.</w:t>
      </w:r>
      <w:r>
        <w:rPr/>
        <w:t xml:space="preserve"> </w:t>
      </w:r>
      <w:r>
        <w:rPr>
          <w:spacing w:val="50"/>
        </w:rPr>
        <w:t>Автономные электросварочные установки</w:t>
      </w:r>
      <w:r>
        <w:rPr/>
        <w:t xml:space="preserve">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p>
      <w:pPr>
        <w:pStyle w:val="Normal"/>
        <w:shd w:fill="FFFFFF" w:val="clear"/>
        <w:ind w:firstLine="283"/>
        <w:jc w:val="both"/>
        <w:rPr/>
      </w:pPr>
      <w:r>
        <w:rPr>
          <w:b/>
          <w:bCs/>
        </w:rPr>
        <w:t>7.6.9.</w:t>
      </w:r>
      <w:r>
        <w:rPr/>
        <w:t xml:space="preserve">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pPr>
        <w:pStyle w:val="Heading3"/>
        <w:rPr/>
      </w:pPr>
      <w:r>
        <w:rPr/>
        <w:t>Общие требования</w:t>
      </w:r>
    </w:p>
    <w:p>
      <w:pPr>
        <w:pStyle w:val="Normal"/>
        <w:shd w:fill="FFFFFF" w:val="clear"/>
        <w:ind w:firstLine="283"/>
        <w:jc w:val="both"/>
        <w:rPr/>
      </w:pPr>
      <w:r>
        <w:rPr>
          <w:b/>
          <w:bCs/>
        </w:rPr>
        <w:t>7.6.10.</w:t>
      </w:r>
      <w:r>
        <w:rPr/>
        <w:t xml:space="preserve">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pPr>
        <w:pStyle w:val="Normal"/>
        <w:shd w:fill="FFFFFF" w:val="clear"/>
        <w:ind w:firstLine="283"/>
        <w:jc w:val="both"/>
        <w:rPr/>
      </w:pPr>
      <w:r>
        <w:rPr>
          <w:b/>
          <w:bCs/>
        </w:rPr>
        <w:t>7.6.11.</w:t>
      </w:r>
      <w:r>
        <w:rPr/>
        <w:t xml:space="preserve">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1.2).</w:t>
      </w:r>
    </w:p>
    <w:p>
      <w:pPr>
        <w:pStyle w:val="Normal"/>
        <w:shd w:fill="FFFFFF" w:val="clear"/>
        <w:ind w:firstLine="283"/>
        <w:jc w:val="both"/>
        <w:rPr/>
      </w:pPr>
      <w:r>
        <w:rPr/>
        <w:t xml:space="preserve">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w:t>
      </w:r>
      <w:r>
        <w:rPr>
          <w:bCs/>
        </w:rPr>
        <w:t>7.5.8</w:t>
      </w:r>
      <w:r>
        <w:rPr/>
        <w:t>,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pPr>
        <w:pStyle w:val="Normal"/>
        <w:shd w:fill="FFFFFF" w:val="clear"/>
        <w:ind w:firstLine="283"/>
        <w:jc w:val="both"/>
        <w:rPr/>
      </w:pPr>
      <w:r>
        <w:rPr>
          <w:b/>
          <w:bCs/>
        </w:rPr>
        <w:t>7.6.12.</w:t>
      </w:r>
      <w:r>
        <w:rPr/>
        <w:t xml:space="preserve">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pPr>
        <w:pStyle w:val="Normal"/>
        <w:shd w:fill="FFFFFF" w:val="clear"/>
        <w:ind w:firstLine="283"/>
        <w:jc w:val="both"/>
        <w:rPr/>
      </w:pPr>
      <w:r>
        <w:rPr/>
        <w:t>При необходимости должны приниматься меры для уменьшения воздействия электросварочных установок на электрическую сеть.</w:t>
      </w:r>
    </w:p>
    <w:p>
      <w:pPr>
        <w:pStyle w:val="Normal"/>
        <w:shd w:fill="FFFFFF" w:val="clear"/>
        <w:ind w:firstLine="283"/>
        <w:jc w:val="both"/>
        <w:rPr/>
      </w:pPr>
      <w:r>
        <w:rPr>
          <w:b/>
          <w:bCs/>
        </w:rPr>
        <w:t>7.6.13.</w:t>
      </w:r>
      <w:r>
        <w:rPr/>
        <w:t xml:space="preserve">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т.п.</w:t>
      </w:r>
    </w:p>
    <w:p>
      <w:pPr>
        <w:pStyle w:val="Normal"/>
        <w:shd w:fill="FFFFFF" w:val="clear"/>
        <w:ind w:firstLine="283"/>
        <w:jc w:val="both"/>
        <w:rPr/>
      </w:pPr>
      <w:r>
        <w:rPr>
          <w:b/>
          <w:bCs/>
        </w:rPr>
        <w:t>7.6.14.</w:t>
      </w:r>
      <w:r>
        <w:rPr/>
        <w:t xml:space="preserve">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pPr>
        <w:pStyle w:val="Normal"/>
        <w:shd w:fill="FFFFFF" w:val="clear"/>
        <w:ind w:firstLine="283"/>
        <w:jc w:val="both"/>
        <w:rPr/>
      </w:pPr>
      <w:r>
        <w:rPr/>
        <w:t>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p>
      <w:pPr>
        <w:pStyle w:val="Normal"/>
        <w:shd w:fill="FFFFFF" w:val="clear"/>
        <w:ind w:firstLine="283"/>
        <w:jc w:val="both"/>
        <w:rPr/>
      </w:pPr>
      <w:r>
        <w:rPr>
          <w:b/>
          <w:bCs/>
        </w:rPr>
        <w:t>7.6.15.</w:t>
      </w:r>
      <w:r>
        <w:rPr/>
        <w:t xml:space="preserve">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pPr>
        <w:pStyle w:val="Normal"/>
        <w:shd w:fill="FFFFFF" w:val="clear"/>
        <w:ind w:firstLine="283"/>
        <w:jc w:val="both"/>
        <w:rPr/>
      </w:pPr>
      <w:r>
        <w:rPr>
          <w:b/>
          <w:bCs/>
        </w:rPr>
        <w:t>7.6.16.</w:t>
      </w:r>
      <w:r>
        <w:rPr/>
        <w:t xml:space="preserve">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pPr>
        <w:pStyle w:val="Normal"/>
        <w:shd w:fill="FFFFFF" w:val="clear"/>
        <w:ind w:firstLine="283"/>
        <w:jc w:val="both"/>
        <w:rPr/>
      </w:pPr>
      <w:r>
        <w:rPr>
          <w:b/>
          <w:bCs/>
        </w:rPr>
        <w:t>7.6.17.</w:t>
      </w:r>
      <w:r>
        <w:rPr/>
        <w:t xml:space="preserve">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pPr>
        <w:pStyle w:val="Normal"/>
        <w:shd w:fill="FFFFFF" w:val="clear"/>
        <w:ind w:firstLine="283"/>
        <w:jc w:val="both"/>
        <w:rPr/>
      </w:pPr>
      <w:r>
        <w:rPr>
          <w:b/>
          <w:bCs/>
        </w:rPr>
        <w:t>7.6.18.</w:t>
      </w:r>
      <w:r>
        <w:rPr/>
        <w:t xml:space="preserve">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pPr>
        <w:pStyle w:val="Normal"/>
        <w:shd w:fill="FFFFFF" w:val="clear"/>
        <w:ind w:firstLine="283"/>
        <w:jc w:val="both"/>
        <w:rPr/>
      </w:pPr>
      <w:r>
        <w:rPr>
          <w:b/>
          <w:bCs/>
        </w:rPr>
        <w:t>7.6.19.</w:t>
      </w:r>
      <w:r>
        <w:rPr/>
        <w:t xml:space="preserve"> Однопостовой источник сварочного тока, как правило, должен располагаться не далее 15 м от сварочного поста.</w:t>
      </w:r>
    </w:p>
    <w:p>
      <w:pPr>
        <w:pStyle w:val="Normal"/>
        <w:shd w:fill="FFFFFF" w:val="clear"/>
        <w:ind w:firstLine="283"/>
        <w:jc w:val="both"/>
        <w:rPr/>
      </w:pPr>
      <w:r>
        <w:rPr>
          <w:b/>
          <w:bCs/>
        </w:rPr>
        <w:t>7.6.20.</w:t>
      </w:r>
      <w:r>
        <w:rPr/>
        <w:t xml:space="preserve">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pPr>
        <w:pStyle w:val="Normal"/>
        <w:shd w:fill="FFFFFF" w:val="clear"/>
        <w:ind w:firstLine="283"/>
        <w:jc w:val="both"/>
        <w:rPr/>
      </w:pPr>
      <w:r>
        <w:rP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pPr>
        <w:pStyle w:val="Normal"/>
        <w:shd w:fill="FFFFFF" w:val="clear"/>
        <w:ind w:firstLine="283"/>
        <w:jc w:val="both"/>
        <w:rPr/>
      </w:pPr>
      <w:r>
        <w:rPr>
          <w:b/>
          <w:bCs/>
        </w:rPr>
        <w:t>7.6.21.</w:t>
      </w:r>
      <w:r>
        <w:rPr/>
        <w:t xml:space="preserve">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pPr>
        <w:pStyle w:val="Normal"/>
        <w:shd w:fill="FFFFFF" w:val="clear"/>
        <w:ind w:firstLine="283"/>
        <w:jc w:val="both"/>
        <w:rPr/>
      </w:pPr>
      <w:r>
        <w:rPr>
          <w:b/>
          <w:bCs/>
        </w:rPr>
        <w:t>7.6.22.</w:t>
      </w:r>
      <w:r>
        <w:rPr/>
        <w:t xml:space="preserve">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pPr>
        <w:pStyle w:val="Normal"/>
        <w:shd w:fill="FFFFFF" w:val="clear"/>
        <w:ind w:firstLine="283"/>
        <w:jc w:val="both"/>
        <w:rPr/>
      </w:pPr>
      <w:r>
        <w:rPr>
          <w:b/>
          <w:bCs/>
        </w:rPr>
        <w:t>7.6.23.</w:t>
      </w:r>
      <w:r>
        <w:rPr/>
        <w:t xml:space="preserve">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pPr>
        <w:pStyle w:val="Normal"/>
        <w:shd w:fill="FFFFFF" w:val="clear"/>
        <w:ind w:firstLine="283"/>
        <w:jc w:val="both"/>
        <w:rPr/>
      </w:pPr>
      <w:r>
        <w:rPr>
          <w:b/>
          <w:bCs/>
        </w:rPr>
        <w:t>7.6.24.</w:t>
      </w:r>
      <w:r>
        <w:rPr/>
        <w:t xml:space="preserve">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pPr>
        <w:pStyle w:val="Normal"/>
        <w:shd w:fill="FFFFFF" w:val="clear"/>
        <w:ind w:firstLine="283"/>
        <w:jc w:val="both"/>
        <w:rPr/>
      </w:pPr>
      <w:r>
        <w:rPr>
          <w:b/>
          <w:bCs/>
        </w:rPr>
        <w:t>7.6.25.</w:t>
      </w:r>
      <w:r>
        <w:rPr/>
        <w:t xml:space="preserve">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p>
      <w:pPr>
        <w:pStyle w:val="Normal"/>
        <w:shd w:fill="FFFFFF" w:val="clear"/>
        <w:ind w:firstLine="283"/>
        <w:jc w:val="both"/>
        <w:rPr/>
      </w:pPr>
      <w:r>
        <w:rPr>
          <w:b/>
          <w:bCs/>
        </w:rPr>
        <w:t>7.6.26.</w:t>
      </w:r>
      <w:r>
        <w:rPr/>
        <w:t xml:space="preserve">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w:t>
      </w:r>
      <w:r>
        <w:rPr>
          <w:vertAlign w:val="superscript"/>
        </w:rPr>
        <w:t>1</w:t>
      </w:r>
      <w:r>
        <w:rP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pPr>
        <w:pStyle w:val="Normal"/>
        <w:shd w:fill="FFFFFF" w:val="clear"/>
        <w:spacing w:before="120" w:after="120"/>
        <w:ind w:firstLine="283"/>
        <w:jc w:val="both"/>
        <w:rPr/>
      </w:pPr>
      <w:r>
        <w:rPr>
          <w:vertAlign w:val="superscript"/>
        </w:rPr>
        <w:t>1</w:t>
      </w:r>
      <w:r>
        <w:rPr/>
        <w:t xml:space="preserve"> Блокирование - термин по ГОСТ 18311-80.</w:t>
      </w:r>
    </w:p>
    <w:p>
      <w:pPr>
        <w:pStyle w:val="Normal"/>
        <w:shd w:fill="FFFFFF" w:val="clear"/>
        <w:ind w:firstLine="283"/>
        <w:jc w:val="both"/>
        <w:rPr/>
      </w:pPr>
      <w:r>
        <w:rPr>
          <w:b/>
          <w:bCs/>
        </w:rPr>
        <w:t>7.6.27.</w:t>
      </w:r>
      <w:r>
        <w:rPr/>
        <w:t xml:space="preserve">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w:t>
      </w:r>
      <w:r>
        <w:rPr>
          <w:vertAlign w:val="superscript"/>
        </w:rPr>
        <w:t>1</w:t>
      </w:r>
      <w:r>
        <w:rP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pPr>
        <w:pStyle w:val="Normal"/>
        <w:shd w:fill="FFFFFF" w:val="clear"/>
        <w:spacing w:before="120" w:after="120"/>
        <w:ind w:firstLine="283"/>
        <w:jc w:val="both"/>
        <w:rPr/>
      </w:pPr>
      <w:r>
        <w:rPr>
          <w:vertAlign w:val="superscript"/>
        </w:rPr>
        <w:t>1</w:t>
      </w:r>
      <w:r>
        <w:rPr/>
        <w:t xml:space="preserve"> Блокировка - термин по ГОСТ 18311-80.</w:t>
      </w:r>
    </w:p>
    <w:p>
      <w:pPr>
        <w:pStyle w:val="Normal"/>
        <w:shd w:fill="FFFFFF" w:val="clear"/>
        <w:ind w:firstLine="283"/>
        <w:jc w:val="both"/>
        <w:rPr/>
      </w:pPr>
      <w:r>
        <w:rPr/>
        <w:t>Допускается взамен блокировки применение замков со специальными ключами, если при работе не требуется открывать двери (дверцы).</w:t>
      </w:r>
    </w:p>
    <w:p>
      <w:pPr>
        <w:pStyle w:val="Normal"/>
        <w:shd w:fill="FFFFFF" w:val="clear"/>
        <w:ind w:firstLine="283"/>
        <w:jc w:val="both"/>
        <w:rPr/>
      </w:pPr>
      <w:r>
        <w:rPr>
          <w:b/>
          <w:bCs/>
        </w:rPr>
        <w:t>7.6.28.</w:t>
      </w:r>
      <w:r>
        <w:rPr/>
        <w:t xml:space="preserve">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1.7)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 также </w:t>
      </w:r>
      <w:r>
        <w:rPr>
          <w:b/>
          <w:bCs/>
        </w:rPr>
        <w:t>7.6.30</w:t>
      </w:r>
      <w:r>
        <w:rPr/>
        <w:t>).</w:t>
      </w:r>
    </w:p>
    <w:p>
      <w:pPr>
        <w:pStyle w:val="Normal"/>
        <w:shd w:fill="FFFFFF" w:val="clear"/>
        <w:ind w:firstLine="283"/>
        <w:jc w:val="both"/>
        <w:rPr/>
      </w:pPr>
      <w:r>
        <w:rP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pPr>
        <w:pStyle w:val="Normal"/>
        <w:shd w:fill="FFFFFF" w:val="clear"/>
        <w:ind w:firstLine="283"/>
        <w:jc w:val="both"/>
        <w:rPr/>
      </w:pPr>
      <w:r>
        <w:rPr>
          <w:b/>
          <w:bCs/>
        </w:rPr>
        <w:t>7.6.29.</w:t>
      </w:r>
      <w:r>
        <w:rPr/>
        <w:t xml:space="preserve"> Сварочное электрооборудование для присоединения защитного </w:t>
      </w:r>
      <w:r>
        <w:rPr>
          <w:i/>
          <w:iCs/>
        </w:rPr>
        <w:t>РЕ</w:t>
      </w:r>
      <w:r>
        <w:rPr/>
        <w:t>-проводника должно иметь болт (винт, шпильку) с контактной площадкой, расположенной в доступном месте, с надписью «Земля» (или с условным знаком заземления по ГОСТ 2.721-74*). Диаметры болта и контактной площадки должны быть не менее нормируемых ГОСТ 12.2.007.0-75.</w:t>
      </w:r>
    </w:p>
    <w:p>
      <w:pPr>
        <w:pStyle w:val="Normal"/>
        <w:shd w:fill="FFFFFF" w:val="clear"/>
        <w:ind w:firstLine="283"/>
        <w:jc w:val="both"/>
        <w:rPr/>
      </w:pPr>
      <w:r>
        <w:rPr/>
        <w:t>Втычные контактные 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p>
      <w:pPr>
        <w:pStyle w:val="Normal"/>
        <w:shd w:fill="FFFFFF" w:val="clear"/>
        <w:ind w:firstLine="283"/>
        <w:jc w:val="both"/>
        <w:rPr/>
      </w:pPr>
      <w:r>
        <w:rPr>
          <w:b/>
          <w:bCs/>
        </w:rPr>
        <w:t>7.6.30.</w:t>
      </w:r>
      <w:r>
        <w:rPr/>
        <w:t xml:space="preserve"> Электросварочные установки, в которых по условиям электротехнологического процесса не может быть выполнено заземление согласно </w:t>
      </w:r>
      <w:r>
        <w:rPr>
          <w:b/>
          <w:bCs/>
        </w:rPr>
        <w:t>7.6.28</w:t>
      </w:r>
      <w:r>
        <w:rPr/>
        <w:t>,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pPr>
        <w:pStyle w:val="Normal"/>
        <w:shd w:fill="FFFFFF" w:val="clear"/>
        <w:ind w:firstLine="283"/>
        <w:jc w:val="both"/>
        <w:rPr/>
      </w:pPr>
      <w:r>
        <w:rPr>
          <w:b/>
          <w:bCs/>
        </w:rPr>
        <w:t>7.6.31.</w:t>
      </w:r>
      <w:r>
        <w:rPr/>
        <w:t xml:space="preserve">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p>
      <w:pPr>
        <w:pStyle w:val="Normal"/>
        <w:shd w:fill="FFFFFF" w:val="clear"/>
        <w:ind w:firstLine="283"/>
        <w:jc w:val="both"/>
        <w:rPr/>
      </w:pPr>
      <w:r>
        <w:rPr>
          <w:b/>
          <w:bCs/>
        </w:rPr>
        <w:t>7.6.32.</w:t>
      </w:r>
      <w:r>
        <w:rPr/>
        <w:t xml:space="preserve">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pPr>
        <w:pStyle w:val="Normal"/>
        <w:shd w:fill="FFFFFF" w:val="clear"/>
        <w:ind w:firstLine="283"/>
        <w:jc w:val="both"/>
        <w:rPr/>
      </w:pPr>
      <w:r>
        <w:rP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w:t>
      </w:r>
      <w:r>
        <w:rPr>
          <w:b/>
          <w:bCs/>
        </w:rPr>
        <w:t>7.5.39</w:t>
      </w:r>
      <w:r>
        <w:rPr/>
        <w:t>).</w:t>
      </w:r>
    </w:p>
    <w:p>
      <w:pPr>
        <w:pStyle w:val="Normal"/>
        <w:shd w:fill="FFFFFF" w:val="clear"/>
        <w:ind w:firstLine="283"/>
        <w:jc w:val="both"/>
        <w:rPr/>
      </w:pPr>
      <w:r>
        <w:rP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pPr>
        <w:pStyle w:val="Normal"/>
        <w:shd w:fill="FFFFFF" w:val="clear"/>
        <w:ind w:firstLine="283"/>
        <w:jc w:val="both"/>
        <w:rPr/>
      </w:pPr>
      <w:r>
        <w:rPr/>
        <w:t>Качество воды, используемой в системе водяного охлаждения, должно соответствовать требованиям, приведенным в табл. 7.5.13, если в стандартах или технических условиях на соответствующее оборудование не приведены другие нормативные значения.</w:t>
      </w:r>
    </w:p>
    <w:p>
      <w:pPr>
        <w:pStyle w:val="Heading3"/>
        <w:rPr/>
      </w:pPr>
      <w:r>
        <w:rPr/>
        <w:t>Требования к помещениям для сварочных установок и сварочных постов</w:t>
      </w:r>
    </w:p>
    <w:p>
      <w:pPr>
        <w:pStyle w:val="Normal"/>
        <w:shd w:fill="FFFFFF" w:val="clear"/>
        <w:ind w:firstLine="283"/>
        <w:jc w:val="both"/>
        <w:rPr/>
      </w:pPr>
      <w:r>
        <w:rPr>
          <w:b/>
          <w:bCs/>
        </w:rPr>
        <w:t>7.6.33.</w:t>
      </w:r>
      <w:r>
        <w:rPr/>
        <w:t xml:space="preserve">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pPr>
        <w:pStyle w:val="Normal"/>
        <w:shd w:fill="FFFFFF" w:val="clear"/>
        <w:ind w:firstLine="283"/>
        <w:jc w:val="both"/>
        <w:rPr/>
      </w:pPr>
      <w:r>
        <w:rPr>
          <w:b/>
          <w:bCs/>
        </w:rPr>
        <w:t>7.6.34.</w:t>
      </w:r>
      <w:r>
        <w:rPr/>
        <w:t xml:space="preserve">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pPr>
        <w:pStyle w:val="Normal"/>
        <w:shd w:fill="FFFFFF" w:val="clear"/>
        <w:ind w:firstLine="283"/>
        <w:jc w:val="both"/>
        <w:rPr/>
      </w:pPr>
      <w:r>
        <w:rPr>
          <w:b/>
          <w:bCs/>
        </w:rPr>
        <w:t>7.6.35.</w:t>
      </w:r>
      <w:r>
        <w:rPr/>
        <w:t xml:space="preserve">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pPr>
        <w:pStyle w:val="Normal"/>
        <w:shd w:fill="FFFFFF" w:val="clear"/>
        <w:ind w:firstLine="283"/>
        <w:jc w:val="both"/>
        <w:rPr/>
      </w:pPr>
      <w:r>
        <w:rPr>
          <w:b/>
          <w:bCs/>
        </w:rPr>
        <w:t xml:space="preserve">7.6.36. </w:t>
      </w:r>
      <w:r>
        <w:rPr/>
        <w:t>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p>
      <w:pPr>
        <w:pStyle w:val="Normal"/>
        <w:shd w:fill="FFFFFF" w:val="clear"/>
        <w:ind w:firstLine="283"/>
        <w:jc w:val="both"/>
        <w:rPr/>
      </w:pPr>
      <w:r>
        <w:rPr>
          <w:b/>
          <w:bCs/>
        </w:rPr>
        <w:t>7.6.37.</w:t>
      </w:r>
      <w:r>
        <w:rPr/>
        <w:t xml:space="preserve"> Площадь отдельного помещения для электросварочных установок должна быть не менее 10 м</w:t>
      </w:r>
      <w:r>
        <w:rPr>
          <w:vertAlign w:val="superscript"/>
        </w:rPr>
        <w:t>2</w:t>
      </w:r>
      <w:r>
        <w:rPr/>
        <w:t>, причем площадь, свободная от оборудования и материалов, должна составлять не менее 3 м</w:t>
      </w:r>
      <w:r>
        <w:rPr>
          <w:vertAlign w:val="superscript"/>
        </w:rPr>
        <w:t>2</w:t>
      </w:r>
      <w:r>
        <w:rPr/>
        <w:t xml:space="preserve"> на каждый сварочный пост.</w:t>
      </w:r>
    </w:p>
    <w:p>
      <w:pPr>
        <w:pStyle w:val="Normal"/>
        <w:shd w:fill="FFFFFF" w:val="clear"/>
        <w:ind w:firstLine="283"/>
        <w:jc w:val="both"/>
        <w:rPr/>
      </w:pPr>
      <w:r>
        <w:rPr>
          <w:b/>
          <w:bCs/>
        </w:rPr>
        <w:t>7.6.38.</w:t>
      </w:r>
      <w:r>
        <w:rPr/>
        <w:t xml:space="preserve">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pPr>
        <w:pStyle w:val="Normal"/>
        <w:shd w:fill="FFFFFF" w:val="clear"/>
        <w:ind w:firstLine="283"/>
        <w:jc w:val="both"/>
        <w:rPr/>
      </w:pPr>
      <w:r>
        <w:rPr/>
        <w:t>Глубина кабины должна быть не менее двойной длины, а ширина - не менее полуторной длины свариваемых изделий, однако площадь кабины должна быть не менее 2</w:t>
      </w:r>
      <w:r>
        <w:rPr>
          <w:rFonts w:cs="Symbol" w:ascii="Symbol" w:hAnsi="Symbol"/>
        </w:rPr>
        <w:t></w:t>
      </w:r>
      <w:r>
        <w:rPr/>
        <w:t>1,5 м. При установке источника сварочного тока в кабине ее размеры должны быть соответственно увеличены. Высота стенок кабины должны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50</w:t>
      </w:r>
      <w:r>
        <w:rPr>
          <w:rFonts w:cs="Symbol" w:ascii="Symbol" w:hAnsi="Symbol"/>
        </w:rPr>
        <w:t></w:t>
      </w:r>
      <w:r>
        <w:rPr/>
        <w:t>50 мм.</w:t>
      </w:r>
    </w:p>
    <w:p>
      <w:pPr>
        <w:pStyle w:val="Normal"/>
        <w:shd w:fill="FFFFFF" w:val="clear"/>
        <w:ind w:firstLine="283"/>
        <w:jc w:val="both"/>
        <w:rPr/>
      </w:pPr>
      <w:r>
        <w:rPr>
          <w:b/>
          <w:bCs/>
        </w:rPr>
        <w:t>7.6.39.</w:t>
      </w:r>
      <w:r>
        <w:rPr/>
        <w:t xml:space="preserve">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p>
      <w:pPr>
        <w:pStyle w:val="Normal"/>
        <w:shd w:fill="FFFFFF" w:val="clear"/>
        <w:ind w:firstLine="283"/>
        <w:jc w:val="both"/>
        <w:rPr/>
      </w:pPr>
      <w:r>
        <w:rPr>
          <w:b/>
          <w:bCs/>
        </w:rPr>
        <w:t>7.6.40.</w:t>
      </w:r>
      <w:r>
        <w:rPr/>
        <w:t xml:space="preserve">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p>
      <w:pPr>
        <w:pStyle w:val="Normal"/>
        <w:shd w:fill="FFFFFF" w:val="clear"/>
        <w:ind w:firstLine="283"/>
        <w:jc w:val="both"/>
        <w:rPr/>
      </w:pPr>
      <w:r>
        <w:rPr>
          <w:b/>
          <w:bCs/>
        </w:rPr>
        <w:t>7.6.41.</w:t>
      </w:r>
      <w:r>
        <w:rPr/>
        <w:t xml:space="preserve">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w:t>
      </w:r>
      <w:hyperlink r:id="rId119">
        <w:r>
          <w:rPr>
            <w:rStyle w:val="InternetLink"/>
          </w:rPr>
          <w:t>СНиП 23-05-95</w:t>
        </w:r>
      </w:hyperlink>
      <w:r>
        <w:rPr/>
        <w:t xml:space="preserve"> «Естественное и искусственное освещение. Нормы проектирования».</w:t>
      </w:r>
    </w:p>
    <w:p>
      <w:pPr>
        <w:pStyle w:val="Normal"/>
        <w:shd w:fill="FFFFFF" w:val="clear"/>
        <w:ind w:firstLine="283"/>
        <w:jc w:val="both"/>
        <w:rPr/>
      </w:pPr>
      <w:r>
        <w:rPr>
          <w:b/>
          <w:bCs/>
        </w:rPr>
        <w:t>7.6.42.</w:t>
      </w:r>
      <w:r>
        <w:rPr/>
        <w:t xml:space="preserve">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pPr>
        <w:pStyle w:val="Normal"/>
        <w:shd w:fill="FFFFFF" w:val="clear"/>
        <w:ind w:firstLine="283"/>
        <w:jc w:val="both"/>
        <w:rPr/>
      </w:pPr>
      <w:r>
        <w:rPr>
          <w:b/>
          <w:bCs/>
        </w:rPr>
        <w:t>7.6.43.</w:t>
      </w:r>
      <w:r>
        <w:rPr/>
        <w:t xml:space="preserve">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w:t>
      </w:r>
      <w:r>
        <w:rPr>
          <w:vertAlign w:val="superscript"/>
        </w:rPr>
        <w:t>3</w:t>
      </w:r>
      <w:r>
        <w:rPr/>
        <w:t>/ч.</w:t>
      </w:r>
    </w:p>
    <w:p>
      <w:pPr>
        <w:pStyle w:val="Normal"/>
        <w:shd w:fill="FFFFFF" w:val="clear"/>
        <w:ind w:firstLine="283"/>
        <w:jc w:val="both"/>
        <w:rPr/>
      </w:pPr>
      <w:r>
        <w:rPr>
          <w:b/>
          <w:bCs/>
        </w:rPr>
        <w:t>7.6.44.</w:t>
      </w:r>
      <w:r>
        <w:rPr/>
        <w:t xml:space="preserve">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w:t>
      </w:r>
    </w:p>
    <w:p>
      <w:pPr>
        <w:pStyle w:val="Normal"/>
        <w:shd w:fill="FFFFFF" w:val="clear"/>
        <w:ind w:firstLine="283"/>
        <w:jc w:val="both"/>
        <w:rPr/>
      </w:pPr>
      <w:r>
        <w:rP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pPr>
        <w:pStyle w:val="Heading3"/>
        <w:rPr/>
      </w:pPr>
      <w:r>
        <w:rPr/>
        <w:t>Установки электрической сварки (резки, наплавки) плавлением</w:t>
      </w:r>
    </w:p>
    <w:p>
      <w:pPr>
        <w:pStyle w:val="Normal"/>
        <w:shd w:fill="FFFFFF" w:val="clear"/>
        <w:ind w:firstLine="283"/>
        <w:jc w:val="both"/>
        <w:rPr/>
      </w:pPr>
      <w:r>
        <w:rPr>
          <w:b/>
          <w:bCs/>
        </w:rPr>
        <w:t>7.6.45.</w:t>
      </w:r>
      <w:r>
        <w:rPr/>
        <w:t xml:space="preserve">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0,8 м и между многопостовыми - не менее 1,5 м. Расстояние от одно- и многопостовых источников сварочного тока до стены должно быть не менее 0,5 м.</w:t>
      </w:r>
    </w:p>
    <w:p>
      <w:pPr>
        <w:pStyle w:val="Normal"/>
        <w:shd w:fill="FFFFFF" w:val="clear"/>
        <w:ind w:firstLine="283"/>
        <w:jc w:val="both"/>
        <w:rPr/>
      </w:pPr>
      <w:r>
        <w:rPr/>
        <w:t>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w:t>
      </w:r>
    </w:p>
    <w:p>
      <w:pPr>
        <w:pStyle w:val="Normal"/>
        <w:shd w:fill="FFFFFF" w:val="clear"/>
        <w:ind w:firstLine="283"/>
        <w:jc w:val="both"/>
        <w:rPr/>
      </w:pPr>
      <w:r>
        <w:rP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pPr>
        <w:pStyle w:val="Normal"/>
        <w:shd w:fill="FFFFFF" w:val="clear"/>
        <w:ind w:firstLine="283"/>
        <w:jc w:val="both"/>
        <w:rPr/>
      </w:pPr>
      <w:r>
        <w:rPr>
          <w:b/>
          <w:bCs/>
        </w:rPr>
        <w:t>7.6.46.</w:t>
      </w:r>
      <w:r>
        <w:rPr/>
        <w:t xml:space="preserve">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p>
      <w:pPr>
        <w:pStyle w:val="Normal"/>
        <w:shd w:fill="FFFFFF" w:val="clear"/>
        <w:ind w:firstLine="283"/>
        <w:jc w:val="both"/>
        <w:rPr/>
      </w:pPr>
      <w:r>
        <w:rPr>
          <w:b/>
          <w:bCs/>
        </w:rPr>
        <w:t>7.6.47.</w:t>
      </w:r>
      <w:r>
        <w:rPr/>
        <w:t xml:space="preserve">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p>
      <w:pPr>
        <w:pStyle w:val="Normal"/>
        <w:shd w:fill="FFFFFF" w:val="clear"/>
        <w:ind w:firstLine="283"/>
        <w:jc w:val="both"/>
        <w:rPr/>
      </w:pPr>
      <w:r>
        <w:rPr>
          <w:b/>
          <w:bCs/>
        </w:rPr>
        <w:t>7.6.48.</w:t>
      </w:r>
      <w:r>
        <w:rPr/>
        <w:t xml:space="preserve">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pPr>
        <w:pStyle w:val="Normal"/>
        <w:shd w:fill="FFFFFF" w:val="clear"/>
        <w:ind w:firstLine="283"/>
        <w:jc w:val="both"/>
        <w:rPr/>
      </w:pPr>
      <w:r>
        <w:rPr>
          <w:b/>
          <w:bCs/>
        </w:rPr>
        <w:t>7.6.49.</w:t>
      </w:r>
      <w:r>
        <w:rPr/>
        <w:t xml:space="preserve">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pPr>
        <w:pStyle w:val="Normal"/>
        <w:shd w:fill="FFFFFF" w:val="clear"/>
        <w:ind w:firstLine="283"/>
        <w:jc w:val="both"/>
        <w:rPr/>
      </w:pPr>
      <w:r>
        <w:rPr>
          <w:b/>
          <w:bCs/>
        </w:rPr>
        <w:t>7.6.50.</w:t>
      </w:r>
      <w:r>
        <w:rPr/>
        <w:t xml:space="preserve"> В качестве обратного провода, соединяющего свариваемое изделие с источником сварочного тока в указанных в </w:t>
      </w:r>
      <w:r>
        <w:rPr>
          <w:b/>
          <w:bCs/>
        </w:rPr>
        <w:t xml:space="preserve">7.6.48 </w:t>
      </w:r>
      <w:r>
        <w:rPr/>
        <w:t xml:space="preserve">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 также </w:t>
      </w:r>
      <w:r>
        <w:rPr>
          <w:b/>
          <w:bCs/>
        </w:rPr>
        <w:t>7.6.51-7.6.52</w:t>
      </w:r>
      <w:r>
        <w:rPr/>
        <w:t>).</w:t>
      </w:r>
    </w:p>
    <w:p>
      <w:pPr>
        <w:pStyle w:val="Normal"/>
        <w:shd w:fill="FFFFFF" w:val="clear"/>
        <w:ind w:firstLine="283"/>
        <w:jc w:val="both"/>
        <w:rPr/>
      </w:pPr>
      <w:r>
        <w:rP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pPr>
        <w:pStyle w:val="Normal"/>
        <w:shd w:fill="FFFFFF" w:val="clear"/>
        <w:ind w:firstLine="283"/>
        <w:jc w:val="both"/>
        <w:rPr/>
      </w:pPr>
      <w:r>
        <w:rPr/>
        <w:t>Элементы, используемые в качестве обратного провода, должны надежно соединяться сваркой или с помощью болтов, струбцин либо зажимов.</w:t>
      </w:r>
    </w:p>
    <w:p>
      <w:pPr>
        <w:pStyle w:val="Normal"/>
        <w:shd w:fill="FFFFFF" w:val="clear"/>
        <w:ind w:firstLine="283"/>
        <w:jc w:val="both"/>
        <w:rPr/>
      </w:pPr>
      <w:r>
        <w:rPr>
          <w:b/>
          <w:bCs/>
        </w:rPr>
        <w:t>7.6.51.</w:t>
      </w:r>
      <w:r>
        <w:rPr/>
        <w:t xml:space="preserve">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pPr>
        <w:pStyle w:val="Normal"/>
        <w:shd w:fill="FFFFFF" w:val="clear"/>
        <w:ind w:firstLine="283"/>
        <w:jc w:val="both"/>
        <w:rPr/>
      </w:pPr>
      <w:r>
        <w:rPr>
          <w:b/>
          <w:bCs/>
        </w:rPr>
        <w:t>7.6.52.</w:t>
      </w:r>
      <w:r>
        <w:rPr/>
        <w:t xml:space="preserve">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p>
      <w:pPr>
        <w:pStyle w:val="Normal"/>
        <w:shd w:fill="FFFFFF" w:val="clear"/>
        <w:ind w:firstLine="283"/>
        <w:jc w:val="both"/>
        <w:rPr/>
      </w:pPr>
      <w:r>
        <w:rPr>
          <w:b/>
          <w:bCs/>
        </w:rPr>
        <w:t>7.6.53.</w:t>
      </w:r>
      <w:r>
        <w:rPr/>
        <w:t xml:space="preserve">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pPr>
        <w:pStyle w:val="Normal"/>
        <w:shd w:fill="FFFFFF" w:val="clear"/>
        <w:ind w:firstLine="283"/>
        <w:jc w:val="both"/>
        <w:rPr/>
      </w:pPr>
      <w:r>
        <w:rPr>
          <w:b/>
          <w:bCs/>
        </w:rPr>
        <w:t>7.6.54.</w:t>
      </w:r>
      <w:r>
        <w:rPr/>
        <w:t xml:space="preserve">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w:t>
      </w:r>
    </w:p>
    <w:p>
      <w:pPr>
        <w:pStyle w:val="Normal"/>
        <w:shd w:fill="FFFFFF" w:val="clear"/>
        <w:ind w:firstLine="283"/>
        <w:jc w:val="both"/>
        <w:rPr/>
      </w:pPr>
      <w:r>
        <w:rPr/>
        <w:t>80 В - для установок ручной и полуавтоматической дуговой сварки на номинальный сварочный ток 630 А;</w:t>
      </w:r>
    </w:p>
    <w:p>
      <w:pPr>
        <w:pStyle w:val="Normal"/>
        <w:shd w:fill="FFFFFF" w:val="clear"/>
        <w:ind w:firstLine="283"/>
        <w:jc w:val="both"/>
        <w:rPr/>
      </w:pPr>
      <w:r>
        <w:rPr/>
        <w:t>100 В - для установок автоматической дуговой сварки на номинальный сварочный ток 1000 А;</w:t>
      </w:r>
    </w:p>
    <w:p>
      <w:pPr>
        <w:pStyle w:val="Normal"/>
        <w:shd w:fill="FFFFFF" w:val="clear"/>
        <w:ind w:firstLine="283"/>
        <w:jc w:val="both"/>
        <w:rPr/>
      </w:pPr>
      <w:r>
        <w:rPr/>
        <w:t>120 В - для установок автоматической дуговой сварки на номинальный сварочный ток 1600 А;</w:t>
      </w:r>
    </w:p>
    <w:p>
      <w:pPr>
        <w:pStyle w:val="Normal"/>
        <w:shd w:fill="FFFFFF" w:val="clear"/>
        <w:ind w:firstLine="283"/>
        <w:jc w:val="both"/>
        <w:rPr/>
      </w:pPr>
      <w:r>
        <w:rPr/>
        <w:t>140 В - для установок автоматической дуговой сварки на номинальный сварочный ток 2000 А.</w:t>
      </w:r>
    </w:p>
    <w:p>
      <w:pPr>
        <w:pStyle w:val="Normal"/>
        <w:shd w:fill="FFFFFF" w:val="clear"/>
        <w:ind w:firstLine="283"/>
        <w:jc w:val="both"/>
        <w:rPr/>
      </w:pPr>
      <w:r>
        <w:rPr/>
        <w:t>В цепи сварочного тока допускаются кратковременные пики напряжения при обрыве дуги длительностью не более 0,5 с.</w:t>
      </w:r>
    </w:p>
    <w:p>
      <w:pPr>
        <w:pStyle w:val="Normal"/>
        <w:shd w:fill="FFFFFF" w:val="clear"/>
        <w:ind w:firstLine="283"/>
        <w:jc w:val="both"/>
        <w:rPr/>
      </w:pPr>
      <w:r>
        <w:rPr>
          <w:b/>
          <w:bCs/>
        </w:rPr>
        <w:t>7.6.55.</w:t>
      </w:r>
      <w:r>
        <w:rPr/>
        <w:t xml:space="preserve">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pPr>
        <w:pStyle w:val="Normal"/>
        <w:shd w:fill="FFFFFF" w:val="clear"/>
        <w:ind w:firstLine="283"/>
        <w:jc w:val="both"/>
        <w:rPr/>
      </w:pPr>
      <w:r>
        <w:rP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pPr>
        <w:pStyle w:val="Normal"/>
        <w:shd w:fill="FFFFFF" w:val="clear"/>
        <w:ind w:firstLine="283"/>
        <w:jc w:val="both"/>
        <w:rPr/>
      </w:pPr>
      <w:r>
        <w:rPr>
          <w:b/>
          <w:bCs/>
        </w:rPr>
        <w:t>7.6.56.</w:t>
      </w:r>
      <w:r>
        <w:rPr/>
        <w:t xml:space="preserve">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pPr>
        <w:pStyle w:val="Normal"/>
        <w:shd w:fill="FFFFFF" w:val="clear"/>
        <w:ind w:firstLine="283"/>
        <w:jc w:val="both"/>
        <w:rPr/>
      </w:pPr>
      <w:r>
        <w:rPr>
          <w:b/>
          <w:bCs/>
        </w:rPr>
        <w:t>7.6.57.</w:t>
      </w:r>
      <w:r>
        <w:rPr/>
        <w:t xml:space="preserve"> Напряжение холостого хода источника сварочного тока установок плазменной обработки при номинальном напряжении сети должны быть не выше:</w:t>
      </w:r>
    </w:p>
    <w:p>
      <w:pPr>
        <w:pStyle w:val="Normal"/>
        <w:shd w:fill="FFFFFF" w:val="clear"/>
        <w:ind w:firstLine="283"/>
        <w:jc w:val="both"/>
        <w:rPr/>
      </w:pPr>
      <w:r>
        <w:rPr/>
        <w:t>500 В - для установок автоматической резки, напыления и плазменно-механической обработки;</w:t>
      </w:r>
    </w:p>
    <w:p>
      <w:pPr>
        <w:pStyle w:val="Normal"/>
        <w:shd w:fill="FFFFFF" w:val="clear"/>
        <w:ind w:firstLine="283"/>
        <w:jc w:val="both"/>
        <w:rPr/>
      </w:pPr>
      <w:r>
        <w:rPr/>
        <w:t>300 В - для установок полуавтоматической резки или напыления;</w:t>
      </w:r>
    </w:p>
    <w:p>
      <w:pPr>
        <w:pStyle w:val="Normal"/>
        <w:shd w:fill="FFFFFF" w:val="clear"/>
        <w:ind w:firstLine="283"/>
        <w:jc w:val="both"/>
        <w:rPr/>
      </w:pPr>
      <w:r>
        <w:rPr/>
        <w:t>180 В - для установок ручной резки, сварки или наплавки.</w:t>
      </w:r>
    </w:p>
    <w:p>
      <w:pPr>
        <w:pStyle w:val="Normal"/>
        <w:shd w:fill="FFFFFF" w:val="clear"/>
        <w:ind w:firstLine="283"/>
        <w:jc w:val="both"/>
        <w:rPr/>
      </w:pPr>
      <w:r>
        <w:rPr>
          <w:b/>
          <w:bCs/>
        </w:rPr>
        <w:t>7.6.58.</w:t>
      </w:r>
      <w:r>
        <w:rPr/>
        <w:t xml:space="preserve">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pPr>
        <w:pStyle w:val="Normal"/>
        <w:shd w:fill="FFFFFF" w:val="clear"/>
        <w:ind w:firstLine="283"/>
        <w:jc w:val="both"/>
        <w:rPr/>
      </w:pPr>
      <w:r>
        <w:rPr>
          <w:b/>
          <w:bCs/>
        </w:rPr>
        <w:t>7.6.59.</w:t>
      </w:r>
      <w:r>
        <w:rPr/>
        <w:t xml:space="preserve">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pPr>
        <w:pStyle w:val="Normal"/>
        <w:shd w:fill="FFFFFF" w:val="clear"/>
        <w:ind w:firstLine="283"/>
        <w:jc w:val="both"/>
        <w:rPr/>
      </w:pPr>
      <w:r>
        <w:rPr>
          <w:b/>
          <w:bCs/>
        </w:rPr>
        <w:t>7.6.60.</w:t>
      </w:r>
      <w:r>
        <w:rPr/>
        <w:t xml:space="preserve">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pPr>
        <w:pStyle w:val="Normal"/>
        <w:shd w:fill="FFFFFF" w:val="clear"/>
        <w:ind w:firstLine="283"/>
        <w:jc w:val="both"/>
        <w:rPr/>
      </w:pPr>
      <w:r>
        <w:rPr>
          <w:b/>
          <w:bCs/>
        </w:rPr>
        <w:t>7.6.61.</w:t>
      </w:r>
      <w:r>
        <w:rPr/>
        <w:t xml:space="preserve">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pPr>
        <w:pStyle w:val="Heading3"/>
        <w:rPr/>
      </w:pPr>
      <w:r>
        <w:rPr/>
        <w:t>Установки электрической сварки с применением давления</w:t>
      </w:r>
    </w:p>
    <w:p>
      <w:pPr>
        <w:pStyle w:val="Normal"/>
        <w:shd w:fill="FFFFFF" w:val="clear"/>
        <w:ind w:firstLine="283"/>
        <w:jc w:val="both"/>
        <w:rPr/>
      </w:pPr>
      <w:r>
        <w:rPr>
          <w:b/>
          <w:bCs/>
        </w:rPr>
        <w:t>7.6.62.</w:t>
      </w:r>
      <w:r>
        <w:rPr/>
        <w:t xml:space="preserve">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p>
      <w:pPr>
        <w:pStyle w:val="Normal"/>
        <w:shd w:fill="FFFFFF" w:val="clear"/>
        <w:ind w:firstLine="283"/>
        <w:jc w:val="both"/>
        <w:rPr/>
      </w:pPr>
      <w:r>
        <w:rPr>
          <w:b/>
          <w:bCs/>
        </w:rPr>
        <w:t>7.6.63.</w:t>
      </w:r>
      <w:r>
        <w:rPr/>
        <w:t xml:space="preserve">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pPr>
        <w:pStyle w:val="Normal"/>
        <w:shd w:fill="FFFFFF" w:val="clear"/>
        <w:ind w:firstLine="283"/>
        <w:jc w:val="both"/>
        <w:rPr/>
      </w:pPr>
      <w:r>
        <w:rPr>
          <w:b/>
          <w:bCs/>
        </w:rPr>
        <w:t>7.6.64.</w:t>
      </w:r>
      <w:r>
        <w:rPr/>
        <w:t xml:space="preserve">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pPr>
        <w:pStyle w:val="Normal"/>
        <w:shd w:fill="FFFFFF" w:val="clear"/>
        <w:ind w:firstLine="283"/>
        <w:jc w:val="both"/>
        <w:rPr/>
      </w:pPr>
      <w:r>
        <w:rPr>
          <w:b/>
          <w:bCs/>
        </w:rPr>
        <w:t>7.6.65.</w:t>
      </w:r>
      <w:r>
        <w:rPr/>
        <w:t xml:space="preserve">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pPr>
        <w:pStyle w:val="Normal"/>
        <w:shd w:fill="FFFFFF" w:val="clear"/>
        <w:ind w:firstLine="283"/>
        <w:jc w:val="both"/>
        <w:rPr/>
      </w:pPr>
      <w:r>
        <w:rPr>
          <w:b/>
          <w:bCs/>
        </w:rPr>
        <w:t>7.6.66.</w:t>
      </w:r>
      <w:r>
        <w:rPr/>
        <w:t xml:space="preserve">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pPr>
        <w:pStyle w:val="Normal"/>
        <w:shd w:fill="FFFFFF" w:val="clear"/>
        <w:ind w:firstLine="283"/>
        <w:jc w:val="both"/>
        <w:rPr/>
      </w:pPr>
      <w:r>
        <w:rP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pPr>
        <w:pStyle w:val="Normal"/>
        <w:shd w:fill="FFFFFF" w:val="clear"/>
        <w:ind w:firstLine="283"/>
        <w:jc w:val="both"/>
        <w:rPr/>
      </w:pPr>
      <w:r>
        <w:rPr>
          <w:b/>
          <w:bCs/>
        </w:rPr>
        <w:t>7.6.67.</w:t>
      </w:r>
      <w:r>
        <w:rPr/>
        <w:t xml:space="preserve">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pPr>
        <w:pStyle w:val="Normal"/>
        <w:shd w:fill="FFFFFF" w:val="clear"/>
        <w:ind w:firstLine="283"/>
        <w:jc w:val="both"/>
        <w:rPr/>
      </w:pPr>
      <w:r>
        <w:rP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pPr>
        <w:pStyle w:val="Normal"/>
        <w:shd w:fill="FFFFFF" w:val="clear"/>
        <w:ind w:firstLine="283"/>
        <w:jc w:val="both"/>
        <w:rPr/>
      </w:pPr>
      <w:r>
        <w:rPr/>
        <w:t>Подвод тока в таких машинах к сварочным клещам рекомендуется выполнять проводом с водяным охлаждением.</w:t>
      </w:r>
    </w:p>
    <w:p>
      <w:pPr>
        <w:pStyle w:val="Heading2"/>
        <w:rPr/>
      </w:pPr>
      <w:bookmarkStart w:id="38" w:name="_%D0%93%D0%BB%D0%B0%D0%B2%D0%B0_7.10_%D0"/>
      <w:bookmarkEnd w:id="38"/>
      <w:r>
        <w:rPr/>
        <w:t>Глава 7.10 ЭЛЕКТРОЛИЗНЫЕ УСТАНОВКИ И УСТАНОВКИ ГАЛЬВАНИЧЕСКИХ ПОКРЫТИЙ</w:t>
      </w:r>
    </w:p>
    <w:p>
      <w:pPr>
        <w:pStyle w:val="Heading3"/>
        <w:rPr/>
      </w:pPr>
      <w:r>
        <w:rPr/>
        <w:t>Область применения</w:t>
      </w:r>
    </w:p>
    <w:p>
      <w:pPr>
        <w:pStyle w:val="Normal"/>
        <w:shd w:fill="FFFFFF" w:val="clear"/>
        <w:ind w:firstLine="283"/>
        <w:jc w:val="both"/>
        <w:rPr/>
      </w:pPr>
      <w:r>
        <w:rPr>
          <w:b/>
          <w:bCs/>
        </w:rPr>
        <w:t xml:space="preserve">7.10.1. </w:t>
      </w:r>
      <w:r>
        <w:rPr/>
        <w:t xml:space="preserve">Настоящая глава Правил распространяется на расположенные внутри зданий (исключения приведены в </w:t>
      </w:r>
      <w:r>
        <w:rPr>
          <w:bCs/>
        </w:rPr>
        <w:t>7.10.4</w:t>
      </w:r>
      <w:r>
        <w:rPr/>
        <w:t>) 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pPr>
        <w:pStyle w:val="Normal"/>
        <w:shd w:fill="FFFFFF" w:val="clear"/>
        <w:ind w:firstLine="283"/>
        <w:jc w:val="both"/>
        <w:rPr/>
      </w:pPr>
      <w:r>
        <w:rPr>
          <w:b/>
          <w:bCs/>
        </w:rPr>
        <w:t>7.10.2.</w:t>
      </w:r>
      <w:r>
        <w:rPr/>
        <w:t xml:space="preserve"> 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1-6 и гл. 7.3-7.5 Правил в той мере, в какой они не изменены настоящей главой.</w:t>
      </w:r>
    </w:p>
    <w:p>
      <w:pPr>
        <w:pStyle w:val="Heading3"/>
        <w:rPr/>
      </w:pPr>
      <w:r>
        <w:rPr/>
        <w:t>Определения. Состав установок</w:t>
      </w:r>
    </w:p>
    <w:p>
      <w:pPr>
        <w:pStyle w:val="Normal"/>
        <w:shd w:fill="FFFFFF" w:val="clear"/>
        <w:ind w:firstLine="283"/>
        <w:jc w:val="both"/>
        <w:rPr/>
      </w:pPr>
      <w:r>
        <w:rPr>
          <w:b/>
          <w:bCs/>
        </w:rPr>
        <w:t>7.10.3.</w:t>
      </w:r>
      <w:r>
        <w:rPr/>
        <w:t xml:space="preserve"> </w:t>
      </w:r>
      <w:r>
        <w:rPr>
          <w:spacing w:val="50"/>
        </w:rPr>
        <w:t>Установки электролизные и гальванических покрытий</w:t>
      </w:r>
      <w:r>
        <w:rPr/>
        <w:t xml:space="preserve">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w:t>
      </w:r>
      <w:r>
        <w:rPr>
          <w:b/>
          <w:bCs/>
        </w:rPr>
        <w:t>7.10.4</w:t>
      </w:r>
      <w:r>
        <w:rPr/>
        <w:t>), 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pPr>
        <w:pStyle w:val="Normal"/>
        <w:shd w:fill="FFFFFF" w:val="clear"/>
        <w:ind w:firstLine="283"/>
        <w:jc w:val="both"/>
        <w:rPr/>
      </w:pPr>
      <w:r>
        <w:rPr>
          <w:b/>
          <w:bCs/>
        </w:rPr>
        <w:t>7.10.4.</w:t>
      </w:r>
      <w:r>
        <w:rPr/>
        <w:t xml:space="preserve"> </w:t>
      </w:r>
      <w:r>
        <w:rPr>
          <w:spacing w:val="50"/>
        </w:rPr>
        <w:t>Выпрямительный агрегат</w:t>
      </w:r>
      <w:r>
        <w:rPr/>
        <w:t xml:space="preserve"> - агрегат, работающий по принципу источника напряжения (АИН), состоит из преобразовательного трансформатора и полупроводниковых выпрямителей.</w:t>
      </w:r>
    </w:p>
    <w:p>
      <w:pPr>
        <w:pStyle w:val="Normal"/>
        <w:shd w:fill="FFFFFF" w:val="clear"/>
        <w:ind w:firstLine="283"/>
        <w:jc w:val="both"/>
        <w:rPr/>
      </w:pPr>
      <w:r>
        <w:rPr>
          <w:spacing w:val="50"/>
        </w:rPr>
        <w:t>Параметрический выпрямительный агрегат</w:t>
      </w:r>
      <w:r>
        <w:rPr/>
        <w:t xml:space="preserve">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pPr>
        <w:pStyle w:val="Normal"/>
        <w:shd w:fill="FFFFFF" w:val="clear"/>
        <w:ind w:firstLine="283"/>
        <w:jc w:val="both"/>
        <w:rPr/>
      </w:pPr>
      <w:r>
        <w:rPr>
          <w:spacing w:val="50"/>
        </w:rPr>
        <w:t>Полупроводниковый выпрямитель</w:t>
      </w:r>
      <w:r>
        <w:rPr/>
        <w:t xml:space="preserve"> - комплект полупроводниковых вентилей, смонтированных на раме или в шкафу (на рамах или в шкафах) с системой воздушного или водяного охлаждения.</w:t>
      </w:r>
    </w:p>
    <w:p>
      <w:pPr>
        <w:pStyle w:val="Normal"/>
        <w:shd w:fill="FFFFFF" w:val="clear"/>
        <w:ind w:firstLine="283"/>
        <w:jc w:val="both"/>
        <w:rPr/>
      </w:pPr>
      <w:r>
        <w:rPr>
          <w:spacing w:val="50"/>
        </w:rPr>
        <w:t>Преобразовательная подстанция</w:t>
      </w:r>
      <w:r>
        <w:rPr/>
        <w:t xml:space="preserve">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w:t>
      </w:r>
      <w:r>
        <w:rPr>
          <w:b/>
          <w:bCs/>
        </w:rPr>
        <w:t>7.10.3</w:t>
      </w:r>
      <w:r>
        <w:rPr/>
        <w:t>), 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pPr>
        <w:pStyle w:val="Normal"/>
        <w:shd w:fill="FFFFFF" w:val="clear"/>
        <w:ind w:firstLine="283"/>
        <w:jc w:val="both"/>
        <w:rPr/>
      </w:pPr>
      <w:r>
        <w:rP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pPr>
        <w:pStyle w:val="Normal"/>
        <w:shd w:fill="FFFFFF" w:val="clear"/>
        <w:ind w:firstLine="283"/>
        <w:jc w:val="both"/>
        <w:rPr/>
      </w:pPr>
      <w:r>
        <w:rPr/>
        <w:t xml:space="preserve">7.10.5. </w:t>
      </w:r>
      <w:r>
        <w:rPr>
          <w:spacing w:val="50"/>
        </w:rPr>
        <w:t>Электролизная ванна или электролизер</w:t>
      </w:r>
      <w:r>
        <w:rPr/>
        <w:t xml:space="preserve">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pPr>
        <w:pStyle w:val="Normal"/>
        <w:shd w:fill="FFFFFF" w:val="clear"/>
        <w:ind w:firstLine="283"/>
        <w:jc w:val="both"/>
        <w:rPr/>
      </w:pPr>
      <w:r>
        <w:rP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pPr>
        <w:pStyle w:val="Normal"/>
        <w:shd w:fill="FFFFFF" w:val="clear"/>
        <w:ind w:firstLine="283"/>
        <w:jc w:val="both"/>
        <w:rPr/>
      </w:pPr>
      <w:r>
        <w:rPr>
          <w:spacing w:val="50"/>
        </w:rPr>
        <w:t>Серия электролизных ванн (электролизеров)</w:t>
      </w:r>
      <w:r>
        <w:rPr/>
        <w:t xml:space="preserve">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pPr>
        <w:pStyle w:val="Normal"/>
        <w:shd w:fill="FFFFFF" w:val="clear"/>
        <w:ind w:firstLine="283"/>
        <w:jc w:val="both"/>
        <w:rPr/>
      </w:pPr>
      <w:r>
        <w:rPr>
          <w:b/>
          <w:bCs/>
        </w:rPr>
        <w:t>7.10.6.</w:t>
      </w:r>
      <w:r>
        <w:rPr/>
        <w:t xml:space="preserve"> </w:t>
      </w:r>
      <w:r>
        <w:rPr>
          <w:spacing w:val="50"/>
        </w:rPr>
        <w:t>Зал электролиза</w:t>
      </w:r>
      <w:r>
        <w:rPr>
          <w:vertAlign w:val="superscript"/>
        </w:rPr>
        <w:t>1</w:t>
      </w:r>
      <w:r>
        <w:rPr/>
        <w:t xml:space="preserve"> - производственное помещение, в котором размещены одиночные электролизные ванны (электролизеры), их серия, несколько серий или часть серии.</w:t>
      </w:r>
    </w:p>
    <w:p>
      <w:pPr>
        <w:pStyle w:val="Normal"/>
        <w:shd w:fill="FFFFFF" w:val="clear"/>
        <w:spacing w:before="120" w:after="120"/>
        <w:ind w:firstLine="283"/>
        <w:jc w:val="both"/>
        <w:rPr/>
      </w:pPr>
      <w:r>
        <w:rPr>
          <w:vertAlign w:val="superscript"/>
        </w:rPr>
        <w:t>1</w:t>
      </w:r>
      <w:r>
        <w:rPr/>
        <w:t xml:space="preserve"> 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pPr>
        <w:pStyle w:val="Normal"/>
        <w:shd w:fill="FFFFFF" w:val="clear"/>
        <w:ind w:firstLine="283"/>
        <w:jc w:val="both"/>
        <w:rPr/>
      </w:pPr>
      <w:r>
        <w:rP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pPr>
        <w:pStyle w:val="Normal"/>
        <w:shd w:fill="FFFFFF" w:val="clear"/>
        <w:ind w:firstLine="283"/>
        <w:jc w:val="both"/>
        <w:rPr/>
      </w:pPr>
      <w:r>
        <w:rPr>
          <w:b/>
          <w:bCs/>
        </w:rPr>
        <w:t>7.10.7.</w:t>
      </w:r>
      <w:r>
        <w:rPr/>
        <w:t xml:space="preserve"> </w:t>
      </w:r>
      <w:r>
        <w:rPr>
          <w:spacing w:val="50"/>
        </w:rPr>
        <w:t>Гальванический цех (участок, отделение)</w:t>
      </w:r>
      <w:r>
        <w:rPr/>
        <w:t xml:space="preserve">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pPr>
        <w:pStyle w:val="Heading3"/>
        <w:rPr/>
      </w:pPr>
      <w:r>
        <w:rPr/>
        <w:t>Общие требования</w:t>
      </w:r>
    </w:p>
    <w:p>
      <w:pPr>
        <w:pStyle w:val="Normal"/>
        <w:shd w:fill="FFFFFF" w:val="clear"/>
        <w:ind w:firstLine="283"/>
        <w:jc w:val="both"/>
        <w:rPr/>
      </w:pPr>
      <w:r>
        <w:rPr>
          <w:b/>
          <w:bCs/>
        </w:rPr>
        <w:t>7.10.8.</w:t>
      </w:r>
      <w:r>
        <w:rPr/>
        <w:t xml:space="preserve">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pPr>
        <w:pStyle w:val="Normal"/>
        <w:shd w:fill="FFFFFF" w:val="clear"/>
        <w:ind w:firstLine="283"/>
        <w:jc w:val="both"/>
        <w:rPr/>
      </w:pPr>
      <w:r>
        <w:rPr>
          <w:b/>
          <w:bCs/>
        </w:rPr>
        <w:t>7.10.9.</w:t>
      </w:r>
      <w:r>
        <w:rPr/>
        <w:t xml:space="preserve"> 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pPr>
        <w:pStyle w:val="Normal"/>
        <w:shd w:fill="FFFFFF" w:val="clear"/>
        <w:ind w:firstLine="283"/>
        <w:jc w:val="both"/>
        <w:rPr/>
      </w:pPr>
      <w:r>
        <w:rP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pPr>
        <w:pStyle w:val="Normal"/>
        <w:shd w:fill="FFFFFF" w:val="clear"/>
        <w:ind w:firstLine="283"/>
        <w:jc w:val="both"/>
        <w:rPr/>
      </w:pPr>
      <w:r>
        <w:rPr>
          <w:b/>
          <w:bCs/>
        </w:rPr>
        <w:t>7.10.10.</w:t>
      </w:r>
      <w:r>
        <w:rPr/>
        <w:t xml:space="preserve"> 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ГОСТ 13109 показателей качества электроэнергии (ПКЭ).</w:t>
      </w:r>
    </w:p>
    <w:p>
      <w:pPr>
        <w:pStyle w:val="Normal"/>
        <w:shd w:fill="FFFFFF" w:val="clear"/>
        <w:ind w:firstLine="283"/>
        <w:jc w:val="both"/>
        <w:rPr/>
      </w:pPr>
      <w:r>
        <w:rP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pPr>
        <w:pStyle w:val="Normal"/>
        <w:shd w:fill="FFFFFF" w:val="clear"/>
        <w:ind w:firstLine="283"/>
        <w:jc w:val="both"/>
        <w:rPr/>
      </w:pPr>
      <w:r>
        <w:rPr>
          <w:b/>
          <w:bCs/>
        </w:rPr>
        <w:t>7.10.11.</w:t>
      </w:r>
      <w:r>
        <w:rPr/>
        <w:t xml:space="preserve"> В электролизных установках к электроприемникам I категории по степени надежности электроснабжения следует относить серии электролизных ванн-электролизеров.</w:t>
      </w:r>
    </w:p>
    <w:p>
      <w:pPr>
        <w:pStyle w:val="Normal"/>
        <w:shd w:fill="FFFFFF" w:val="clear"/>
        <w:ind w:firstLine="283"/>
        <w:jc w:val="both"/>
        <w:rPr/>
      </w:pPr>
      <w:r>
        <w:rP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pPr>
        <w:pStyle w:val="Normal"/>
        <w:shd w:fill="FFFFFF" w:val="clear"/>
        <w:ind w:firstLine="283"/>
        <w:jc w:val="both"/>
        <w:rPr/>
      </w:pPr>
      <w:r>
        <w:rPr>
          <w:b/>
          <w:bCs/>
        </w:rPr>
        <w:t>7.10.12.</w:t>
      </w:r>
      <w:r>
        <w:rPr/>
        <w:t xml:space="preserve"> В отношении опасности поражения людей электрическим током помещения установок, цехов</w:t>
      </w:r>
      <w:r>
        <w:rPr>
          <w:vertAlign w:val="superscript"/>
        </w:rPr>
        <w:t>1</w:t>
      </w:r>
      <w:r>
        <w:rPr/>
        <w:t xml:space="preserve"> (станций, корпусов, отделений) электролиза и гальванических покрытий относятся к помещениям с повышенной опасностью.</w:t>
      </w:r>
    </w:p>
    <w:p>
      <w:pPr>
        <w:pStyle w:val="Normal"/>
        <w:shd w:fill="FFFFFF" w:val="clear"/>
        <w:spacing w:before="120" w:after="120"/>
        <w:ind w:firstLine="283"/>
        <w:jc w:val="both"/>
        <w:rPr/>
      </w:pPr>
      <w:r>
        <w:rPr>
          <w:vertAlign w:val="superscript"/>
        </w:rPr>
        <w:t>1</w:t>
      </w:r>
      <w:r>
        <w:rPr/>
        <w:t xml:space="preserve"> 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pPr>
        <w:pStyle w:val="Normal"/>
        <w:shd w:fill="FFFFFF" w:val="clear"/>
        <w:ind w:firstLine="283"/>
        <w:jc w:val="both"/>
        <w:rPr/>
      </w:pPr>
      <w:r>
        <w:rPr>
          <w:b/>
          <w:bCs/>
        </w:rPr>
        <w:t>7.10.13.</w:t>
      </w:r>
      <w:r>
        <w:rPr/>
        <w:t xml:space="preserve"> 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pPr>
        <w:pStyle w:val="Normal"/>
        <w:shd w:fill="FFFFFF" w:val="clear"/>
        <w:ind w:firstLine="283"/>
        <w:jc w:val="both"/>
        <w:rPr/>
      </w:pPr>
      <w:r>
        <w:rPr>
          <w:b/>
          <w:bCs/>
        </w:rPr>
        <w:t>7.10.14.</w:t>
      </w:r>
      <w:r>
        <w:rPr/>
        <w:t xml:space="preserve"> 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pPr>
        <w:pStyle w:val="Normal"/>
        <w:shd w:fill="FFFFFF" w:val="clear"/>
        <w:ind w:firstLine="283"/>
        <w:jc w:val="both"/>
        <w:rPr/>
      </w:pPr>
      <w:r>
        <w:rPr/>
        <w:t>Металлические корпуса светильников верхнего света, пускорегулирующие аппараты и ответвительные коробки, расположенные на отметке выше 3,5 м от площадки обслуживания электролизеров, не требуется изолировать от стальных конструкций.</w:t>
      </w:r>
    </w:p>
    <w:p>
      <w:pPr>
        <w:pStyle w:val="Normal"/>
        <w:shd w:fill="FFFFFF" w:val="clear"/>
        <w:ind w:firstLine="283"/>
        <w:jc w:val="both"/>
        <w:rPr/>
      </w:pPr>
      <w:r>
        <w:rPr>
          <w:b/>
          <w:bCs/>
        </w:rPr>
        <w:t>7.10.15.</w:t>
      </w:r>
      <w:r>
        <w:rPr/>
        <w:t xml:space="preserve"> 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w:t>
      </w:r>
      <w:r>
        <w:rPr>
          <w:bCs/>
        </w:rPr>
        <w:t>7.10.47</w:t>
      </w:r>
      <w:r>
        <w:rPr/>
        <w:t>).</w:t>
      </w:r>
    </w:p>
    <w:p>
      <w:pPr>
        <w:pStyle w:val="Normal"/>
        <w:shd w:fill="FFFFFF" w:val="clear"/>
        <w:ind w:firstLine="283"/>
        <w:jc w:val="both"/>
        <w:rPr/>
      </w:pPr>
      <w:r>
        <w:rPr>
          <w:b/>
          <w:bCs/>
        </w:rPr>
        <w:t>7.10.16.</w:t>
      </w:r>
      <w:r>
        <w:rPr/>
        <w:t xml:space="preserve"> 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II по ГОСТ 30030.</w:t>
      </w:r>
    </w:p>
    <w:p>
      <w:pPr>
        <w:pStyle w:val="Normal"/>
        <w:shd w:fill="FFFFFF" w:val="clear"/>
        <w:ind w:firstLine="283"/>
        <w:jc w:val="both"/>
        <w:rPr/>
      </w:pPr>
      <w:r>
        <w:rPr>
          <w:b/>
          <w:bCs/>
        </w:rPr>
        <w:t>7.10.17.</w:t>
      </w:r>
      <w:r>
        <w:rPr/>
        <w:t xml:space="preserve">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pPr>
        <w:pStyle w:val="Normal"/>
        <w:shd w:fill="FFFFFF" w:val="clear"/>
        <w:ind w:firstLine="283"/>
        <w:jc w:val="both"/>
        <w:rPr/>
      </w:pPr>
      <w:r>
        <w:rPr>
          <w:b/>
          <w:bCs/>
        </w:rPr>
        <w:t>7.10.18.</w:t>
      </w:r>
      <w:r>
        <w:rPr/>
        <w:t xml:space="preserve"> 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w:t>
      </w:r>
      <w:r>
        <w:rPr>
          <w:vertAlign w:val="superscript"/>
        </w:rPr>
        <w:t>1</w:t>
      </w:r>
      <w:r>
        <w:rPr/>
        <w:t>.</w:t>
      </w:r>
    </w:p>
    <w:p>
      <w:pPr>
        <w:pStyle w:val="Normal"/>
        <w:shd w:fill="FFFFFF" w:val="clear"/>
        <w:spacing w:before="120" w:after="120"/>
        <w:ind w:firstLine="283"/>
        <w:jc w:val="both"/>
        <w:rPr/>
      </w:pPr>
      <w:r>
        <w:rPr>
          <w:vertAlign w:val="superscript"/>
        </w:rPr>
        <w:t>1</w:t>
      </w:r>
      <w:r>
        <w:rPr/>
        <w:t xml:space="preserve"> 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pPr>
        <w:pStyle w:val="Normal"/>
        <w:shd w:fill="FFFFFF" w:val="clear"/>
        <w:ind w:firstLine="283"/>
        <w:jc w:val="both"/>
        <w:rPr/>
      </w:pPr>
      <w:r>
        <w:rP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pPr>
        <w:pStyle w:val="Normal"/>
        <w:shd w:fill="FFFFFF" w:val="clear"/>
        <w:ind w:firstLine="283"/>
        <w:jc w:val="both"/>
        <w:rPr/>
      </w:pPr>
      <w:r>
        <w:rPr/>
        <w:t>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200 м и предусмотрено блокирование, исключающее одновременное включение нагревателей нескольких электролизеров.</w:t>
      </w:r>
    </w:p>
    <w:p>
      <w:pPr>
        <w:pStyle w:val="Normal"/>
        <w:shd w:fill="FFFFFF" w:val="clear"/>
        <w:ind w:firstLine="283"/>
        <w:jc w:val="both"/>
        <w:rPr/>
      </w:pPr>
      <w:r>
        <w:rPr>
          <w:b/>
          <w:bCs/>
        </w:rPr>
        <w:t>7.10.19.</w:t>
      </w:r>
      <w:r>
        <w:rPr/>
        <w:t xml:space="preserve"> 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pPr>
        <w:pStyle w:val="Normal"/>
        <w:shd w:fill="FFFFFF" w:val="clear"/>
        <w:ind w:firstLine="283"/>
        <w:jc w:val="both"/>
        <w:rPr/>
      </w:pPr>
      <w:r>
        <w:rPr/>
        <w:t>Такие помещения, где по условиям технологического процесса исключается образование рассчитываемого согласно НПБ 105-95 избыточного давления взрыва в помещении, превышающего 5 кПа, имеют согласно классификации, приведенной в ГОСТ Р 51330.9,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pPr>
        <w:pStyle w:val="Normal"/>
        <w:shd w:fill="FFFFFF" w:val="clear"/>
        <w:ind w:firstLine="283"/>
        <w:jc w:val="both"/>
        <w:rPr/>
      </w:pPr>
      <w:r>
        <w:rPr/>
        <w:t>В этой зоне под потолком помещения следует размещать датчики (как правило, не менее двух на каждые 36 м</w:t>
      </w:r>
      <w:r>
        <w:rPr>
          <w:vertAlign w:val="superscript"/>
        </w:rPr>
        <w:t>2</w:t>
      </w:r>
      <w:r>
        <w:rPr/>
        <w:t xml:space="preserve">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pPr>
        <w:pStyle w:val="Normal"/>
        <w:shd w:fill="FFFFFF" w:val="clear"/>
        <w:ind w:firstLine="283"/>
        <w:jc w:val="both"/>
        <w:rPr/>
      </w:pPr>
      <w:r>
        <w:rPr>
          <w:b/>
          <w:bCs/>
        </w:rPr>
        <w:t xml:space="preserve">7.10.20. </w:t>
      </w:r>
      <w:r>
        <w:rPr/>
        <w:t>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IP 54. Камеры КОУ должны размещаться вне взрывоопасной среды в стене, граничащей с соседним невзрывоопасным помещением, или в наружной стене.</w:t>
      </w:r>
    </w:p>
    <w:p>
      <w:pPr>
        <w:pStyle w:val="Normal"/>
        <w:shd w:fill="FFFFFF" w:val="clear"/>
        <w:ind w:firstLine="283"/>
        <w:jc w:val="both"/>
        <w:rPr/>
      </w:pPr>
      <w:r>
        <w:rPr/>
        <w:t>Помимо КОУ рекомендуется использование светильников общего назначения, устанавливаемых:</w:t>
      </w:r>
    </w:p>
    <w:p>
      <w:pPr>
        <w:pStyle w:val="Normal"/>
        <w:shd w:fill="FFFFFF" w:val="clear"/>
        <w:ind w:firstLine="283"/>
        <w:jc w:val="both"/>
        <w:rPr/>
      </w:pPr>
      <w:r>
        <w:rPr/>
        <w:t>за неоткрывающимися окнами с двойным остеклением без фрамуг и форточек;</w:t>
      </w:r>
    </w:p>
    <w:p>
      <w:pPr>
        <w:pStyle w:val="Normal"/>
        <w:shd w:fill="FFFFFF" w:val="clear"/>
        <w:ind w:firstLine="283"/>
        <w:jc w:val="both"/>
        <w:rPr/>
      </w:pPr>
      <w:r>
        <w:rPr/>
        <w:t>в специальных нишах с двойным остеклением в стене;</w:t>
      </w:r>
    </w:p>
    <w:p>
      <w:pPr>
        <w:pStyle w:val="Normal"/>
        <w:shd w:fill="FFFFFF" w:val="clear"/>
        <w:ind w:firstLine="283"/>
        <w:jc w:val="both"/>
        <w:rPr/>
      </w:pPr>
      <w:r>
        <w:rPr/>
        <w:t>в специальных фонарях с двойным остеклением в потолочном перекрытии;</w:t>
      </w:r>
    </w:p>
    <w:p>
      <w:pPr>
        <w:pStyle w:val="Normal"/>
        <w:shd w:fill="FFFFFF" w:val="clear"/>
        <w:ind w:firstLine="283"/>
        <w:jc w:val="both"/>
        <w:rPr/>
      </w:pPr>
      <w:r>
        <w:rPr/>
        <w:t>в остекленных коробах.</w:t>
      </w:r>
    </w:p>
    <w:p>
      <w:pPr>
        <w:pStyle w:val="Normal"/>
        <w:shd w:fill="FFFFFF" w:val="clear"/>
        <w:ind w:firstLine="283"/>
        <w:jc w:val="both"/>
        <w:rPr/>
      </w:pPr>
      <w:r>
        <w:rPr/>
        <w:t>Ниши и фонари должны иметь вентиляцию наружным воздухом с естественным побуждением.</w:t>
      </w:r>
    </w:p>
    <w:p>
      <w:pPr>
        <w:pStyle w:val="Normal"/>
        <w:shd w:fill="FFFFFF" w:val="clear"/>
        <w:ind w:firstLine="283"/>
        <w:jc w:val="both"/>
        <w:rPr/>
      </w:pPr>
      <w:r>
        <w:rP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pPr>
        <w:pStyle w:val="Normal"/>
        <w:shd w:fill="FFFFFF" w:val="clear"/>
        <w:ind w:firstLine="283"/>
        <w:jc w:val="both"/>
        <w:rPr/>
      </w:pPr>
      <w:r>
        <w:rPr>
          <w:b/>
          <w:bCs/>
        </w:rPr>
        <w:t>7.10.21.</w:t>
      </w:r>
      <w:r>
        <w:rPr/>
        <w:t xml:space="preserve"> 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w:t>
      </w:r>
      <w:r>
        <w:rPr>
          <w:b/>
          <w:bCs/>
        </w:rPr>
        <w:t xml:space="preserve">7.10.19), </w:t>
      </w:r>
      <w:r>
        <w:rPr/>
        <w:t>эти механизмы (их электрооборудование) должны иметь исполнение, соответствующее требованиям гл. 7.3.</w:t>
      </w:r>
    </w:p>
    <w:p>
      <w:pPr>
        <w:pStyle w:val="Normal"/>
        <w:shd w:fill="FFFFFF" w:val="clear"/>
        <w:ind w:firstLine="283"/>
        <w:jc w:val="both"/>
        <w:rPr/>
      </w:pPr>
      <w:r>
        <w:rP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pPr>
        <w:pStyle w:val="Normal"/>
        <w:shd w:fill="FFFFFF" w:val="clear"/>
        <w:ind w:firstLine="283"/>
        <w:jc w:val="both"/>
        <w:rPr/>
      </w:pPr>
      <w:r>
        <w:rPr>
          <w:b/>
          <w:bCs/>
        </w:rPr>
        <w:t>7.10.22.</w:t>
      </w:r>
      <w:r>
        <w:rPr/>
        <w:t xml:space="preserve">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температурой 45 °С и выше - теплостойкими лаками (исключение - шины в корпусах электролиза алюминия).</w:t>
      </w:r>
    </w:p>
    <w:p>
      <w:pPr>
        <w:pStyle w:val="Normal"/>
        <w:shd w:fill="FFFFFF" w:val="clear"/>
        <w:ind w:firstLine="283"/>
        <w:jc w:val="both"/>
        <w:rPr/>
      </w:pPr>
      <w:r>
        <w:rP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pPr>
        <w:pStyle w:val="Normal"/>
        <w:shd w:fill="FFFFFF" w:val="clear"/>
        <w:ind w:firstLine="283"/>
        <w:jc w:val="both"/>
        <w:rPr/>
      </w:pPr>
      <w:r>
        <w:rPr/>
        <w:t>Для прокладки по электролизерам в зонах высокой температуры должны использоваться провода или кабели с нагревостойкой изоляцией и оболочкой.</w:t>
      </w:r>
    </w:p>
    <w:p>
      <w:pPr>
        <w:pStyle w:val="Normal"/>
        <w:shd w:fill="FFFFFF" w:val="clear"/>
        <w:ind w:firstLine="283"/>
        <w:jc w:val="both"/>
        <w:rPr/>
      </w:pPr>
      <w:r>
        <w:rP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pPr>
        <w:pStyle w:val="Normal"/>
        <w:shd w:fill="FFFFFF" w:val="clear"/>
        <w:ind w:firstLine="283"/>
        <w:jc w:val="both"/>
        <w:rPr/>
      </w:pPr>
      <w:r>
        <w:rP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pPr>
        <w:pStyle w:val="Normal"/>
        <w:shd w:fill="FFFFFF" w:val="clear"/>
        <w:ind w:firstLine="283"/>
        <w:jc w:val="both"/>
        <w:rPr/>
      </w:pPr>
      <w:r>
        <w:rPr>
          <w:b/>
          <w:bCs/>
        </w:rPr>
        <w:t>7.10.23.</w:t>
      </w:r>
      <w:r>
        <w:rPr/>
        <w:t xml:space="preserve"> 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w:t>
      </w:r>
      <w:r>
        <w:rPr>
          <w:b/>
          <w:bCs/>
        </w:rPr>
        <w:t>7.10.24, 7.10.29-7.10.30).</w:t>
      </w:r>
    </w:p>
    <w:p>
      <w:pPr>
        <w:pStyle w:val="Normal"/>
        <w:shd w:fill="FFFFFF" w:val="clear"/>
        <w:ind w:firstLine="283"/>
        <w:jc w:val="both"/>
        <w:rPr/>
      </w:pPr>
      <w:r>
        <w:rP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pPr>
        <w:pStyle w:val="Normal"/>
        <w:shd w:fill="FFFFFF" w:val="clear"/>
        <w:ind w:firstLine="283"/>
        <w:jc w:val="both"/>
        <w:rPr/>
      </w:pPr>
      <w:r>
        <w:rPr>
          <w:b/>
          <w:bCs/>
        </w:rPr>
        <w:t>7.10.24.</w:t>
      </w:r>
      <w:r>
        <w:rPr/>
        <w:t xml:space="preserve">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w:t>
      </w:r>
      <w:r>
        <w:rPr>
          <w:b/>
          <w:bCs/>
        </w:rPr>
        <w:t xml:space="preserve">7.10.23, </w:t>
      </w:r>
      <w:r>
        <w:rPr/>
        <w:t>должны иметь электрическую изоляцию от земли:</w:t>
      </w:r>
    </w:p>
    <w:p>
      <w:pPr>
        <w:pStyle w:val="Normal"/>
        <w:shd w:fill="FFFFFF" w:val="clear"/>
        <w:ind w:firstLine="283"/>
        <w:jc w:val="both"/>
        <w:rPr/>
      </w:pPr>
      <w:r>
        <w:rPr/>
        <w:t>внутренние поверхности стен на высоту до 3 м и колонны на высоту до 3,5 м от уровня рабочих площадок первого этажа в одноэтажных зданиях или второго этажа в двухэтажных зданиях;</w:t>
      </w:r>
    </w:p>
    <w:p>
      <w:pPr>
        <w:pStyle w:val="Normal"/>
        <w:shd w:fill="FFFFFF" w:val="clear"/>
        <w:ind w:firstLine="283"/>
        <w:jc w:val="both"/>
        <w:rPr/>
      </w:pPr>
      <w:r>
        <w:rPr/>
        <w:t>металлические и железобетонные конструкции рабочих площадок, расположенные возле электролизеров;</w:t>
      </w:r>
    </w:p>
    <w:p>
      <w:pPr>
        <w:pStyle w:val="Normal"/>
        <w:shd w:fill="FFFFFF" w:val="clear"/>
        <w:ind w:firstLine="283"/>
        <w:jc w:val="both"/>
        <w:rPr/>
      </w:pPr>
      <w:r>
        <w:rPr/>
        <w:t>перекрытия шинных каналов и полов возле электролизеров;</w:t>
      </w:r>
    </w:p>
    <w:p>
      <w:pPr>
        <w:pStyle w:val="Normal"/>
        <w:shd w:fill="FFFFFF" w:val="clear"/>
        <w:ind w:firstLine="283"/>
        <w:jc w:val="both"/>
        <w:rPr/>
      </w:pPr>
      <w:r>
        <w:rPr/>
        <w:t>металлические крышки люков;</w:t>
      </w:r>
    </w:p>
    <w:p>
      <w:pPr>
        <w:pStyle w:val="Normal"/>
        <w:shd w:fill="FFFFFF" w:val="clear"/>
        <w:ind w:firstLine="283"/>
        <w:jc w:val="both"/>
        <w:rPr/>
      </w:pPr>
      <w:r>
        <w:rPr/>
        <w:t>металлические части вентиляционных устройств, расположенные на полу и у стен корпуса;</w:t>
      </w:r>
    </w:p>
    <w:p>
      <w:pPr>
        <w:pStyle w:val="Normal"/>
        <w:shd w:fill="FFFFFF" w:val="clear"/>
        <w:ind w:firstLine="283"/>
        <w:jc w:val="both"/>
        <w:rPr/>
      </w:pPr>
      <w:r>
        <w:rPr/>
        <w:t>металлические трубопроводы, кронштейны и другие металлические конструкции, расположенные в пределах помещения на высоте до 3,5 м от уровня пола;</w:t>
      </w:r>
    </w:p>
    <w:p>
      <w:pPr>
        <w:pStyle w:val="Normal"/>
        <w:shd w:fill="FFFFFF" w:val="clear"/>
        <w:ind w:firstLine="283"/>
        <w:jc w:val="both"/>
        <w:rPr/>
      </w:pPr>
      <w:r>
        <w:rPr/>
        <w:t xml:space="preserve">подъемно-транспортные механизмы (см. </w:t>
      </w:r>
      <w:r>
        <w:rPr>
          <w:b/>
          <w:bCs/>
        </w:rPr>
        <w:t>7.10.21</w:t>
      </w:r>
      <w:r>
        <w:rPr/>
        <w:t>).</w:t>
      </w:r>
    </w:p>
    <w:p>
      <w:pPr>
        <w:pStyle w:val="Normal"/>
        <w:shd w:fill="FFFFFF" w:val="clear"/>
        <w:ind w:firstLine="283"/>
        <w:jc w:val="both"/>
        <w:rPr/>
      </w:pPr>
      <w:r>
        <w:rPr>
          <w:b/>
          <w:bCs/>
        </w:rPr>
        <w:t>7.10.25.</w:t>
      </w:r>
      <w:r>
        <w:rPr/>
        <w:t xml:space="preserve"> 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pPr>
        <w:pStyle w:val="Normal"/>
        <w:shd w:fill="FFFFFF" w:val="clear"/>
        <w:ind w:firstLine="283"/>
        <w:jc w:val="both"/>
        <w:rPr/>
      </w:pPr>
      <w:r>
        <w:rPr>
          <w:b/>
          <w:bCs/>
        </w:rPr>
        <w:t>7.10.26.</w:t>
      </w:r>
      <w:r>
        <w:rPr/>
        <w:t xml:space="preserve"> 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3,5 м от уровня пола. Сетки или металлические конструкции каркаса должны быть изолированы от токопровода.</w:t>
      </w:r>
    </w:p>
    <w:p>
      <w:pPr>
        <w:pStyle w:val="Normal"/>
        <w:shd w:fill="FFFFFF" w:val="clear"/>
        <w:ind w:firstLine="283"/>
        <w:jc w:val="both"/>
        <w:rPr/>
      </w:pPr>
      <w:r>
        <w:rPr>
          <w:b/>
          <w:bCs/>
        </w:rPr>
        <w:t>7.10.27.</w:t>
      </w:r>
      <w:r>
        <w:rPr/>
        <w:t xml:space="preserve"> 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pPr>
        <w:pStyle w:val="Normal"/>
        <w:shd w:fill="FFFFFF" w:val="clear"/>
        <w:ind w:firstLine="283"/>
        <w:jc w:val="both"/>
        <w:rPr/>
      </w:pPr>
      <w:r>
        <w:rPr/>
        <w:t>при расположении горизонтальных участков токопроводов над проходами на высоте менее 2,5 м над уровнем пола или нахождении их в зоне движения кранов и цехового транспорта</w:t>
      </w:r>
      <w:r>
        <w:rPr>
          <w:vertAlign w:val="superscript"/>
        </w:rPr>
        <w:t>1</w:t>
      </w:r>
      <w:r>
        <w:rPr/>
        <w:t>;</w:t>
      </w:r>
    </w:p>
    <w:p>
      <w:pPr>
        <w:pStyle w:val="Normal"/>
        <w:shd w:fill="FFFFFF" w:val="clear"/>
        <w:ind w:firstLine="283"/>
        <w:jc w:val="both"/>
        <w:rPr/>
      </w:pPr>
      <w:r>
        <w:rPr/>
        <w:t>при расстоянии менее 2,5 м между токопроводами, расположенными на высоте ниже 2,5 м над уровнем пола, и заземленными трубопроводами или заземленным оборудованием</w:t>
      </w:r>
      <w:r>
        <w:rPr>
          <w:vertAlign w:val="superscript"/>
        </w:rPr>
        <w:t>1</w:t>
      </w:r>
      <w:r>
        <w:rPr/>
        <w:t>;</w:t>
      </w:r>
    </w:p>
    <w:p>
      <w:pPr>
        <w:pStyle w:val="Normal"/>
        <w:shd w:fill="FFFFFF" w:val="clear"/>
        <w:ind w:firstLine="283"/>
        <w:jc w:val="both"/>
        <w:rPr/>
      </w:pPr>
      <w:r>
        <w:rPr/>
        <w:t>при расположении токопроводов вблизи посадочных площадок мостовых кранов, если расстояние от них до этих площадок составляет менее 2,5 м.</w:t>
      </w:r>
    </w:p>
    <w:p>
      <w:pPr>
        <w:pStyle w:val="Normal"/>
        <w:shd w:fill="FFFFFF" w:val="clear"/>
        <w:spacing w:before="120" w:after="120"/>
        <w:ind w:firstLine="284"/>
        <w:jc w:val="both"/>
        <w:rPr/>
      </w:pPr>
      <w:r>
        <w:rPr>
          <w:vertAlign w:val="superscript"/>
        </w:rPr>
        <w:t>1</w:t>
      </w:r>
      <w:r>
        <w:rPr/>
        <w:t xml:space="preserve"> На установки электролиза алюминия не распространяется.</w:t>
      </w:r>
    </w:p>
    <w:p>
      <w:pPr>
        <w:pStyle w:val="Normal"/>
        <w:shd w:fill="FFFFFF" w:val="clear"/>
        <w:ind w:firstLine="283"/>
        <w:jc w:val="both"/>
        <w:rPr/>
      </w:pPr>
      <w:r>
        <w:rPr>
          <w:b/>
          <w:bCs/>
        </w:rPr>
        <w:t>7.10.28.</w:t>
      </w:r>
      <w:r>
        <w:rPr>
          <w:vertAlign w:val="superscript"/>
        </w:rPr>
        <w:t>1</w:t>
      </w:r>
      <w:r>
        <w:rP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w:t>
      </w:r>
      <w:r>
        <w:rPr>
          <w:i/>
          <w:iCs/>
        </w:rPr>
        <w:t>РЕ</w:t>
      </w:r>
      <w:r>
        <w:rPr/>
        <w:t>-проводнику. В качестве дополнительной меры возможно использование устройства защитного отключения.</w:t>
      </w:r>
    </w:p>
    <w:p>
      <w:pPr>
        <w:pStyle w:val="Normal"/>
        <w:shd w:fill="FFFFFF" w:val="clear"/>
        <w:ind w:firstLine="283"/>
        <w:jc w:val="both"/>
        <w:rPr/>
      </w:pPr>
      <w:r>
        <w:rPr/>
        <w:t>Открытые проводящие части электроприемников переменного тока при расстоянии от них до токоведущих частей электролизеров менее 2,5 м должны иметь съемную изолирующую оболочку.</w:t>
      </w:r>
    </w:p>
    <w:p>
      <w:pPr>
        <w:pStyle w:val="Normal"/>
        <w:shd w:fill="FFFFFF" w:val="clear"/>
        <w:spacing w:before="120" w:after="120"/>
        <w:ind w:firstLine="284"/>
        <w:jc w:val="both"/>
        <w:rPr/>
      </w:pPr>
      <w:r>
        <w:rPr>
          <w:vertAlign w:val="superscript"/>
        </w:rPr>
        <w:t>1</w:t>
      </w:r>
      <w:r>
        <w:rPr/>
        <w:t xml:space="preserve"> На установки электролиза алюминия не распространяется.</w:t>
      </w:r>
    </w:p>
    <w:p>
      <w:pPr>
        <w:pStyle w:val="Normal"/>
        <w:shd w:fill="FFFFFF" w:val="clear"/>
        <w:ind w:firstLine="283"/>
        <w:jc w:val="both"/>
        <w:rPr/>
      </w:pPr>
      <w:r>
        <w:rPr>
          <w:b/>
          <w:bCs/>
        </w:rPr>
        <w:t>7.10.29.</w:t>
      </w:r>
      <w:r>
        <w:rPr/>
        <w:t xml:space="preserve"> 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pPr>
        <w:pStyle w:val="Normal"/>
        <w:shd w:fill="FFFFFF" w:val="clear"/>
        <w:ind w:firstLine="283"/>
        <w:jc w:val="both"/>
        <w:rPr/>
      </w:pPr>
      <w:r>
        <w:rP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pPr>
        <w:pStyle w:val="Normal"/>
        <w:shd w:fill="FFFFFF" w:val="clear"/>
        <w:ind w:firstLine="283"/>
        <w:jc w:val="both"/>
        <w:rPr/>
      </w:pPr>
      <w:r>
        <w:rP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pPr>
        <w:pStyle w:val="Normal"/>
        <w:shd w:fill="FFFFFF" w:val="clear"/>
        <w:ind w:firstLine="283"/>
        <w:jc w:val="both"/>
        <w:rPr/>
      </w:pPr>
      <w:r>
        <w:rPr>
          <w:b/>
          <w:bCs/>
        </w:rPr>
        <w:t>7.10.30.</w:t>
      </w:r>
      <w:r>
        <w:rPr/>
        <w:t xml:space="preserve"> 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3,5 м от уровня рабочих площадок (не менее 3,0 м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pPr>
        <w:pStyle w:val="Normal"/>
        <w:shd w:fill="FFFFFF" w:val="clear"/>
        <w:ind w:firstLine="283"/>
        <w:jc w:val="both"/>
        <w:rPr/>
      </w:pPr>
      <w:r>
        <w:rP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pPr>
        <w:pStyle w:val="Normal"/>
        <w:shd w:fill="FFFFFF" w:val="clear"/>
        <w:ind w:firstLine="283"/>
        <w:jc w:val="both"/>
        <w:rPr/>
      </w:pPr>
      <w:r>
        <w:rPr/>
        <w:t>Трос, на котором в зале (корпусе) электролиза крепятся провода или кабели, должен быть электроизолирован от строительных конструкций.</w:t>
      </w:r>
    </w:p>
    <w:p>
      <w:pPr>
        <w:pStyle w:val="Normal"/>
        <w:shd w:fill="FFFFFF" w:val="clear"/>
        <w:ind w:firstLine="283"/>
        <w:jc w:val="both"/>
        <w:rPr/>
      </w:pPr>
      <w:r>
        <w:rPr>
          <w:b/>
          <w:bCs/>
        </w:rPr>
        <w:t>7.10.31.</w:t>
      </w:r>
      <w:r>
        <w:rPr/>
        <w:t xml:space="preserve"> 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pPr>
        <w:pStyle w:val="Normal"/>
        <w:shd w:fill="FFFFFF" w:val="clear"/>
        <w:ind w:firstLine="283"/>
        <w:jc w:val="both"/>
        <w:rPr/>
      </w:pPr>
      <w:r>
        <w:rPr>
          <w:b/>
          <w:bCs/>
        </w:rPr>
        <w:t>7.10.32.</w:t>
      </w:r>
      <w:r>
        <w:rPr/>
        <w:t xml:space="preserve">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pPr>
        <w:pStyle w:val="Normal"/>
        <w:shd w:fill="FFFFFF" w:val="clear"/>
        <w:ind w:firstLine="283"/>
        <w:jc w:val="both"/>
        <w:rPr/>
      </w:pPr>
      <w:r>
        <w:rPr>
          <w:b/>
          <w:bCs/>
        </w:rPr>
        <w:t>7.10.33.</w:t>
      </w:r>
      <w:r>
        <w:rPr/>
        <w:t xml:space="preserve"> Электрические распределительные устройства напряжением до 1 кВ для силовой и осветительной сетей должны располагаться на расстоянии не менее 6 м от неогражденных токопроводов или частей электролизеров, находящихся под напряжением выпрямленного тока.</w:t>
      </w:r>
    </w:p>
    <w:p>
      <w:pPr>
        <w:pStyle w:val="Normal"/>
        <w:shd w:fill="FFFFFF" w:val="clear"/>
        <w:ind w:firstLine="283"/>
        <w:jc w:val="both"/>
        <w:rPr/>
      </w:pPr>
      <w:r>
        <w:rPr>
          <w:b/>
          <w:bCs/>
        </w:rPr>
        <w:t>7.10.34.</w:t>
      </w:r>
      <w:r>
        <w:rPr/>
        <w:t xml:space="preserve">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pPr>
        <w:pStyle w:val="Normal"/>
        <w:shd w:fill="FFFFFF" w:val="clear"/>
        <w:ind w:firstLine="283"/>
        <w:jc w:val="both"/>
        <w:rPr/>
      </w:pPr>
      <w:r>
        <w:rPr>
          <w:b/>
          <w:bCs/>
        </w:rPr>
        <w:t>7.10.35.</w:t>
      </w:r>
      <w:r>
        <w:rPr/>
        <w:t xml:space="preserve"> 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pPr>
        <w:pStyle w:val="Normal"/>
        <w:shd w:fill="FFFFFF" w:val="clear"/>
        <w:ind w:firstLine="283"/>
        <w:jc w:val="both"/>
        <w:rPr/>
      </w:pPr>
      <w:r>
        <w:rPr>
          <w:b/>
          <w:bCs/>
        </w:rPr>
        <w:t>7.10.36.</w:t>
      </w:r>
      <w:r>
        <w:rPr/>
        <w:t xml:space="preserve"> 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pPr>
        <w:pStyle w:val="Normal"/>
        <w:shd w:fill="FFFFFF" w:val="clear"/>
        <w:ind w:firstLine="283"/>
        <w:jc w:val="both"/>
        <w:rPr/>
      </w:pPr>
      <w:r>
        <w:rPr>
          <w:b/>
          <w:bCs/>
        </w:rPr>
        <w:t>7.10.37.</w:t>
      </w:r>
      <w:r>
        <w:rPr/>
        <w:t xml:space="preserve"> 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pPr>
        <w:pStyle w:val="Normal"/>
        <w:shd w:fill="FFFFFF" w:val="clear"/>
        <w:ind w:firstLine="283"/>
        <w:jc w:val="both"/>
        <w:rPr/>
      </w:pPr>
      <w:r>
        <w:rPr>
          <w:b/>
          <w:bCs/>
        </w:rPr>
        <w:t>7.10.38.</w:t>
      </w:r>
      <w:r>
        <w:rPr/>
        <w:t xml:space="preserve"> 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pPr>
        <w:pStyle w:val="Normal"/>
        <w:shd w:fill="FFFFFF" w:val="clear"/>
        <w:ind w:firstLine="283"/>
        <w:jc w:val="both"/>
        <w:rPr/>
      </w:pPr>
      <w:r>
        <w:rPr>
          <w:b/>
          <w:bCs/>
        </w:rPr>
        <w:t>7.10.39.</w:t>
      </w:r>
      <w:r>
        <w:rPr/>
        <w:t xml:space="preserve"> 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pPr>
        <w:pStyle w:val="Normal"/>
        <w:shd w:fill="FFFFFF" w:val="clear"/>
        <w:ind w:firstLine="283"/>
        <w:jc w:val="both"/>
        <w:rPr/>
      </w:pPr>
      <w:r>
        <w:rPr/>
        <w:t>амперметр на каждую серию;</w:t>
      </w:r>
    </w:p>
    <w:p>
      <w:pPr>
        <w:pStyle w:val="Normal"/>
        <w:shd w:fill="FFFFFF" w:val="clear"/>
        <w:ind w:firstLine="283"/>
        <w:jc w:val="both"/>
        <w:rPr/>
      </w:pPr>
      <w:r>
        <w:rPr/>
        <w:t>вольтметр на каждую серию и каждый корпус, если они питаются от сборных шин;</w:t>
      </w:r>
    </w:p>
    <w:p>
      <w:pPr>
        <w:pStyle w:val="Normal"/>
        <w:shd w:fill="FFFFFF" w:val="clear"/>
        <w:ind w:firstLine="283"/>
        <w:jc w:val="both"/>
        <w:rPr/>
      </w:pPr>
      <w:r>
        <w:rP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pPr>
        <w:pStyle w:val="Normal"/>
        <w:shd w:fill="FFFFFF" w:val="clear"/>
        <w:ind w:firstLine="283"/>
        <w:jc w:val="both"/>
        <w:rPr/>
      </w:pPr>
      <w:r>
        <w:rP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pPr>
        <w:pStyle w:val="Normal"/>
        <w:shd w:fill="FFFFFF" w:val="clear"/>
        <w:ind w:firstLine="283"/>
        <w:jc w:val="both"/>
        <w:rPr/>
      </w:pPr>
      <w:r>
        <w:rPr/>
        <w:t>счетчики вольт-часов или ампер-часов (в зависимости от технологических требований) на серию или группу ванн;</w:t>
      </w:r>
    </w:p>
    <w:p>
      <w:pPr>
        <w:pStyle w:val="Normal"/>
        <w:shd w:fill="FFFFFF" w:val="clear"/>
        <w:ind w:firstLine="283"/>
        <w:jc w:val="both"/>
        <w:rPr/>
      </w:pPr>
      <w:r>
        <w:rPr/>
        <w:t>счетчик расхода электрической энергии, установленный на первичной стороне преобразовательного трансформатора выпрямительного агрегата.</w:t>
      </w:r>
    </w:p>
    <w:p>
      <w:pPr>
        <w:pStyle w:val="Heading3"/>
        <w:rPr/>
      </w:pPr>
      <w:r>
        <w:rPr/>
        <w:t>Установки электролиза воды и водных растворов</w:t>
      </w:r>
    </w:p>
    <w:p>
      <w:pPr>
        <w:pStyle w:val="Normal"/>
        <w:shd w:fill="FFFFFF" w:val="clear"/>
        <w:ind w:firstLine="283"/>
        <w:jc w:val="both"/>
        <w:rPr/>
      </w:pPr>
      <w:r>
        <w:rPr>
          <w:b/>
          <w:bCs/>
        </w:rPr>
        <w:t xml:space="preserve">7.10.40. </w:t>
      </w:r>
      <w:r>
        <w:rPr/>
        <w:t>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pPr>
        <w:pStyle w:val="Normal"/>
        <w:shd w:fill="FFFFFF" w:val="clear"/>
        <w:ind w:firstLine="283"/>
        <w:jc w:val="both"/>
        <w:rPr/>
      </w:pPr>
      <w:r>
        <w:rPr>
          <w:b/>
          <w:bCs/>
        </w:rPr>
        <w:t>7.10.41.</w:t>
      </w:r>
      <w:r>
        <w:rPr>
          <w:vertAlign w:val="superscript"/>
        </w:rPr>
        <w:t>1</w:t>
      </w:r>
      <w:r>
        <w:rPr/>
        <w:t xml:space="preserve"> Между токоведущими частями в проходах между рядами электролизеров (не отгороженных один от другого) расстояние должно быть не менее 1,2 м при максимально возможном напряжении между ними до 65 В и не менее 1,5 м - при напряжении свыше 65 В. Проходы между продольным рядом ванн и стеной, между торцевыми ваннами и стеной должны быть шириной не менее 2,5 м. Допускается местное сужение до 1,5 м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2,5 м от пола электроизоляционным листовым материалом, например пластиковыми листами на сварке.</w:t>
      </w:r>
    </w:p>
    <w:p>
      <w:pPr>
        <w:pStyle w:val="Normal"/>
        <w:shd w:fill="FFFFFF" w:val="clear"/>
        <w:spacing w:before="120" w:after="120"/>
        <w:ind w:firstLine="283"/>
        <w:jc w:val="both"/>
        <w:rPr/>
      </w:pPr>
      <w:r>
        <w:rPr>
          <w:vertAlign w:val="superscript"/>
        </w:rPr>
        <w:t>1</w:t>
      </w:r>
      <w:r>
        <w:rPr/>
        <w:t xml:space="preserve"> Если требования, приведенные в</w:t>
      </w:r>
      <w:r>
        <w:rPr>
          <w:b/>
          <w:bCs/>
        </w:rPr>
        <w:t xml:space="preserve"> 7.10.41, </w:t>
      </w:r>
      <w:r>
        <w:rPr/>
        <w:t>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pPr>
        <w:pStyle w:val="Normal"/>
        <w:shd w:fill="FFFFFF" w:val="clear"/>
        <w:ind w:firstLine="283"/>
        <w:jc w:val="both"/>
        <w:rPr/>
      </w:pPr>
      <w:r>
        <w:rPr/>
        <w:t>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2,5 м.</w:t>
      </w:r>
    </w:p>
    <w:p>
      <w:pPr>
        <w:pStyle w:val="Heading3"/>
        <w:rPr/>
      </w:pPr>
      <w:r>
        <w:rPr/>
        <w:t>Электролизные установки получения водорода (водородные станции)</w:t>
      </w:r>
    </w:p>
    <w:p>
      <w:pPr>
        <w:pStyle w:val="Normal"/>
        <w:shd w:fill="FFFFFF" w:val="clear"/>
        <w:ind w:firstLine="283"/>
        <w:jc w:val="both"/>
        <w:rPr/>
      </w:pPr>
      <w:r>
        <w:rPr>
          <w:b/>
          <w:bCs/>
        </w:rPr>
        <w:t xml:space="preserve">7.10.42. </w:t>
      </w:r>
      <w:r>
        <w:rPr/>
        <w:t>Электролизеры водородных станций должны быть оборудованы следующей электрической защитой:</w:t>
      </w:r>
    </w:p>
    <w:p>
      <w:pPr>
        <w:pStyle w:val="Normal"/>
        <w:shd w:fill="FFFFFF" w:val="clear"/>
        <w:ind w:firstLine="283"/>
        <w:jc w:val="both"/>
        <w:rPr/>
      </w:pPr>
      <w:r>
        <w:rP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pPr>
        <w:pStyle w:val="Normal"/>
        <w:shd w:fill="FFFFFF" w:val="clear"/>
        <w:ind w:firstLine="283"/>
        <w:jc w:val="both"/>
        <w:rPr/>
      </w:pPr>
      <w:r>
        <w:rPr/>
        <w:t>от межполюсных коротких замыканий;</w:t>
      </w:r>
    </w:p>
    <w:p>
      <w:pPr>
        <w:pStyle w:val="Normal"/>
        <w:shd w:fill="FFFFFF" w:val="clear"/>
        <w:ind w:firstLine="283"/>
        <w:jc w:val="both"/>
        <w:rPr/>
      </w:pPr>
      <w:r>
        <w:rPr/>
        <w:t>от обратных токов при применении двигателей-генераторов (на реконструируемых установках).</w:t>
      </w:r>
    </w:p>
    <w:p>
      <w:pPr>
        <w:pStyle w:val="Normal"/>
        <w:shd w:fill="FFFFFF" w:val="clear"/>
        <w:ind w:firstLine="283"/>
        <w:jc w:val="both"/>
        <w:rPr/>
      </w:pPr>
      <w:r>
        <w:rPr>
          <w:b/>
          <w:bCs/>
        </w:rPr>
        <w:t>7.10.43.</w:t>
      </w:r>
      <w:r>
        <w:rPr/>
        <w:t xml:space="preserve"> Электролизеры водородных станций, работающие под напряжением свыше 250 В по отношению к земле, должны иметь по периметру сетчатое ограждение.</w:t>
      </w:r>
    </w:p>
    <w:p>
      <w:pPr>
        <w:pStyle w:val="Normal"/>
        <w:shd w:fill="FFFFFF" w:val="clear"/>
        <w:ind w:firstLine="283"/>
        <w:jc w:val="both"/>
        <w:rPr/>
      </w:pPr>
      <w:r>
        <w:rPr>
          <w:b/>
          <w:bCs/>
        </w:rPr>
        <w:t>7.10.44.</w:t>
      </w:r>
      <w:r>
        <w:rPr/>
        <w:t xml:space="preserve"> Вокруг электролизера водородных станций должны быть уложены диэлектрические коврики (дорожки).</w:t>
      </w:r>
    </w:p>
    <w:p>
      <w:pPr>
        <w:pStyle w:val="Normal"/>
        <w:shd w:fill="FFFFFF" w:val="clear"/>
        <w:ind w:firstLine="283"/>
        <w:jc w:val="both"/>
        <w:rPr/>
      </w:pPr>
      <w:r>
        <w:rPr>
          <w:b/>
          <w:bCs/>
        </w:rPr>
        <w:t>7.10.45.</w:t>
      </w:r>
      <w:r>
        <w:rPr/>
        <w:t xml:space="preserve"> На водородных станциях расстояния между электролизерами, а также между электролизерами и стенами помещения должны соответствовать указанным в </w:t>
      </w:r>
      <w:r>
        <w:rPr>
          <w:b/>
          <w:bCs/>
        </w:rPr>
        <w:t>7.10.41.</w:t>
      </w:r>
    </w:p>
    <w:p>
      <w:pPr>
        <w:pStyle w:val="Normal"/>
        <w:shd w:fill="FFFFFF" w:val="clear"/>
        <w:ind w:firstLine="283"/>
        <w:jc w:val="both"/>
        <w:rPr/>
      </w:pPr>
      <w:r>
        <w:rPr/>
        <w:t>Между оборудованием должны предусматриваться следующие проходы:</w:t>
      </w:r>
    </w:p>
    <w:p>
      <w:pPr>
        <w:pStyle w:val="Normal"/>
        <w:shd w:fill="FFFFFF" w:val="clear"/>
        <w:ind w:firstLine="283"/>
        <w:jc w:val="both"/>
        <w:rPr/>
      </w:pPr>
      <w:r>
        <w:rPr/>
        <w:t>основные - шириной не менее 1,5 м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0,8 м) допускается уменьшать ширину прохода до 1 м;</w:t>
      </w:r>
    </w:p>
    <w:p>
      <w:pPr>
        <w:pStyle w:val="Normal"/>
        <w:shd w:fill="FFFFFF" w:val="clear"/>
        <w:ind w:firstLine="283"/>
        <w:jc w:val="both"/>
        <w:rPr/>
      </w:pPr>
      <w:r>
        <w:rPr/>
        <w:t>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1 м;</w:t>
      </w:r>
    </w:p>
    <w:p>
      <w:pPr>
        <w:pStyle w:val="Normal"/>
        <w:shd w:fill="FFFFFF" w:val="clear"/>
        <w:ind w:firstLine="283"/>
        <w:jc w:val="both"/>
        <w:rPr/>
      </w:pPr>
      <w:r>
        <w:rPr/>
        <w:t>для осмотра и периодической проверки и регулировки оборудования и приборов - шириной не менее 0,8 м.</w:t>
      </w:r>
    </w:p>
    <w:p>
      <w:pPr>
        <w:pStyle w:val="Normal"/>
        <w:shd w:fill="FFFFFF" w:val="clear"/>
        <w:ind w:firstLine="283"/>
        <w:jc w:val="both"/>
        <w:rPr/>
      </w:pPr>
      <w:r>
        <w:rPr/>
        <w:t>Нормируемая минимальная ширина проходов должна обеспечиваться между наиболее выступающими (на высоте менее 2 м) частями оборудования с учетом фундаментов, изоляции, ограждения и т.п.</w:t>
      </w:r>
    </w:p>
    <w:p>
      <w:pPr>
        <w:pStyle w:val="Heading3"/>
        <w:rPr/>
      </w:pPr>
      <w:r>
        <w:rPr/>
        <w:t>Электролизные установки получения хлора</w:t>
      </w:r>
    </w:p>
    <w:p>
      <w:pPr>
        <w:pStyle w:val="Normal"/>
        <w:shd w:fill="FFFFFF" w:val="clear"/>
        <w:ind w:firstLine="283"/>
        <w:jc w:val="both"/>
        <w:rPr/>
      </w:pPr>
      <w:r>
        <w:rPr>
          <w:b/>
          <w:bCs/>
        </w:rPr>
        <w:t>7.10.46.</w:t>
      </w:r>
      <w:r>
        <w:rPr/>
        <w:t xml:space="preserve"> 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pPr>
        <w:pStyle w:val="Normal"/>
        <w:shd w:fill="FFFFFF" w:val="clear"/>
        <w:ind w:firstLine="283"/>
        <w:jc w:val="both"/>
        <w:rPr/>
      </w:pPr>
      <w:r>
        <w:rPr/>
        <w:t xml:space="preserve">возможность аварийного ручного отключения питания электроэнергией электролизеров в соответствии с </w:t>
      </w:r>
      <w:r>
        <w:rPr>
          <w:b/>
          <w:bCs/>
        </w:rPr>
        <w:t xml:space="preserve">7.10.36, </w:t>
      </w:r>
      <w:r>
        <w:rPr/>
        <w:t>а также из помещения пульта управления и машинистом хлорных компрессоров при их остановке;</w:t>
      </w:r>
    </w:p>
    <w:p>
      <w:pPr>
        <w:pStyle w:val="Normal"/>
        <w:shd w:fill="FFFFFF" w:val="clear"/>
        <w:ind w:firstLine="283"/>
        <w:jc w:val="both"/>
        <w:rPr/>
      </w:pPr>
      <w:r>
        <w:rP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pPr>
        <w:pStyle w:val="Normal"/>
        <w:shd w:fill="FFFFFF" w:val="clear"/>
        <w:ind w:firstLine="283"/>
        <w:jc w:val="both"/>
        <w:rPr/>
      </w:pPr>
      <w:r>
        <w:rP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pPr>
        <w:pStyle w:val="Normal"/>
        <w:shd w:fill="FFFFFF" w:val="clear"/>
        <w:ind w:firstLine="283"/>
        <w:jc w:val="both"/>
        <w:rPr/>
      </w:pPr>
      <w:r>
        <w:rP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pPr>
        <w:pStyle w:val="Normal"/>
        <w:shd w:fill="FFFFFF" w:val="clear"/>
        <w:ind w:firstLine="283"/>
        <w:jc w:val="both"/>
        <w:rPr/>
      </w:pPr>
      <w:r>
        <w:rP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pPr>
        <w:pStyle w:val="Normal"/>
        <w:shd w:fill="FFFFFF" w:val="clear"/>
        <w:ind w:firstLine="283"/>
        <w:jc w:val="both"/>
        <w:rPr/>
      </w:pPr>
      <w:r>
        <w:rP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pPr>
        <w:pStyle w:val="Normal"/>
        <w:shd w:fill="FFFFFF" w:val="clear"/>
        <w:ind w:firstLine="283"/>
        <w:jc w:val="both"/>
        <w:rPr/>
      </w:pPr>
      <w:r>
        <w:rP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pPr>
        <w:pStyle w:val="Normal"/>
        <w:shd w:fill="FFFFFF" w:val="clear"/>
        <w:ind w:firstLine="283"/>
        <w:jc w:val="both"/>
        <w:rPr/>
      </w:pPr>
      <w:r>
        <w:rPr>
          <w:b/>
          <w:bCs/>
        </w:rPr>
        <w:t>7.10.47.</w:t>
      </w:r>
      <w:r>
        <w:rPr/>
        <w:t xml:space="preserve"> 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pPr>
        <w:pStyle w:val="Heading3"/>
        <w:rPr/>
      </w:pPr>
      <w:r>
        <w:rPr/>
        <w:t>Установки электролиза магния</w:t>
      </w:r>
    </w:p>
    <w:p>
      <w:pPr>
        <w:pStyle w:val="Normal"/>
        <w:shd w:fill="FFFFFF" w:val="clear"/>
        <w:ind w:firstLine="283"/>
        <w:jc w:val="both"/>
        <w:rPr/>
      </w:pPr>
      <w:r>
        <w:rPr>
          <w:b/>
          <w:bCs/>
        </w:rPr>
        <w:t>7.10.48.</w:t>
      </w:r>
      <w:r>
        <w:rPr/>
        <w:t xml:space="preserve"> Электрическую изоляцию, кроме указанной в </w:t>
      </w:r>
      <w:r>
        <w:rPr>
          <w:b/>
          <w:bCs/>
        </w:rPr>
        <w:t xml:space="preserve">7.10.23-7.10.24, </w:t>
      </w:r>
      <w:r>
        <w:rPr/>
        <w:t>должны иметь следующие элементы:</w:t>
      </w:r>
    </w:p>
    <w:p>
      <w:pPr>
        <w:pStyle w:val="Normal"/>
        <w:shd w:fill="FFFFFF" w:val="clear"/>
        <w:ind w:firstLine="283"/>
        <w:jc w:val="both"/>
        <w:rPr/>
      </w:pPr>
      <w:r>
        <w:rPr/>
        <w:t>оболочки электролизеров и трубопроводов катодного и анодного отсосов - от земли и строительных конструкций;</w:t>
      </w:r>
    </w:p>
    <w:p>
      <w:pPr>
        <w:pStyle w:val="Normal"/>
        <w:shd w:fill="FFFFFF" w:val="clear"/>
        <w:ind w:firstLine="283"/>
        <w:jc w:val="both"/>
        <w:rPr/>
      </w:pPr>
      <w:r>
        <w:rPr/>
        <w:t>полы корпуса, полы и колонны подвала, а также рабочие площадки, другие железобетонные или металлические строительные конструкции - от земли;</w:t>
      </w:r>
    </w:p>
    <w:p>
      <w:pPr>
        <w:pStyle w:val="Normal"/>
        <w:shd w:fill="FFFFFF" w:val="clear"/>
        <w:ind w:firstLine="283"/>
        <w:jc w:val="both"/>
        <w:rPr/>
      </w:pPr>
      <w:r>
        <w:rPr/>
        <w:t>части трубопроводов сжатого воздуха и вакуума - от земли, один от другого и от электролизеров;</w:t>
      </w:r>
    </w:p>
    <w:p>
      <w:pPr>
        <w:pStyle w:val="Normal"/>
        <w:shd w:fill="FFFFFF" w:val="clear"/>
        <w:ind w:firstLine="283"/>
        <w:jc w:val="both"/>
        <w:rPr/>
      </w:pPr>
      <w:r>
        <w:rPr/>
        <w:t>кабели и аппаратура - от каркаса, на котором установлены трансформаторы;</w:t>
      </w:r>
    </w:p>
    <w:p>
      <w:pPr>
        <w:pStyle w:val="Normal"/>
        <w:shd w:fill="FFFFFF" w:val="clear"/>
        <w:ind w:firstLine="283"/>
        <w:jc w:val="both"/>
        <w:rPr/>
      </w:pPr>
      <w:r>
        <w:rP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pPr>
        <w:pStyle w:val="Normal"/>
        <w:shd w:fill="FFFFFF" w:val="clear"/>
        <w:ind w:firstLine="283"/>
        <w:jc w:val="both"/>
        <w:rPr/>
      </w:pPr>
      <w:r>
        <w:rPr>
          <w:b/>
          <w:bCs/>
        </w:rPr>
        <w:t>7.10.49.</w:t>
      </w:r>
      <w:r>
        <w:rPr/>
        <w:t xml:space="preserve"> 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pPr>
        <w:pStyle w:val="Normal"/>
        <w:shd w:fill="FFFFFF" w:val="clear"/>
        <w:ind w:firstLine="283"/>
        <w:jc w:val="both"/>
        <w:rPr/>
      </w:pPr>
      <w:r>
        <w:rPr>
          <w:b/>
          <w:bCs/>
        </w:rPr>
        <w:t>7.10.50.</w:t>
      </w:r>
      <w:r>
        <w:rPr/>
        <w:t xml:space="preserve"> Проезды в залах электролиза должны быть шириной:</w:t>
      </w:r>
    </w:p>
    <w:p>
      <w:pPr>
        <w:pStyle w:val="Normal"/>
        <w:shd w:fill="FFFFFF" w:val="clear"/>
        <w:ind w:firstLine="283"/>
        <w:jc w:val="both"/>
        <w:rPr/>
      </w:pPr>
      <w:r>
        <w:rPr/>
        <w:t>при наличии двух проездов со стороны продольных стен - не менее 4,5 м;</w:t>
      </w:r>
    </w:p>
    <w:p>
      <w:pPr>
        <w:pStyle w:val="Normal"/>
        <w:shd w:fill="FFFFFF" w:val="clear"/>
        <w:ind w:firstLine="283"/>
        <w:jc w:val="both"/>
        <w:rPr/>
      </w:pPr>
      <w:r>
        <w:rPr/>
        <w:t>при наличии одного проезда между продольными рядами электролизеров - не менее 5,5 м.</w:t>
      </w:r>
    </w:p>
    <w:p>
      <w:pPr>
        <w:pStyle w:val="Normal"/>
        <w:shd w:fill="FFFFFF" w:val="clear"/>
        <w:ind w:firstLine="283"/>
        <w:jc w:val="both"/>
        <w:rPr/>
      </w:pPr>
      <w:r>
        <w:rPr/>
        <w:t>В обоих случаях должен обеспечиваться свободный проход шириной не менее 1 м между транспортным средством и стеной корпуса или установленным оборудованием.</w:t>
      </w:r>
    </w:p>
    <w:p>
      <w:pPr>
        <w:pStyle w:val="Normal"/>
        <w:shd w:fill="FFFFFF" w:val="clear"/>
        <w:ind w:firstLine="283"/>
        <w:jc w:val="both"/>
        <w:rPr/>
      </w:pPr>
      <w:r>
        <w:rPr>
          <w:b/>
          <w:bCs/>
        </w:rPr>
        <w:t>7.10.51.</w:t>
      </w:r>
      <w:r>
        <w:rPr/>
        <w:t xml:space="preserve"> Проход между продольным рядом электролизеров и стеной при наличии одного проезда должен быть шириной не менее 2 м.</w:t>
      </w:r>
    </w:p>
    <w:p>
      <w:pPr>
        <w:pStyle w:val="Normal"/>
        <w:shd w:fill="FFFFFF" w:val="clear"/>
        <w:ind w:firstLine="283"/>
        <w:jc w:val="both"/>
        <w:rPr/>
      </w:pPr>
      <w:r>
        <w:rPr>
          <w:b/>
          <w:bCs/>
        </w:rPr>
        <w:t>7.10.52.</w:t>
      </w:r>
      <w:r>
        <w:rPr/>
        <w:t xml:space="preserve"> Между токопроводами двух рядов электролизеров расстояние должно быть не менее 4 м.</w:t>
      </w:r>
    </w:p>
    <w:p>
      <w:pPr>
        <w:pStyle w:val="Heading3"/>
        <w:rPr/>
      </w:pPr>
      <w:r>
        <w:rPr/>
        <w:t>Установки электролиза алюминия</w:t>
      </w:r>
    </w:p>
    <w:p>
      <w:pPr>
        <w:pStyle w:val="Normal"/>
        <w:shd w:fill="FFFFFF" w:val="clear"/>
        <w:ind w:firstLine="283"/>
        <w:jc w:val="both"/>
        <w:rPr/>
      </w:pPr>
      <w:r>
        <w:rPr>
          <w:b/>
          <w:bCs/>
        </w:rPr>
        <w:t>7.10.53.</w:t>
      </w:r>
      <w:r>
        <w:rPr/>
        <w:t xml:space="preserve"> Электрическую изоляцию от земли, дополнительно к указанным в </w:t>
      </w:r>
      <w:r>
        <w:rPr>
          <w:b/>
          <w:bCs/>
        </w:rPr>
        <w:t xml:space="preserve">7.10.23-7.10.24, </w:t>
      </w:r>
      <w:r>
        <w:rPr/>
        <w:t>должны иметь следующие конструкции:</w:t>
      </w:r>
    </w:p>
    <w:p>
      <w:pPr>
        <w:pStyle w:val="Normal"/>
        <w:shd w:fill="FFFFFF" w:val="clear"/>
        <w:ind w:firstLine="283"/>
        <w:jc w:val="both"/>
        <w:rPr/>
      </w:pPr>
      <w:r>
        <w:rPr/>
        <w:t>фундаменты электролизеров и подземные каналы;</w:t>
      </w:r>
    </w:p>
    <w:p>
      <w:pPr>
        <w:pStyle w:val="Normal"/>
        <w:shd w:fill="FFFFFF" w:val="clear"/>
        <w:ind w:firstLine="283"/>
        <w:jc w:val="both"/>
        <w:rPr/>
      </w:pPr>
      <w:r>
        <w:rPr/>
        <w:t>опорные колонны электролизеров и междуэтажного перекрытия.</w:t>
      </w:r>
    </w:p>
    <w:p>
      <w:pPr>
        <w:pStyle w:val="Normal"/>
        <w:shd w:fill="FFFFFF" w:val="clear"/>
        <w:ind w:firstLine="283"/>
        <w:jc w:val="both"/>
        <w:rPr/>
      </w:pPr>
      <w:r>
        <w:rPr>
          <w:b/>
          <w:bCs/>
        </w:rPr>
        <w:t>7.10.54.</w:t>
      </w:r>
      <w:r>
        <w:rPr/>
        <w:t xml:space="preserve"> 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pPr>
        <w:pStyle w:val="Normal"/>
        <w:shd w:fill="FFFFFF" w:val="clear"/>
        <w:ind w:firstLine="283"/>
        <w:jc w:val="both"/>
        <w:rPr/>
      </w:pPr>
      <w:r>
        <w:rP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pPr>
        <w:pStyle w:val="Normal"/>
        <w:shd w:fill="FFFFFF" w:val="clear"/>
        <w:ind w:firstLine="283"/>
        <w:jc w:val="both"/>
        <w:rPr/>
      </w:pPr>
      <w:r>
        <w:rPr>
          <w:b/>
          <w:bCs/>
        </w:rPr>
        <w:t>7.10.55.</w:t>
      </w:r>
      <w:r>
        <w:rPr/>
        <w:t xml:space="preserve"> Металлические перекрытия проемов и каналов токопроводов у электролизеров должны иметь потенциал катода электролизера.</w:t>
      </w:r>
    </w:p>
    <w:p>
      <w:pPr>
        <w:pStyle w:val="Normal"/>
        <w:shd w:fill="FFFFFF" w:val="clear"/>
        <w:ind w:firstLine="283"/>
        <w:jc w:val="both"/>
        <w:rPr/>
      </w:pPr>
      <w:r>
        <w:rPr>
          <w:b/>
          <w:bCs/>
        </w:rPr>
        <w:t>7.10.56.</w:t>
      </w:r>
      <w:r>
        <w:rPr/>
        <w:t xml:space="preserve"> 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pPr>
        <w:pStyle w:val="Normal"/>
        <w:shd w:fill="FFFFFF" w:val="clear"/>
        <w:ind w:firstLine="283"/>
        <w:jc w:val="both"/>
        <w:rPr/>
      </w:pPr>
      <w:r>
        <w:rPr>
          <w:b/>
          <w:bCs/>
        </w:rPr>
        <w:t>7.10.57.</w:t>
      </w:r>
      <w:r>
        <w:rPr/>
        <w:t xml:space="preserve"> Металлические переплеты в окнах и аэрационных шахтах допускается устанавливать на высоте не менее 3 м от уровня пола в одноэтажных и второго этажа в двухэтажных корпусах.</w:t>
      </w:r>
    </w:p>
    <w:p>
      <w:pPr>
        <w:pStyle w:val="Normal"/>
        <w:shd w:fill="FFFFFF" w:val="clear"/>
        <w:ind w:firstLine="283"/>
        <w:jc w:val="both"/>
        <w:rPr/>
      </w:pPr>
      <w:r>
        <w:rPr>
          <w:b/>
          <w:bCs/>
        </w:rPr>
        <w:t>7.10.58.</w:t>
      </w:r>
      <w:r>
        <w:rPr/>
        <w:t xml:space="preserve"> 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1,7 м от уровня земли. В ограждении должны быть ворота или двери, запираемые замком.</w:t>
      </w:r>
    </w:p>
    <w:p>
      <w:pPr>
        <w:pStyle w:val="Normal"/>
        <w:shd w:fill="FFFFFF" w:val="clear"/>
        <w:ind w:firstLine="283"/>
        <w:jc w:val="both"/>
        <w:rPr/>
      </w:pPr>
      <w:r>
        <w:rPr>
          <w:b/>
          <w:bCs/>
        </w:rPr>
        <w:t>7.10.59.</w:t>
      </w:r>
      <w:r>
        <w:rPr/>
        <w:t xml:space="preserve"> Корпуса электролиза должны иметь вдоль наружных стен аэрационные проемы, закрытые на высоту не менее 1,7 м от уровня земли надежно заземленными металлическими сетками, которые не должны затруднять вентиляцию корпуса.</w:t>
      </w:r>
    </w:p>
    <w:p>
      <w:pPr>
        <w:pStyle w:val="Normal"/>
        <w:shd w:fill="FFFFFF" w:val="clear"/>
        <w:ind w:firstLine="283"/>
        <w:jc w:val="both"/>
        <w:rPr/>
      </w:pPr>
      <w:r>
        <w:rPr>
          <w:b/>
          <w:bCs/>
        </w:rPr>
        <w:t>7.10.60.</w:t>
      </w:r>
      <w:r>
        <w:rPr/>
        <w:t xml:space="preserve"> 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 материалами.</w:t>
      </w:r>
    </w:p>
    <w:p>
      <w:pPr>
        <w:pStyle w:val="Normal"/>
        <w:shd w:fill="FFFFFF" w:val="clear"/>
        <w:ind w:firstLine="283"/>
        <w:jc w:val="both"/>
        <w:rPr/>
      </w:pPr>
      <w:r>
        <w:rPr>
          <w:b/>
          <w:bCs/>
        </w:rPr>
        <w:t>7.10.61.</w:t>
      </w:r>
      <w:r>
        <w:rPr/>
        <w:t xml:space="preserve"> Между выступающими частями электролизеров при их продольном расположении расстояние должно быть не менее 0,7 м.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pPr>
        <w:pStyle w:val="Normal"/>
        <w:shd w:fill="FFFFFF" w:val="clear"/>
        <w:ind w:firstLine="283"/>
        <w:jc w:val="both"/>
        <w:rPr/>
      </w:pPr>
      <w:r>
        <w:rPr>
          <w:b/>
          <w:bCs/>
        </w:rPr>
        <w:t>7.10.62.</w:t>
      </w:r>
      <w:r>
        <w:rPr/>
        <w:t xml:space="preserve"> Между стенками продольных каналов токопроводов (проемов) в центральном проходе корпуса расстояние должно быть не менее 3,5 м.</w:t>
      </w:r>
    </w:p>
    <w:p>
      <w:pPr>
        <w:pStyle w:val="Normal"/>
        <w:shd w:fill="FFFFFF" w:val="clear"/>
        <w:ind w:firstLine="283"/>
        <w:jc w:val="both"/>
        <w:rPr/>
      </w:pPr>
      <w:r>
        <w:rPr>
          <w:b/>
          <w:bCs/>
        </w:rPr>
        <w:t>7.10.63.</w:t>
      </w:r>
      <w:r>
        <w:rPr/>
        <w:t xml:space="preserve"> 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40 м.</w:t>
      </w:r>
    </w:p>
    <w:p>
      <w:pPr>
        <w:pStyle w:val="Normal"/>
        <w:shd w:fill="FFFFFF" w:val="clear"/>
        <w:ind w:firstLine="283"/>
        <w:jc w:val="both"/>
        <w:rPr/>
      </w:pPr>
      <w:r>
        <w:rP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pPr>
        <w:pStyle w:val="Normal"/>
        <w:shd w:fill="FFFFFF" w:val="clear"/>
        <w:ind w:firstLine="283"/>
        <w:jc w:val="both"/>
        <w:rPr/>
      </w:pPr>
      <w:r>
        <w:rPr>
          <w:b/>
          <w:bCs/>
        </w:rPr>
        <w:t>7.10.64.</w:t>
      </w:r>
      <w:r>
        <w:rPr/>
        <w:t xml:space="preserve"> Газоотсосные патрубки электролизеров должны иметь электрическую изоляцию от магистральных газоотсосных трубопроводов.</w:t>
      </w:r>
    </w:p>
    <w:p>
      <w:pPr>
        <w:pStyle w:val="Normal"/>
        <w:shd w:fill="FFFFFF" w:val="clear"/>
        <w:ind w:firstLine="283"/>
        <w:jc w:val="both"/>
        <w:rPr/>
      </w:pPr>
      <w:r>
        <w:rPr>
          <w:b/>
          <w:bCs/>
        </w:rPr>
        <w:t>7.10.65.</w:t>
      </w:r>
      <w:r>
        <w:rPr/>
        <w:t xml:space="preserve"> Газоотсосные патрубки электролизеров с подземной системой газоотсоса должны иметь электрическую изоляцию от строительных конструкций.</w:t>
      </w:r>
    </w:p>
    <w:p>
      <w:pPr>
        <w:pStyle w:val="Normal"/>
        <w:shd w:fill="FFFFFF" w:val="clear"/>
        <w:ind w:firstLine="283"/>
        <w:jc w:val="both"/>
        <w:rPr/>
      </w:pPr>
      <w:r>
        <w:rPr>
          <w:b/>
          <w:bCs/>
        </w:rPr>
        <w:t>7.10.66.</w:t>
      </w:r>
      <w:r>
        <w:rPr/>
        <w:t xml:space="preserve"> У электролизеров с боковым токоподводом и с самообжигающимся анодом должны иметь электрическую изоляцию:</w:t>
      </w:r>
    </w:p>
    <w:p>
      <w:pPr>
        <w:pStyle w:val="Normal"/>
        <w:shd w:fill="FFFFFF" w:val="clear"/>
        <w:ind w:firstLine="283"/>
        <w:jc w:val="both"/>
        <w:rPr/>
      </w:pPr>
      <w:r>
        <w:rPr/>
        <w:t>катодный кожух - от фундамента или от опорных строительных конструкций;</w:t>
      </w:r>
    </w:p>
    <w:p>
      <w:pPr>
        <w:pStyle w:val="Normal"/>
        <w:shd w:fill="FFFFFF" w:val="clear"/>
        <w:ind w:firstLine="283"/>
        <w:jc w:val="both"/>
        <w:rPr/>
      </w:pPr>
      <w:r>
        <w:rPr/>
        <w:t>металлоконструкции электролизеров - от анода и от катодного кожуха;</w:t>
      </w:r>
    </w:p>
    <w:p>
      <w:pPr>
        <w:pStyle w:val="Normal"/>
        <w:shd w:fill="FFFFFF" w:val="clear"/>
        <w:ind w:firstLine="283"/>
        <w:jc w:val="both"/>
        <w:rPr/>
      </w:pPr>
      <w:r>
        <w:rPr/>
        <w:t>шторные укрытия - от катодного кожуха;</w:t>
      </w:r>
    </w:p>
    <w:p>
      <w:pPr>
        <w:pStyle w:val="Normal"/>
        <w:shd w:fill="FFFFFF" w:val="clear"/>
        <w:ind w:firstLine="283"/>
        <w:jc w:val="both"/>
        <w:rPr/>
      </w:pPr>
      <w:r>
        <w:rPr/>
        <w:t>анодные пакеты шин - от металлоконструкций;</w:t>
      </w:r>
    </w:p>
    <w:p>
      <w:pPr>
        <w:pStyle w:val="Normal"/>
        <w:shd w:fill="FFFFFF" w:val="clear"/>
        <w:ind w:firstLine="283"/>
        <w:jc w:val="both"/>
        <w:rPr/>
      </w:pPr>
      <w:r>
        <w:rP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pPr>
        <w:pStyle w:val="Normal"/>
        <w:shd w:fill="FFFFFF" w:val="clear"/>
        <w:ind w:firstLine="283"/>
        <w:jc w:val="both"/>
        <w:rPr/>
      </w:pPr>
      <w:r>
        <w:rPr>
          <w:b/>
          <w:bCs/>
        </w:rPr>
        <w:t>7.10.67.</w:t>
      </w:r>
      <w:r>
        <w:rPr/>
        <w:t xml:space="preserve"> У электролизеров с обожженными анодами должны быть электроизолированы:</w:t>
      </w:r>
    </w:p>
    <w:p>
      <w:pPr>
        <w:pStyle w:val="Normal"/>
        <w:shd w:fill="FFFFFF" w:val="clear"/>
        <w:ind w:firstLine="283"/>
        <w:jc w:val="both"/>
        <w:rPr/>
      </w:pPr>
      <w:r>
        <w:rPr/>
        <w:t>катодный кожух - от фундамента или опорных строительных конструкций;</w:t>
      </w:r>
    </w:p>
    <w:p>
      <w:pPr>
        <w:pStyle w:val="Normal"/>
        <w:shd w:fill="FFFFFF" w:val="clear"/>
        <w:ind w:firstLine="283"/>
        <w:jc w:val="both"/>
        <w:rPr/>
      </w:pPr>
      <w:r>
        <w:rPr/>
        <w:t>металлоконструкции анодной части - от катодного кожуха;</w:t>
      </w:r>
    </w:p>
    <w:p>
      <w:pPr>
        <w:pStyle w:val="Normal"/>
        <w:shd w:fill="FFFFFF" w:val="clear"/>
        <w:ind w:firstLine="283"/>
        <w:jc w:val="both"/>
        <w:rPr/>
      </w:pPr>
      <w:r>
        <w:rPr/>
        <w:t>металлоконструкции, установленные на специальных опорах, - от этих опор, опоры - от земли (опоры должны быть электрически соединены с катодным кожухом);</w:t>
      </w:r>
    </w:p>
    <w:p>
      <w:pPr>
        <w:pStyle w:val="Normal"/>
        <w:shd w:fill="FFFFFF" w:val="clear"/>
        <w:ind w:firstLine="283"/>
        <w:jc w:val="both"/>
        <w:rPr/>
      </w:pPr>
      <w:r>
        <w:rPr/>
        <w:t>домкраты механизма подъема анодов и анодного токоподвода - от анодной рамы;</w:t>
      </w:r>
    </w:p>
    <w:p>
      <w:pPr>
        <w:pStyle w:val="Normal"/>
        <w:shd w:fill="FFFFFF" w:val="clear"/>
        <w:ind w:firstLine="283"/>
        <w:jc w:val="both"/>
        <w:rPr/>
      </w:pPr>
      <w:r>
        <w:rPr/>
        <w:t>укрытия - от катодного кожуха.</w:t>
      </w:r>
    </w:p>
    <w:p>
      <w:pPr>
        <w:pStyle w:val="Normal"/>
        <w:shd w:fill="FFFFFF" w:val="clear"/>
        <w:ind w:firstLine="283"/>
        <w:jc w:val="both"/>
        <w:rPr/>
      </w:pPr>
      <w:r>
        <w:rPr>
          <w:b/>
          <w:bCs/>
        </w:rPr>
        <w:t>7.10.68.</w:t>
      </w:r>
      <w:r>
        <w:rPr/>
        <w:t xml:space="preserve"> У электролизеров с верхним токоподводом и с самообжигающимся анодом должны иметь электрическую изоляцию:</w:t>
      </w:r>
    </w:p>
    <w:p>
      <w:pPr>
        <w:pStyle w:val="Normal"/>
        <w:shd w:fill="FFFFFF" w:val="clear"/>
        <w:ind w:firstLine="283"/>
        <w:jc w:val="both"/>
        <w:rPr/>
      </w:pPr>
      <w:r>
        <w:rPr/>
        <w:t>катодный кожух - от фундамента или опорных строительных конструкций;</w:t>
      </w:r>
    </w:p>
    <w:p>
      <w:pPr>
        <w:pStyle w:val="Normal"/>
        <w:shd w:fill="FFFFFF" w:val="clear"/>
        <w:ind w:firstLine="283"/>
        <w:jc w:val="both"/>
        <w:rPr/>
      </w:pPr>
      <w:r>
        <w:rP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pPr>
        <w:pStyle w:val="Normal"/>
        <w:shd w:fill="FFFFFF" w:val="clear"/>
        <w:ind w:firstLine="283"/>
        <w:jc w:val="both"/>
        <w:rPr/>
      </w:pPr>
      <w:r>
        <w:rPr/>
        <w:t>домкраты вспомогательного механизма подъема анода - от анодного кожуха.</w:t>
      </w:r>
    </w:p>
    <w:p>
      <w:pPr>
        <w:pStyle w:val="Normal"/>
        <w:shd w:fill="FFFFFF" w:val="clear"/>
        <w:ind w:firstLine="283"/>
        <w:jc w:val="both"/>
        <w:rPr/>
      </w:pPr>
      <w:r>
        <w:rPr>
          <w:b/>
          <w:bCs/>
        </w:rPr>
        <w:t>7.10.69.</w:t>
      </w:r>
      <w:r>
        <w:rPr/>
        <w:t xml:space="preserve"> 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w:t>
      </w:r>
      <w:r>
        <w:rPr>
          <w:vertAlign w:val="superscript"/>
        </w:rPr>
        <w:t>1</w:t>
      </w:r>
      <w:r>
        <w:rPr/>
        <w:t>.</w:t>
      </w:r>
    </w:p>
    <w:p>
      <w:pPr>
        <w:pStyle w:val="Normal"/>
        <w:shd w:fill="FFFFFF" w:val="clear"/>
        <w:spacing w:before="120" w:after="120"/>
        <w:ind w:firstLine="283"/>
        <w:jc w:val="both"/>
        <w:rPr/>
      </w:pPr>
      <w:r>
        <w:rPr>
          <w:vertAlign w:val="superscript"/>
        </w:rPr>
        <w:t>1</w:t>
      </w:r>
      <w:r>
        <w:rPr/>
        <w:t xml:space="preserve"> ПБ 11-149-97 (п. 2.5.42).</w:t>
      </w:r>
    </w:p>
    <w:p>
      <w:pPr>
        <w:pStyle w:val="Normal"/>
        <w:shd w:fill="FFFFFF" w:val="clear"/>
        <w:ind w:firstLine="283"/>
        <w:jc w:val="both"/>
        <w:rPr/>
      </w:pPr>
      <w:r>
        <w:rPr>
          <w:b/>
          <w:bCs/>
        </w:rPr>
        <w:t>7.10.70.</w:t>
      </w:r>
      <w:r>
        <w:rPr/>
        <w:t xml:space="preserve"> 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pPr>
        <w:pStyle w:val="Normal"/>
        <w:shd w:fill="FFFFFF" w:val="clear"/>
        <w:ind w:firstLine="283"/>
        <w:jc w:val="both"/>
        <w:rPr/>
      </w:pPr>
      <w:r>
        <w:rPr/>
        <w:t>У напольной рельсовой машины должны быть электроизолированы:</w:t>
      </w:r>
    </w:p>
    <w:p>
      <w:pPr>
        <w:pStyle w:val="Normal"/>
        <w:shd w:fill="FFFFFF" w:val="clear"/>
        <w:ind w:firstLine="283"/>
        <w:jc w:val="both"/>
        <w:rPr/>
      </w:pPr>
      <w:r>
        <w:rPr/>
        <w:t>ходовые колеса - от металлоконструкций;</w:t>
      </w:r>
    </w:p>
    <w:p>
      <w:pPr>
        <w:pStyle w:val="Normal"/>
        <w:shd w:fill="FFFFFF" w:val="clear"/>
        <w:ind w:firstLine="283"/>
        <w:jc w:val="both"/>
        <w:rPr/>
      </w:pPr>
      <w:r>
        <w:rPr/>
        <w:t>привод ходовых колес - от металлоконструкций;</w:t>
      </w:r>
    </w:p>
    <w:p>
      <w:pPr>
        <w:pStyle w:val="Normal"/>
        <w:shd w:fill="FFFFFF" w:val="clear"/>
        <w:ind w:firstLine="283"/>
        <w:jc w:val="both"/>
        <w:rPr/>
      </w:pPr>
      <w:r>
        <w:rPr/>
        <w:t>механизм продавливания корки электролита - от металлоконструкций;</w:t>
      </w:r>
    </w:p>
    <w:p>
      <w:pPr>
        <w:pStyle w:val="Normal"/>
        <w:shd w:fill="FFFFFF" w:val="clear"/>
        <w:ind w:firstLine="283"/>
        <w:jc w:val="both"/>
        <w:rPr/>
      </w:pPr>
      <w:r>
        <w:rP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pPr>
        <w:pStyle w:val="Normal"/>
        <w:shd w:fill="FFFFFF" w:val="clear"/>
        <w:ind w:firstLine="283"/>
        <w:jc w:val="both"/>
        <w:rPr/>
      </w:pPr>
      <w:r>
        <w:rPr/>
        <w:t>аэрожелоб и монжусные трубы - от металлоконструкций;</w:t>
      </w:r>
    </w:p>
    <w:p>
      <w:pPr>
        <w:pStyle w:val="Normal"/>
        <w:shd w:fill="FFFFFF" w:val="clear"/>
        <w:ind w:firstLine="283"/>
        <w:jc w:val="both"/>
        <w:rPr/>
      </w:pPr>
      <w:r>
        <w:rPr/>
        <w:t>трубопроводы - от металлоконструкций в месте перехода их в исполнительный орган механизма продавливания корки электролита;</w:t>
      </w:r>
    </w:p>
    <w:p>
      <w:pPr>
        <w:pStyle w:val="Normal"/>
        <w:shd w:fill="FFFFFF" w:val="clear"/>
        <w:ind w:firstLine="283"/>
        <w:jc w:val="both"/>
        <w:rPr/>
      </w:pPr>
      <w:r>
        <w:rPr/>
        <w:t>стыковочное устройство машины - от металлоконструкций корпуса, число ступеней изоляции должно быть не менее трех;</w:t>
      </w:r>
    </w:p>
    <w:p>
      <w:pPr>
        <w:pStyle w:val="Normal"/>
        <w:shd w:fill="FFFFFF" w:val="clear"/>
        <w:ind w:firstLine="283"/>
        <w:jc w:val="both"/>
        <w:rPr/>
      </w:pPr>
      <w:r>
        <w:rPr/>
        <w:t>выдвижной конвейер для загрузки машины анодной массой - от металлоконструкций корпуса, число ступеней изоляции должно быть не менее трех.</w:t>
      </w:r>
    </w:p>
    <w:p>
      <w:pPr>
        <w:pStyle w:val="Normal"/>
        <w:shd w:fill="FFFFFF" w:val="clear"/>
        <w:ind w:firstLine="283"/>
        <w:jc w:val="both"/>
        <w:rPr/>
      </w:pPr>
      <w:r>
        <w:rPr>
          <w:b/>
          <w:bCs/>
        </w:rPr>
        <w:t>7.10.71.</w:t>
      </w:r>
      <w:r>
        <w:rPr/>
        <w:t xml:space="preserve"> Подкрановые пути в корпусах электролиза алюминия должны быть заземлены. Сопротивление заземляющих устройств не должно превышать 4 Ом.</w:t>
      </w:r>
    </w:p>
    <w:p>
      <w:pPr>
        <w:pStyle w:val="Normal"/>
        <w:shd w:fill="FFFFFF" w:val="clear"/>
        <w:ind w:firstLine="283"/>
        <w:jc w:val="both"/>
        <w:rPr/>
      </w:pPr>
      <w:r>
        <w:rPr>
          <w:b/>
          <w:bCs/>
        </w:rPr>
        <w:t>7.10.72.</w:t>
      </w:r>
      <w:r>
        <w:rPr/>
        <w:t xml:space="preserve"> 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pPr>
        <w:pStyle w:val="Normal"/>
        <w:shd w:fill="FFFFFF" w:val="clear"/>
        <w:ind w:firstLine="283"/>
        <w:jc w:val="both"/>
        <w:rPr/>
      </w:pPr>
      <w:r>
        <w:rPr>
          <w:b/>
          <w:bCs/>
        </w:rPr>
        <w:t>7.10.73.</w:t>
      </w:r>
      <w:r>
        <w:rPr/>
        <w:t xml:space="preserve"> Нейтраль в электроустановках напряжением до 1 кВ переменного тока в корпусах электролиза может быть как изолированная, так и глухозаземленная.</w:t>
      </w:r>
    </w:p>
    <w:p>
      <w:pPr>
        <w:pStyle w:val="Normal"/>
        <w:shd w:fill="FFFFFF" w:val="clear"/>
        <w:ind w:firstLine="283"/>
        <w:jc w:val="both"/>
        <w:rPr/>
      </w:pPr>
      <w:r>
        <w:rP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pPr>
        <w:pStyle w:val="Normal"/>
        <w:shd w:fill="FFFFFF" w:val="clear"/>
        <w:ind w:firstLine="283"/>
        <w:jc w:val="both"/>
        <w:rPr/>
      </w:pPr>
      <w:r>
        <w:rPr/>
        <w:t xml:space="preserve">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r>
        <w:rPr>
          <w:b/>
          <w:bCs/>
        </w:rPr>
        <w:t>7.10.18</w:t>
      </w:r>
      <w:r>
        <w:rPr/>
        <w:t>.</w:t>
      </w:r>
    </w:p>
    <w:p>
      <w:pPr>
        <w:pStyle w:val="Normal"/>
        <w:shd w:fill="FFFFFF" w:val="clear"/>
        <w:ind w:firstLine="283"/>
        <w:jc w:val="both"/>
        <w:rPr/>
      </w:pPr>
      <w:r>
        <w:rPr>
          <w:b/>
          <w:bCs/>
        </w:rPr>
        <w:t>7.10.74</w:t>
      </w:r>
      <w:r>
        <w:rPr/>
        <w:t>. 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pPr>
        <w:pStyle w:val="Normal"/>
        <w:shd w:fill="FFFFFF" w:val="clear"/>
        <w:ind w:firstLine="283"/>
        <w:jc w:val="both"/>
        <w:rPr/>
      </w:pPr>
      <w:r>
        <w:rPr>
          <w:b/>
          <w:bCs/>
        </w:rPr>
        <w:t>7.10.75.</w:t>
      </w:r>
      <w:r>
        <w:rPr/>
        <w:t xml:space="preserve"> 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pPr>
        <w:pStyle w:val="Normal"/>
        <w:shd w:fill="FFFFFF" w:val="clear"/>
        <w:ind w:firstLine="283"/>
        <w:jc w:val="both"/>
        <w:rPr/>
      </w:pPr>
      <w:r>
        <w:rP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pPr>
        <w:pStyle w:val="Normal"/>
        <w:shd w:fill="FFFFFF" w:val="clear"/>
        <w:ind w:firstLine="283"/>
        <w:jc w:val="both"/>
        <w:rPr/>
      </w:pPr>
      <w:r>
        <w:rPr>
          <w:b/>
          <w:bCs/>
        </w:rPr>
        <w:t>7.10.76.</w:t>
      </w:r>
      <w:r>
        <w:rPr/>
        <w:t xml:space="preserve"> 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pPr>
        <w:pStyle w:val="Normal"/>
        <w:shd w:fill="FFFFFF" w:val="clear"/>
        <w:ind w:firstLine="283"/>
        <w:jc w:val="both"/>
        <w:rPr/>
      </w:pPr>
      <w:r>
        <w:rPr>
          <w:b/>
          <w:bCs/>
        </w:rPr>
        <w:t>7.10.77.</w:t>
      </w:r>
      <w:r>
        <w:rPr/>
        <w:t xml:space="preserve"> Сварочные магистрали для отбора электроэнергии от главного токопровода выпрямленного тока должны быть секционированы.</w:t>
      </w:r>
    </w:p>
    <w:p>
      <w:pPr>
        <w:pStyle w:val="Normal"/>
        <w:shd w:fill="FFFFFF" w:val="clear"/>
        <w:ind w:firstLine="283"/>
        <w:jc w:val="both"/>
        <w:rPr/>
      </w:pPr>
      <w:r>
        <w:rP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pPr>
        <w:pStyle w:val="Normal"/>
        <w:shd w:fill="FFFFFF" w:val="clear"/>
        <w:ind w:firstLine="283"/>
        <w:jc w:val="both"/>
        <w:rPr/>
      </w:pPr>
      <w:r>
        <w:rPr>
          <w:b/>
          <w:bCs/>
        </w:rPr>
        <w:t>7.10.78.</w:t>
      </w:r>
      <w:r>
        <w:rPr/>
        <w:t xml:space="preserve"> Металлические трубопроводы, проложенные вдоль корпусов электролиза на высоте менее 3,5 м, должны иметь электроизоляционные вставки через каждые 4 электролизера, а расположенные вертикально или поперек электролизных серий - через каждые 3 м.</w:t>
      </w:r>
    </w:p>
    <w:p>
      <w:pPr>
        <w:pStyle w:val="Heading3"/>
        <w:rPr/>
      </w:pPr>
      <w:r>
        <w:rPr/>
        <w:t>Установки электролитического рафинирования алюминия</w:t>
      </w:r>
    </w:p>
    <w:p>
      <w:pPr>
        <w:pStyle w:val="Normal"/>
        <w:shd w:fill="FFFFFF" w:val="clear"/>
        <w:ind w:firstLine="283"/>
        <w:jc w:val="both"/>
        <w:rPr/>
      </w:pPr>
      <w:r>
        <w:rPr>
          <w:b/>
          <w:bCs/>
        </w:rPr>
        <w:t>7.10.79.</w:t>
      </w:r>
      <w:r>
        <w:rPr/>
        <w:t xml:space="preserve"> Между торцами соседних в ряду электролизеров расстояние должно быть не менее 1 м, а между выступающими частями - не менее 0,6 м.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pPr>
        <w:pStyle w:val="Normal"/>
        <w:shd w:fill="FFFFFF" w:val="clear"/>
        <w:ind w:firstLine="283"/>
        <w:jc w:val="both"/>
        <w:rPr/>
      </w:pPr>
      <w:r>
        <w:rPr>
          <w:b/>
          <w:bCs/>
        </w:rPr>
        <w:t>7.10.80.</w:t>
      </w:r>
      <w:r>
        <w:rPr/>
        <w:t xml:space="preserve"> У электролизеров должны иметь электрическую изоляцию:</w:t>
      </w:r>
    </w:p>
    <w:p>
      <w:pPr>
        <w:pStyle w:val="Normal"/>
        <w:shd w:fill="FFFFFF" w:val="clear"/>
        <w:ind w:firstLine="283"/>
        <w:jc w:val="both"/>
        <w:rPr/>
      </w:pPr>
      <w:r>
        <w:rPr/>
        <w:t>оболочка - от земли, строительных конструкций, анодных блюмов и металлических конструкций электролизера;</w:t>
      </w:r>
    </w:p>
    <w:p>
      <w:pPr>
        <w:pStyle w:val="Normal"/>
        <w:shd w:fill="FFFFFF" w:val="clear"/>
        <w:ind w:firstLine="283"/>
        <w:jc w:val="both"/>
        <w:rPr/>
      </w:pPr>
      <w:r>
        <w:rPr/>
        <w:t>пакет анодных шин - от домкратов подъемного механизма анода.</w:t>
      </w:r>
    </w:p>
    <w:p>
      <w:pPr>
        <w:pStyle w:val="Heading3"/>
        <w:rPr/>
      </w:pPr>
      <w:r>
        <w:rPr/>
        <w:t>Электролизные установки ферросплавного производства</w:t>
      </w:r>
    </w:p>
    <w:p>
      <w:pPr>
        <w:pStyle w:val="Normal"/>
        <w:shd w:fill="FFFFFF" w:val="clear"/>
        <w:ind w:firstLine="283"/>
        <w:jc w:val="both"/>
        <w:rPr/>
      </w:pPr>
      <w:r>
        <w:rPr>
          <w:b/>
          <w:bCs/>
        </w:rPr>
        <w:t>7.10.81.</w:t>
      </w:r>
      <w:r>
        <w:rPr/>
        <w:t xml:space="preserve"> 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pPr>
        <w:pStyle w:val="Heading3"/>
        <w:rPr/>
      </w:pPr>
      <w:r>
        <w:rPr/>
        <w:t>Электролизные установки никель-кобальтового производства</w:t>
      </w:r>
    </w:p>
    <w:p>
      <w:pPr>
        <w:pStyle w:val="Normal"/>
        <w:shd w:fill="FFFFFF" w:val="clear"/>
        <w:ind w:firstLine="283"/>
        <w:jc w:val="both"/>
        <w:rPr/>
      </w:pPr>
      <w:r>
        <w:rPr>
          <w:b/>
          <w:bCs/>
        </w:rPr>
        <w:t>7.10.82.</w:t>
      </w:r>
      <w:r>
        <w:rPr/>
        <w:t xml:space="preserve"> 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pPr>
        <w:pStyle w:val="Heading3"/>
        <w:rPr/>
      </w:pPr>
      <w:r>
        <w:rPr/>
        <w:t>Установки электролиза меди</w:t>
      </w:r>
    </w:p>
    <w:p>
      <w:pPr>
        <w:pStyle w:val="Normal"/>
        <w:shd w:fill="FFFFFF" w:val="clear"/>
        <w:ind w:firstLine="283"/>
        <w:jc w:val="both"/>
        <w:rPr/>
      </w:pPr>
      <w:r>
        <w:rPr>
          <w:b/>
          <w:bCs/>
        </w:rPr>
        <w:t>7.10.83.</w:t>
      </w:r>
      <w:r>
        <w:rPr/>
        <w:t xml:space="preserve"> В залах электролиза рекомендуется применение медных шин токопроводов. Рекомендуемая плотность тока шин 1 А/мм</w:t>
      </w:r>
      <w:r>
        <w:rPr>
          <w:vertAlign w:val="superscript"/>
        </w:rPr>
        <w:t>2</w:t>
      </w:r>
      <w:r>
        <w:rPr/>
        <w:t>.</w:t>
      </w:r>
    </w:p>
    <w:p>
      <w:pPr>
        <w:pStyle w:val="Normal"/>
        <w:shd w:fill="FFFFFF" w:val="clear"/>
        <w:ind w:firstLine="283"/>
        <w:jc w:val="both"/>
        <w:rPr/>
      </w:pPr>
      <w:r>
        <w:rPr/>
        <w:t>Алюминиевые шины применяются в обоснованных случаях, рекомендуемая плотность тока шин 0,7 А/мм</w:t>
      </w:r>
      <w:r>
        <w:rPr>
          <w:vertAlign w:val="superscript"/>
        </w:rPr>
        <w:t>2</w:t>
      </w:r>
      <w:r>
        <w:rPr/>
        <w:t>.</w:t>
      </w:r>
    </w:p>
    <w:p>
      <w:pPr>
        <w:pStyle w:val="Heading3"/>
        <w:rPr/>
      </w:pPr>
      <w:r>
        <w:rPr/>
        <w:t>Установки гальванических покрытий</w:t>
      </w:r>
    </w:p>
    <w:p>
      <w:pPr>
        <w:pStyle w:val="Normal"/>
        <w:shd w:fill="FFFFFF" w:val="clear"/>
        <w:ind w:firstLine="283"/>
        <w:jc w:val="both"/>
        <w:rPr/>
      </w:pPr>
      <w:r>
        <w:rPr>
          <w:b/>
          <w:bCs/>
        </w:rPr>
        <w:t>7.10.84.</w:t>
      </w:r>
      <w:r>
        <w:rPr/>
        <w:t xml:space="preserve"> 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pPr>
        <w:pStyle w:val="Normal"/>
        <w:shd w:fill="FFFFFF" w:val="clear"/>
        <w:ind w:firstLine="283"/>
        <w:jc w:val="both"/>
        <w:rPr/>
      </w:pPr>
      <w:r>
        <w:rPr>
          <w:b/>
          <w:bCs/>
        </w:rPr>
        <w:t>7.10.85.</w:t>
      </w:r>
      <w:r>
        <w:rPr/>
        <w:t xml:space="preserve"> 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pPr>
        <w:pStyle w:val="Normal"/>
        <w:shd w:fill="FFFFFF" w:val="clear"/>
        <w:spacing w:before="120" w:after="120"/>
        <w:jc w:val="center"/>
        <w:rPr>
          <w:b/>
          <w:b/>
          <w:bCs/>
        </w:rPr>
      </w:pPr>
      <w:r>
        <w:rPr>
          <w:b/>
          <w:bCs/>
        </w:rPr>
        <w:t>СОДЕРЖАНИЕ</w:t>
      </w:r>
    </w:p>
    <w:tbl>
      <w:tblPr>
        <w:tblW w:w="9288" w:type="dxa"/>
        <w:jc w:val="center"/>
        <w:tblInd w:w="0" w:type="dxa"/>
        <w:tblBorders/>
        <w:tblCellMar>
          <w:top w:w="0" w:type="dxa"/>
          <w:left w:w="108" w:type="dxa"/>
          <w:bottom w:w="0" w:type="dxa"/>
          <w:right w:w="108" w:type="dxa"/>
        </w:tblCellMar>
      </w:tblPr>
      <w:tblGrid>
        <w:gridCol w:w="9288"/>
      </w:tblGrid>
      <w:tr>
        <w:trPr/>
        <w:tc>
          <w:tcPr>
            <w:tcW w:w="9288" w:type="dxa"/>
            <w:tcBorders/>
            <w:shd w:fill="auto" w:val="clear"/>
          </w:tcPr>
          <w:p>
            <w:pPr>
              <w:pStyle w:val="Contents1"/>
              <w:ind w:right="454" w:hanging="0"/>
              <w:jc w:val="both"/>
              <w:rPr/>
            </w:pPr>
            <w:r>
              <w:rPr/>
              <w:t>Р</w:t>
            </w:r>
            <w:r>
              <w:rPr>
                <w:caps/>
              </w:rPr>
              <w:t>аздел</w:t>
            </w:r>
            <w:r>
              <w:rPr/>
              <w:t xml:space="preserve"> 1 </w:t>
            </w:r>
            <w:hyperlink w:anchor="_Раздел_1_ОБЩИЕ">
              <w:r>
                <w:rPr>
                  <w:rStyle w:val="InternetLink"/>
                </w:rPr>
                <w:t>Общие правила</w:t>
              </w:r>
            </w:hyperlink>
            <w:r>
              <w:rPr>
                <w:vanish/>
              </w:rPr>
              <w:t>. 1</w:t>
            </w:r>
          </w:p>
          <w:p>
            <w:pPr>
              <w:pStyle w:val="Contents2"/>
              <w:ind w:left="200" w:right="454" w:hanging="0"/>
              <w:jc w:val="both"/>
              <w:rPr/>
            </w:pPr>
            <w:r>
              <w:rPr/>
              <w:t xml:space="preserve">Глава 1.1 </w:t>
            </w:r>
            <w:hyperlink w:anchor="_Глава_1.1_ОБЩАЯ">
              <w:r>
                <w:rPr>
                  <w:rStyle w:val="InternetLink"/>
                </w:rPr>
                <w:t>Общая часть</w:t>
              </w:r>
            </w:hyperlink>
            <w:r>
              <w:rPr>
                <w:vanish/>
              </w:rPr>
              <w:t>. 1</w:t>
            </w:r>
          </w:p>
          <w:p>
            <w:pPr>
              <w:pStyle w:val="Contents3"/>
              <w:ind w:left="403" w:right="454" w:hanging="0"/>
              <w:jc w:val="both"/>
              <w:rPr/>
            </w:pPr>
            <w:r>
              <w:rPr/>
              <w:t>Область применения. Определения</w:t>
            </w:r>
            <w:r>
              <w:rPr>
                <w:vanish/>
              </w:rPr>
              <w:t>. 1</w:t>
            </w:r>
          </w:p>
          <w:p>
            <w:pPr>
              <w:pStyle w:val="Contents3"/>
              <w:ind w:left="403" w:right="454" w:hanging="0"/>
              <w:jc w:val="both"/>
              <w:rPr/>
            </w:pPr>
            <w:r>
              <w:rPr/>
              <w:t>Общие указания по устройству электроустановок</w:t>
            </w:r>
            <w:r>
              <w:rPr>
                <w:vanish/>
              </w:rPr>
              <w:t>. 3</w:t>
            </w:r>
          </w:p>
          <w:p>
            <w:pPr>
              <w:pStyle w:val="Contents2"/>
              <w:ind w:left="200" w:right="454" w:hanging="0"/>
              <w:jc w:val="both"/>
              <w:rPr/>
            </w:pPr>
            <w:r>
              <w:rPr/>
              <w:t xml:space="preserve">Глава 1.2 </w:t>
            </w:r>
            <w:hyperlink w:anchor="_Глава_1.2_ЭЛЕКТРОСНАБЖЕНИЕ">
              <w:r>
                <w:rPr>
                  <w:rStyle w:val="InternetLink"/>
                </w:rPr>
                <w:t>Электроснабжение и электрические сети</w:t>
              </w:r>
            </w:hyperlink>
            <w:r>
              <w:rPr>
                <w:vanish/>
              </w:rPr>
              <w:t>. 6</w:t>
            </w:r>
          </w:p>
          <w:p>
            <w:pPr>
              <w:pStyle w:val="Contents3"/>
              <w:ind w:left="403" w:right="454" w:hanging="0"/>
              <w:jc w:val="both"/>
              <w:rPr/>
            </w:pPr>
            <w:r>
              <w:rPr/>
              <w:t>Область применения. Определения</w:t>
            </w:r>
            <w:r>
              <w:rPr>
                <w:vanish/>
              </w:rPr>
              <w:t>. 6</w:t>
            </w:r>
          </w:p>
          <w:p>
            <w:pPr>
              <w:pStyle w:val="Contents3"/>
              <w:ind w:left="403" w:right="454" w:hanging="0"/>
              <w:jc w:val="both"/>
              <w:rPr/>
            </w:pPr>
            <w:r>
              <w:rPr/>
              <w:t>Общие требования</w:t>
            </w:r>
            <w:r>
              <w:rPr>
                <w:vanish/>
              </w:rPr>
              <w:t>. 7</w:t>
            </w:r>
          </w:p>
          <w:p>
            <w:pPr>
              <w:pStyle w:val="Contents3"/>
              <w:ind w:left="403" w:right="454" w:hanging="0"/>
              <w:jc w:val="both"/>
              <w:rPr/>
            </w:pPr>
            <w:r>
              <w:rPr/>
              <w:t>Категории электроприемников и обеспечение надежности электроснабжения</w:t>
            </w:r>
            <w:r>
              <w:rPr>
                <w:vanish/>
              </w:rPr>
              <w:t>. 8</w:t>
            </w:r>
          </w:p>
          <w:p>
            <w:pPr>
              <w:pStyle w:val="Contents3"/>
              <w:ind w:left="403" w:right="454" w:hanging="0"/>
              <w:jc w:val="both"/>
              <w:rPr/>
            </w:pPr>
            <w:r>
              <w:rPr/>
              <w:t>Уровни и регулирование напряжения, компенсация реактивной мощности</w:t>
            </w:r>
            <w:r>
              <w:rPr>
                <w:vanish/>
              </w:rPr>
              <w:t>. 9</w:t>
            </w:r>
          </w:p>
          <w:p>
            <w:pPr>
              <w:pStyle w:val="Contents2"/>
              <w:ind w:left="200" w:right="454" w:hanging="0"/>
              <w:jc w:val="both"/>
              <w:rPr/>
            </w:pPr>
            <w:r>
              <w:rPr/>
              <w:t xml:space="preserve">Глава 1.7 </w:t>
            </w:r>
            <w:hyperlink w:anchor="_Глава_1.7_ЗАЗЕМЛЕНИЕ">
              <w:r>
                <w:rPr>
                  <w:rStyle w:val="InternetLink"/>
                </w:rPr>
                <w:t>Заземление и защитные меры электробезопасности</w:t>
              </w:r>
            </w:hyperlink>
            <w:r>
              <w:rPr>
                <w:vanish/>
              </w:rPr>
              <w:t>. 10</w:t>
            </w:r>
          </w:p>
          <w:p>
            <w:pPr>
              <w:pStyle w:val="Contents3"/>
              <w:ind w:left="403" w:right="454" w:hanging="0"/>
              <w:jc w:val="both"/>
              <w:rPr/>
            </w:pPr>
            <w:r>
              <w:rPr/>
              <w:t>Область применения. Термины и определения</w:t>
            </w:r>
            <w:r>
              <w:rPr>
                <w:vanish/>
              </w:rPr>
              <w:t>. 10</w:t>
            </w:r>
          </w:p>
          <w:p>
            <w:pPr>
              <w:pStyle w:val="Contents3"/>
              <w:ind w:left="403" w:right="454" w:hanging="0"/>
              <w:jc w:val="both"/>
              <w:rPr/>
            </w:pPr>
            <w:r>
              <w:rPr/>
              <w:t>Общие требования</w:t>
            </w:r>
            <w:r>
              <w:rPr>
                <w:vanish/>
              </w:rPr>
              <w:t>. 17</w:t>
            </w:r>
          </w:p>
          <w:p>
            <w:pPr>
              <w:pStyle w:val="Contents3"/>
              <w:ind w:left="403" w:right="454" w:hanging="0"/>
              <w:jc w:val="both"/>
              <w:rPr/>
            </w:pPr>
            <w:r>
              <w:rPr/>
              <w:t>Меры защиты от прямого прикосновения</w:t>
            </w:r>
            <w:r>
              <w:rPr>
                <w:vanish/>
              </w:rPr>
              <w:t>. 21</w:t>
            </w:r>
          </w:p>
          <w:p>
            <w:pPr>
              <w:pStyle w:val="Contents3"/>
              <w:ind w:left="403" w:right="454" w:hanging="0"/>
              <w:jc w:val="both"/>
              <w:rPr/>
            </w:pPr>
            <w:r>
              <w:rPr/>
              <w:t>Меры защиты от прямого и косвенного прикосновений</w:t>
            </w:r>
            <w:r>
              <w:rPr>
                <w:vanish/>
              </w:rPr>
              <w:t>. 22</w:t>
            </w:r>
          </w:p>
          <w:p>
            <w:pPr>
              <w:pStyle w:val="Contents3"/>
              <w:ind w:left="403" w:right="454" w:hanging="0"/>
              <w:jc w:val="both"/>
              <w:rPr/>
            </w:pPr>
            <w:r>
              <w:rPr/>
              <w:t>Меры защиты при косвенном прикосновении</w:t>
            </w:r>
            <w:r>
              <w:rPr>
                <w:vanish/>
              </w:rPr>
              <w:t>. 23</w:t>
            </w:r>
          </w:p>
          <w:p>
            <w:pPr>
              <w:pStyle w:val="Contents3"/>
              <w:ind w:left="403" w:right="454" w:hanging="0"/>
              <w:jc w:val="both"/>
              <w:rPr/>
            </w:pPr>
            <w:r>
              <w:rPr/>
              <w:t>Заземляющие устройства электроустановок напряжением выше 1 кВ в сетях с эффективно заземленной нейтралью</w:t>
            </w:r>
            <w:r>
              <w:rPr>
                <w:vanish/>
              </w:rPr>
              <w:t>.. 29</w:t>
            </w:r>
          </w:p>
          <w:p>
            <w:pPr>
              <w:pStyle w:val="Contents3"/>
              <w:ind w:left="403" w:right="454" w:hanging="0"/>
              <w:jc w:val="both"/>
              <w:rPr/>
            </w:pPr>
            <w:r>
              <w:rPr/>
              <w:t>Заземляющие устройства электроустановок напряжением выше 1 кВ в сетях с изолированной нейтралью</w:t>
            </w:r>
            <w:r>
              <w:rPr>
                <w:vanish/>
              </w:rPr>
              <w:t>.. 32</w:t>
            </w:r>
          </w:p>
          <w:p>
            <w:pPr>
              <w:pStyle w:val="Contents3"/>
              <w:ind w:left="403" w:right="454" w:hanging="0"/>
              <w:jc w:val="both"/>
              <w:rPr/>
            </w:pPr>
            <w:hyperlink w:anchor="_Заземляющие_устройства_электроустан">
              <w:r>
                <w:rPr>
                  <w:rStyle w:val="InternetLink"/>
                </w:rPr>
                <w:t>Заземляющие устройства электроустановок напряжением до 1 кВ в сетях с глухозаземленной нейтралью</w:t>
              </w:r>
            </w:hyperlink>
            <w:r>
              <w:rPr>
                <w:vanish/>
              </w:rPr>
              <w:t>.. 33</w:t>
            </w:r>
          </w:p>
          <w:p>
            <w:pPr>
              <w:pStyle w:val="Contents3"/>
              <w:ind w:left="403" w:right="454" w:hanging="0"/>
              <w:jc w:val="both"/>
              <w:rPr/>
            </w:pPr>
            <w:r>
              <w:rPr/>
              <w:t>Заземляющие устройства электроустановок напряжением до 1 кВ в сетях с изолированной нейтралью</w:t>
            </w:r>
            <w:r>
              <w:rPr>
                <w:vanish/>
              </w:rPr>
              <w:t>.. 35</w:t>
            </w:r>
          </w:p>
          <w:p>
            <w:pPr>
              <w:pStyle w:val="Contents3"/>
              <w:ind w:left="403" w:right="454" w:hanging="0"/>
              <w:jc w:val="both"/>
              <w:rPr/>
            </w:pPr>
            <w:r>
              <w:rPr/>
              <w:t>Заземляющие устройства в районах с большим удельным сопротивлением земли</w:t>
            </w:r>
            <w:r>
              <w:rPr>
                <w:vanish/>
              </w:rPr>
              <w:t>. 35</w:t>
            </w:r>
          </w:p>
          <w:p>
            <w:pPr>
              <w:pStyle w:val="Contents3"/>
              <w:ind w:left="403" w:right="454" w:hanging="0"/>
              <w:jc w:val="both"/>
              <w:rPr/>
            </w:pPr>
            <w:hyperlink w:anchor="_Заземлители">
              <w:r>
                <w:rPr>
                  <w:rStyle w:val="InternetLink"/>
                </w:rPr>
                <w:t>Заземлители</w:t>
              </w:r>
            </w:hyperlink>
            <w:r>
              <w:rPr>
                <w:vanish/>
              </w:rPr>
              <w:t>. 36</w:t>
            </w:r>
          </w:p>
          <w:p>
            <w:pPr>
              <w:pStyle w:val="Contents3"/>
              <w:ind w:left="403" w:right="454" w:hanging="0"/>
              <w:jc w:val="both"/>
              <w:rPr/>
            </w:pPr>
            <w:r>
              <w:rPr/>
              <w:t>Заземляющие проводники</w:t>
            </w:r>
            <w:r>
              <w:rPr>
                <w:vanish/>
              </w:rPr>
              <w:t>. 37</w:t>
            </w:r>
          </w:p>
          <w:p>
            <w:pPr>
              <w:pStyle w:val="Contents3"/>
              <w:ind w:left="403" w:right="454" w:hanging="0"/>
              <w:jc w:val="both"/>
              <w:rPr/>
            </w:pPr>
            <w:r>
              <w:rPr/>
              <w:t>Главная заземляющая шина</w:t>
            </w:r>
            <w:r>
              <w:rPr>
                <w:vanish/>
              </w:rPr>
              <w:t>. 37</w:t>
            </w:r>
          </w:p>
          <w:p>
            <w:pPr>
              <w:pStyle w:val="Contents3"/>
              <w:ind w:left="403" w:right="454" w:hanging="0"/>
              <w:jc w:val="both"/>
              <w:rPr/>
            </w:pPr>
            <w:r>
              <w:rPr/>
              <w:t>Защитные проводники (</w:t>
            </w:r>
            <w:r>
              <w:rPr>
                <w:i/>
                <w:iCs/>
              </w:rPr>
              <w:t>PE</w:t>
            </w:r>
            <w:r>
              <w:rPr/>
              <w:t>-проводники)</w:t>
            </w:r>
            <w:r>
              <w:rPr>
                <w:vanish/>
              </w:rPr>
              <w:t xml:space="preserve"> 38</w:t>
            </w:r>
          </w:p>
          <w:p>
            <w:pPr>
              <w:pStyle w:val="Contents3"/>
              <w:ind w:left="403" w:right="454" w:hanging="0"/>
              <w:jc w:val="both"/>
              <w:rPr/>
            </w:pPr>
            <w:r>
              <w:rPr/>
              <w:t>Совмещенные нулевые защитные и нулевые рабочие проводники (</w:t>
            </w:r>
            <w:r>
              <w:rPr>
                <w:i/>
                <w:iCs/>
              </w:rPr>
              <w:t>PEN</w:t>
            </w:r>
            <w:r>
              <w:rPr/>
              <w:t>-проводники)</w:t>
            </w:r>
            <w:r>
              <w:rPr>
                <w:vanish/>
              </w:rPr>
              <w:t xml:space="preserve"> 41</w:t>
            </w:r>
          </w:p>
          <w:p>
            <w:pPr>
              <w:pStyle w:val="Contents3"/>
              <w:ind w:left="403" w:right="454" w:hanging="0"/>
              <w:jc w:val="both"/>
              <w:rPr/>
            </w:pPr>
            <w:hyperlink w:anchor="_Проводники_системы_уравнивания">
              <w:r>
                <w:rPr>
                  <w:rStyle w:val="InternetLink"/>
                </w:rPr>
                <w:t>Проводники системы уравнивания потенциалов</w:t>
              </w:r>
            </w:hyperlink>
            <w:r>
              <w:rPr>
                <w:vanish/>
              </w:rPr>
              <w:t>. 42</w:t>
            </w:r>
          </w:p>
          <w:p>
            <w:pPr>
              <w:pStyle w:val="Contents3"/>
              <w:ind w:left="403" w:right="454" w:hanging="0"/>
              <w:jc w:val="both"/>
              <w:rPr/>
            </w:pPr>
            <w:r>
              <w:rPr/>
              <w:t>Соединения и присоединения заземляющих, защитных проводников и проводников системы уравнивания и выравнивания потенциалов</w:t>
            </w:r>
            <w:r>
              <w:rPr>
                <w:vanish/>
              </w:rPr>
              <w:t>. 42</w:t>
            </w:r>
          </w:p>
          <w:p>
            <w:pPr>
              <w:pStyle w:val="Contents3"/>
              <w:ind w:left="403" w:right="454" w:hanging="0"/>
              <w:jc w:val="both"/>
              <w:rPr/>
            </w:pPr>
            <w:r>
              <w:rPr/>
              <w:t>Переносные электроприемники</w:t>
            </w:r>
            <w:r>
              <w:rPr>
                <w:vanish/>
              </w:rPr>
              <w:t>. 44</w:t>
            </w:r>
          </w:p>
          <w:p>
            <w:pPr>
              <w:pStyle w:val="Contents3"/>
              <w:ind w:left="403" w:right="454" w:hanging="0"/>
              <w:jc w:val="both"/>
              <w:rPr/>
            </w:pPr>
            <w:r>
              <w:rPr/>
              <w:t>Передвижные электроустановки</w:t>
            </w:r>
            <w:r>
              <w:rPr>
                <w:vanish/>
              </w:rPr>
              <w:t>. 45</w:t>
            </w:r>
          </w:p>
          <w:p>
            <w:pPr>
              <w:pStyle w:val="Contents3"/>
              <w:ind w:left="403" w:right="454" w:hanging="0"/>
              <w:jc w:val="both"/>
              <w:rPr/>
            </w:pPr>
            <w:r>
              <w:rPr/>
              <w:t>Электроустановки помещений для содержания животных</w:t>
            </w:r>
            <w:r>
              <w:rPr>
                <w:vanish/>
              </w:rPr>
              <w:t>. 48</w:t>
            </w:r>
          </w:p>
          <w:p>
            <w:pPr>
              <w:pStyle w:val="Contents2"/>
              <w:ind w:left="200" w:right="454" w:hanging="0"/>
              <w:jc w:val="both"/>
              <w:rPr/>
            </w:pPr>
            <w:r>
              <w:rPr/>
              <w:t xml:space="preserve">Глава 1.8. </w:t>
            </w:r>
            <w:hyperlink w:anchor="_Глава_1.8._НОРМЫ">
              <w:r>
                <w:rPr>
                  <w:rStyle w:val="InternetLink"/>
                </w:rPr>
                <w:t>Нормы приемо-сдаточных испытаний</w:t>
              </w:r>
            </w:hyperlink>
            <w:r>
              <w:rPr>
                <w:vanish/>
              </w:rPr>
              <w:t>. 49</w:t>
            </w:r>
          </w:p>
          <w:p>
            <w:pPr>
              <w:pStyle w:val="Contents3"/>
              <w:ind w:left="403" w:right="454" w:hanging="0"/>
              <w:jc w:val="both"/>
              <w:rPr/>
            </w:pPr>
            <w:r>
              <w:rPr/>
              <w:t>1.8.1 – 1.8.12. Общие положения</w:t>
            </w:r>
            <w:r>
              <w:rPr>
                <w:vanish/>
              </w:rPr>
              <w:t>. 49</w:t>
            </w:r>
          </w:p>
          <w:p>
            <w:pPr>
              <w:pStyle w:val="Contents3"/>
              <w:ind w:left="403" w:right="454" w:hanging="0"/>
              <w:jc w:val="both"/>
              <w:rPr/>
            </w:pPr>
            <w:r>
              <w:rPr/>
              <w:t>1.8.13. Синхронные генераторы и компенсаторы</w:t>
            </w:r>
            <w:r>
              <w:rPr>
                <w:vanish/>
              </w:rPr>
              <w:t>.. 50</w:t>
            </w:r>
          </w:p>
          <w:p>
            <w:pPr>
              <w:pStyle w:val="Contents3"/>
              <w:ind w:left="403" w:right="454" w:hanging="0"/>
              <w:jc w:val="both"/>
              <w:rPr/>
            </w:pPr>
            <w:r>
              <w:rPr/>
              <w:t>1.8.14. Машины постоянного тока</w:t>
            </w:r>
            <w:r>
              <w:rPr>
                <w:vanish/>
              </w:rPr>
              <w:t>. 64</w:t>
            </w:r>
          </w:p>
          <w:p>
            <w:pPr>
              <w:pStyle w:val="Contents3"/>
              <w:ind w:left="403" w:right="454" w:hanging="0"/>
              <w:jc w:val="both"/>
              <w:rPr/>
            </w:pPr>
            <w:r>
              <w:rPr/>
              <w:t>1.8.15. Электродвигатели переменного тока</w:t>
            </w:r>
            <w:r>
              <w:rPr>
                <w:vanish/>
              </w:rPr>
              <w:t>. 66</w:t>
            </w:r>
          </w:p>
          <w:p>
            <w:pPr>
              <w:pStyle w:val="Contents3"/>
              <w:ind w:left="403" w:right="454" w:hanging="0"/>
              <w:jc w:val="both"/>
              <w:rPr/>
            </w:pPr>
            <w:r>
              <w:rPr/>
              <w:t>1.8.16. Силовые трансформаторы, автотрансформаторы, масляные реакторы и заземляющие дугогасящие реакторы (дугогасящие катушки)</w:t>
            </w:r>
            <w:r>
              <w:rPr>
                <w:vanish/>
              </w:rPr>
              <w:t xml:space="preserve"> 67</w:t>
            </w:r>
          </w:p>
          <w:p>
            <w:pPr>
              <w:pStyle w:val="Contents3"/>
              <w:ind w:left="403" w:right="454" w:hanging="0"/>
              <w:jc w:val="both"/>
              <w:rPr/>
            </w:pPr>
            <w:r>
              <w:rPr/>
              <w:t>1.8.17. Измерительные трансформаторы тока</w:t>
            </w:r>
            <w:r>
              <w:rPr>
                <w:vanish/>
              </w:rPr>
              <w:t>. 71</w:t>
            </w:r>
          </w:p>
          <w:p>
            <w:pPr>
              <w:pStyle w:val="Contents3"/>
              <w:ind w:left="403" w:right="454" w:hanging="0"/>
              <w:jc w:val="both"/>
              <w:rPr/>
            </w:pPr>
            <w:r>
              <w:rPr/>
              <w:t>1.8.18. Измерительные трансформаторы напряжения</w:t>
            </w:r>
            <w:r>
              <w:rPr>
                <w:vanish/>
              </w:rPr>
              <w:t>. 73</w:t>
            </w:r>
          </w:p>
          <w:p>
            <w:pPr>
              <w:pStyle w:val="Contents3"/>
              <w:ind w:left="403" w:right="454" w:hanging="0"/>
              <w:jc w:val="both"/>
              <w:rPr/>
            </w:pPr>
            <w:r>
              <w:rPr/>
              <w:t>1.8.19. Масляные выключатели</w:t>
            </w:r>
            <w:r>
              <w:rPr>
                <w:vanish/>
              </w:rPr>
              <w:t>. 75</w:t>
            </w:r>
          </w:p>
          <w:p>
            <w:pPr>
              <w:pStyle w:val="Contents3"/>
              <w:ind w:left="403" w:right="454" w:hanging="0"/>
              <w:jc w:val="both"/>
              <w:rPr/>
            </w:pPr>
            <w:r>
              <w:rPr/>
              <w:t>1.8.20. Воздушные выключатели</w:t>
            </w:r>
            <w:r>
              <w:rPr>
                <w:vanish/>
              </w:rPr>
              <w:t>. 76</w:t>
            </w:r>
          </w:p>
          <w:p>
            <w:pPr>
              <w:pStyle w:val="Contents3"/>
              <w:ind w:left="403" w:right="454" w:hanging="0"/>
              <w:jc w:val="both"/>
              <w:rPr/>
            </w:pPr>
            <w:r>
              <w:rPr/>
              <w:t>1.8.21. Элегазовые выключатели</w:t>
            </w:r>
            <w:r>
              <w:rPr>
                <w:vanish/>
              </w:rPr>
              <w:t>. 79</w:t>
            </w:r>
          </w:p>
          <w:p>
            <w:pPr>
              <w:pStyle w:val="Contents3"/>
              <w:ind w:left="403" w:right="454" w:hanging="0"/>
              <w:jc w:val="both"/>
              <w:rPr/>
            </w:pPr>
            <w:r>
              <w:rPr/>
              <w:t>1.8.22. Вакуумные выключатели</w:t>
            </w:r>
            <w:r>
              <w:rPr>
                <w:vanish/>
              </w:rPr>
              <w:t>. 80</w:t>
            </w:r>
          </w:p>
          <w:p>
            <w:pPr>
              <w:pStyle w:val="Contents3"/>
              <w:ind w:left="403" w:right="454" w:hanging="0"/>
              <w:jc w:val="both"/>
              <w:rPr/>
            </w:pPr>
            <w:r>
              <w:rPr/>
              <w:t xml:space="preserve">1.8.23. </w:t>
            </w:r>
            <w:hyperlink w:anchor="_1.8.23._Выключатели_нагрузки">
              <w:r>
                <w:rPr>
                  <w:rStyle w:val="InternetLink"/>
                </w:rPr>
                <w:t>Выключатели нагрузки</w:t>
              </w:r>
            </w:hyperlink>
            <w:r>
              <w:rPr>
                <w:vanish/>
              </w:rPr>
              <w:t>. 80</w:t>
            </w:r>
          </w:p>
          <w:p>
            <w:pPr>
              <w:pStyle w:val="Contents3"/>
              <w:ind w:left="403" w:right="454" w:hanging="0"/>
              <w:jc w:val="both"/>
              <w:rPr/>
            </w:pPr>
            <w:r>
              <w:rPr/>
              <w:t>1.8.24. Разъединители, отделители и короткозамыкатели</w:t>
            </w:r>
            <w:r>
              <w:rPr>
                <w:vanish/>
              </w:rPr>
              <w:t>. 81</w:t>
            </w:r>
          </w:p>
          <w:p>
            <w:pPr>
              <w:pStyle w:val="Contents3"/>
              <w:ind w:left="403" w:right="454" w:hanging="0"/>
              <w:jc w:val="both"/>
              <w:rPr/>
            </w:pPr>
            <w:r>
              <w:rPr/>
              <w:t>1.8.25. Комплектные распределительные устройства внутренней и наружной установки (КРУ и КРУН)</w:t>
            </w:r>
            <w:r>
              <w:rPr>
                <w:vanish/>
              </w:rPr>
              <w:t xml:space="preserve"> 82</w:t>
            </w:r>
          </w:p>
          <w:p>
            <w:pPr>
              <w:pStyle w:val="Contents3"/>
              <w:ind w:left="403" w:right="454" w:hanging="0"/>
              <w:jc w:val="both"/>
              <w:rPr/>
            </w:pPr>
            <w:r>
              <w:rPr/>
              <w:t>1.8.26. Комплектные токопроводы (шинопроводы)</w:t>
            </w:r>
            <w:r>
              <w:rPr>
                <w:vanish/>
              </w:rPr>
              <w:t xml:space="preserve"> 83</w:t>
            </w:r>
          </w:p>
          <w:p>
            <w:pPr>
              <w:pStyle w:val="Contents3"/>
              <w:ind w:left="403" w:right="454" w:hanging="0"/>
              <w:jc w:val="both"/>
              <w:rPr/>
            </w:pPr>
            <w:r>
              <w:rPr/>
              <w:t>1.8.27. Сборные и соединительные шины</w:t>
            </w:r>
            <w:r>
              <w:rPr>
                <w:vanish/>
              </w:rPr>
              <w:t>.. 84</w:t>
            </w:r>
          </w:p>
          <w:p>
            <w:pPr>
              <w:pStyle w:val="Contents3"/>
              <w:ind w:left="403" w:right="454" w:hanging="0"/>
              <w:jc w:val="both"/>
              <w:rPr/>
            </w:pPr>
            <w:r>
              <w:rPr/>
              <w:t>1.8.28. Сухие токоограничивающие реакторы</w:t>
            </w:r>
            <w:r>
              <w:rPr>
                <w:vanish/>
              </w:rPr>
              <w:t>.. 86</w:t>
            </w:r>
          </w:p>
          <w:p>
            <w:pPr>
              <w:pStyle w:val="Contents3"/>
              <w:ind w:left="403" w:right="454" w:hanging="0"/>
              <w:jc w:val="both"/>
              <w:rPr/>
            </w:pPr>
            <w:r>
              <w:rPr/>
              <w:t>1.8.29. Электрофильтры</w:t>
            </w:r>
            <w:r>
              <w:rPr>
                <w:vanish/>
              </w:rPr>
              <w:t>.. 86</w:t>
            </w:r>
          </w:p>
          <w:p>
            <w:pPr>
              <w:pStyle w:val="Contents3"/>
              <w:ind w:left="403" w:right="454" w:hanging="0"/>
              <w:jc w:val="both"/>
              <w:rPr/>
            </w:pPr>
            <w:r>
              <w:rPr/>
              <w:t>1.8.30. Конденсаторы</w:t>
            </w:r>
            <w:r>
              <w:rPr>
                <w:vanish/>
              </w:rPr>
              <w:t>.. 87</w:t>
            </w:r>
          </w:p>
          <w:p>
            <w:pPr>
              <w:pStyle w:val="Contents3"/>
              <w:ind w:left="403" w:right="454" w:hanging="0"/>
              <w:jc w:val="both"/>
              <w:rPr/>
            </w:pPr>
            <w:r>
              <w:rPr/>
              <w:t>1.8.31. Вентильные разрядники и ограничители перенапряжений*</w:t>
            </w:r>
            <w:r>
              <w:rPr>
                <w:vanish/>
              </w:rPr>
              <w:t>. 88</w:t>
            </w:r>
          </w:p>
          <w:p>
            <w:pPr>
              <w:pStyle w:val="Contents3"/>
              <w:ind w:left="403" w:right="454" w:hanging="0"/>
              <w:jc w:val="both"/>
              <w:rPr/>
            </w:pPr>
            <w:r>
              <w:rPr/>
              <w:t>1.8.32. Трубчатые разрядники</w:t>
            </w:r>
            <w:r>
              <w:rPr>
                <w:vanish/>
              </w:rPr>
              <w:t>. 90</w:t>
            </w:r>
          </w:p>
          <w:p>
            <w:pPr>
              <w:pStyle w:val="Contents3"/>
              <w:ind w:left="403" w:right="454" w:hanging="0"/>
              <w:jc w:val="both"/>
              <w:rPr/>
            </w:pPr>
            <w:r>
              <w:rPr/>
              <w:t>1.8.33. Предохранители, предохранители-разъединители напряжением выше 1 кВ</w:t>
            </w:r>
            <w:r>
              <w:rPr>
                <w:vanish/>
              </w:rPr>
              <w:t>.. 90</w:t>
            </w:r>
          </w:p>
          <w:p>
            <w:pPr>
              <w:pStyle w:val="Contents3"/>
              <w:ind w:left="403" w:right="454" w:hanging="0"/>
              <w:jc w:val="both"/>
              <w:rPr/>
            </w:pPr>
            <w:r>
              <w:rPr/>
              <w:t>1.8.34. Вводы и проходные изоляторы</w:t>
            </w:r>
            <w:r>
              <w:rPr>
                <w:vanish/>
              </w:rPr>
              <w:t>.. 91</w:t>
            </w:r>
          </w:p>
          <w:p>
            <w:pPr>
              <w:pStyle w:val="Contents3"/>
              <w:ind w:left="403" w:right="454" w:hanging="0"/>
              <w:jc w:val="both"/>
              <w:rPr/>
            </w:pPr>
            <w:r>
              <w:rPr/>
              <w:t>1.8.35. Подвесные и опорные изоляторы</w:t>
            </w:r>
            <w:r>
              <w:rPr>
                <w:vanish/>
              </w:rPr>
              <w:t>.. 92</w:t>
            </w:r>
          </w:p>
          <w:p>
            <w:pPr>
              <w:pStyle w:val="Contents3"/>
              <w:ind w:left="403" w:right="454" w:hanging="0"/>
              <w:jc w:val="both"/>
              <w:rPr/>
            </w:pPr>
            <w:r>
              <w:rPr/>
              <w:t>1.8.36. Трансформаторное масло</w:t>
            </w:r>
            <w:r>
              <w:rPr>
                <w:vanish/>
              </w:rPr>
              <w:t>. 94</w:t>
            </w:r>
          </w:p>
          <w:p>
            <w:pPr>
              <w:pStyle w:val="Contents3"/>
              <w:ind w:left="403" w:right="454" w:hanging="0"/>
              <w:jc w:val="both"/>
              <w:rPr/>
            </w:pPr>
            <w:r>
              <w:rPr/>
              <w:t>1.8.37. Электрические аппараты, вторичные цепи и электропроводки напряжением до 1 кВ</w:t>
            </w:r>
            <w:r>
              <w:rPr>
                <w:vanish/>
              </w:rPr>
              <w:t>.. 94</w:t>
            </w:r>
          </w:p>
          <w:p>
            <w:pPr>
              <w:pStyle w:val="Contents3"/>
              <w:ind w:left="403" w:right="454" w:hanging="0"/>
              <w:jc w:val="both"/>
              <w:rPr/>
            </w:pPr>
            <w:r>
              <w:rPr/>
              <w:t>1.8.38. Аккумуляторные батареи</w:t>
            </w:r>
            <w:r>
              <w:rPr>
                <w:vanish/>
              </w:rPr>
              <w:t>. 96</w:t>
            </w:r>
          </w:p>
          <w:p>
            <w:pPr>
              <w:pStyle w:val="Contents3"/>
              <w:ind w:left="403" w:right="454" w:hanging="0"/>
              <w:jc w:val="both"/>
              <w:rPr/>
            </w:pPr>
            <w:r>
              <w:rPr/>
              <w:t>1.8.39. Заземляющие устройства</w:t>
            </w:r>
            <w:r>
              <w:rPr>
                <w:vanish/>
              </w:rPr>
              <w:t>. 97</w:t>
            </w:r>
          </w:p>
          <w:p>
            <w:pPr>
              <w:pStyle w:val="Contents3"/>
              <w:ind w:left="403" w:right="454" w:hanging="0"/>
              <w:jc w:val="both"/>
              <w:rPr/>
            </w:pPr>
            <w:r>
              <w:rPr/>
              <w:t>1.8.40. Силовые кабельные линии</w:t>
            </w:r>
            <w:r>
              <w:rPr>
                <w:vanish/>
              </w:rPr>
              <w:t>. 98</w:t>
            </w:r>
          </w:p>
          <w:p>
            <w:pPr>
              <w:pStyle w:val="Contents3"/>
              <w:ind w:left="403" w:right="454" w:hanging="0"/>
              <w:jc w:val="both"/>
              <w:rPr/>
            </w:pPr>
            <w:r>
              <w:rPr/>
              <w:t>1.8.41. Воздушные линии электропередачи напряжением выше 1 кВ</w:t>
            </w:r>
            <w:r>
              <w:rPr>
                <w:vanish/>
              </w:rPr>
              <w:t>.. 101</w:t>
            </w:r>
          </w:p>
          <w:p>
            <w:pPr>
              <w:pStyle w:val="Contents2"/>
              <w:ind w:left="200" w:right="454" w:hanging="0"/>
              <w:jc w:val="both"/>
              <w:rPr/>
            </w:pPr>
            <w:r>
              <w:rPr/>
              <w:t xml:space="preserve">Глава 1.9 </w:t>
            </w:r>
            <w:hyperlink w:anchor="_Глава_1.9_ИЗОЛЯЦИЯ">
              <w:r>
                <w:rPr>
                  <w:rStyle w:val="InternetLink"/>
                </w:rPr>
                <w:t>Изоляция электроустановок</w:t>
              </w:r>
            </w:hyperlink>
            <w:r>
              <w:rPr>
                <w:vanish/>
              </w:rPr>
              <w:t>. 101</w:t>
            </w:r>
          </w:p>
          <w:p>
            <w:pPr>
              <w:pStyle w:val="Contents3"/>
              <w:ind w:left="403" w:right="454" w:hanging="0"/>
              <w:jc w:val="both"/>
              <w:rPr/>
            </w:pPr>
            <w:r>
              <w:rPr/>
              <w:t>Область применения. Определения</w:t>
            </w:r>
            <w:r>
              <w:rPr>
                <w:vanish/>
              </w:rPr>
              <w:t>. 102</w:t>
            </w:r>
          </w:p>
          <w:p>
            <w:pPr>
              <w:pStyle w:val="Contents3"/>
              <w:ind w:left="403" w:right="454" w:hanging="0"/>
              <w:jc w:val="both"/>
              <w:rPr/>
            </w:pPr>
            <w:r>
              <w:rPr/>
              <w:t>Общие требования</w:t>
            </w:r>
            <w:r>
              <w:rPr>
                <w:vanish/>
              </w:rPr>
              <w:t>. 102</w:t>
            </w:r>
          </w:p>
          <w:p>
            <w:pPr>
              <w:pStyle w:val="Contents3"/>
              <w:ind w:left="403" w:right="454" w:hanging="0"/>
              <w:jc w:val="both"/>
              <w:rPr/>
            </w:pPr>
            <w:r>
              <w:rPr/>
              <w:t>Изоляция ВЛ</w:t>
            </w:r>
            <w:r>
              <w:rPr>
                <w:vanish/>
              </w:rPr>
              <w:t>.. 102</w:t>
            </w:r>
          </w:p>
          <w:p>
            <w:pPr>
              <w:pStyle w:val="Contents3"/>
              <w:ind w:left="403" w:right="454" w:hanging="0"/>
              <w:jc w:val="both"/>
              <w:rPr/>
            </w:pPr>
            <w:r>
              <w:rPr/>
              <w:t>Внешняя стеклянная и фарфоровая изоляция электрооборудования и ОРУ</w:t>
            </w:r>
            <w:r>
              <w:rPr>
                <w:vanish/>
              </w:rPr>
              <w:t>.. 104</w:t>
            </w:r>
          </w:p>
          <w:p>
            <w:pPr>
              <w:pStyle w:val="Contents3"/>
              <w:ind w:left="403" w:right="454" w:hanging="0"/>
              <w:jc w:val="both"/>
              <w:rPr/>
            </w:pPr>
            <w:r>
              <w:rPr/>
              <w:t>Выбор изоляции по разрядным характеристикам</w:t>
            </w:r>
            <w:r>
              <w:rPr>
                <w:vanish/>
              </w:rPr>
              <w:t>.. 104</w:t>
            </w:r>
          </w:p>
          <w:p>
            <w:pPr>
              <w:pStyle w:val="Contents3"/>
              <w:ind w:left="403" w:right="454" w:hanging="0"/>
              <w:jc w:val="both"/>
              <w:rPr/>
            </w:pPr>
            <w:r>
              <w:rPr/>
              <w:t>Определение степени загрязнения</w:t>
            </w:r>
            <w:r>
              <w:rPr>
                <w:vanish/>
              </w:rPr>
              <w:t>. 105</w:t>
            </w:r>
          </w:p>
          <w:p>
            <w:pPr>
              <w:pStyle w:val="Contents3"/>
              <w:ind w:left="403" w:right="454" w:hanging="0"/>
              <w:jc w:val="both"/>
              <w:rPr/>
            </w:pPr>
            <w:r>
              <w:rPr/>
              <w:t>Коэффициенты использования основных типов изоляторов и изоляционных конструкций (стеклянных и фарфоровых)</w:t>
            </w:r>
            <w:r>
              <w:rPr>
                <w:vanish/>
              </w:rPr>
              <w:t xml:space="preserve"> 110</w:t>
            </w:r>
          </w:p>
          <w:p>
            <w:pPr>
              <w:pStyle w:val="Contents1"/>
              <w:ind w:right="454" w:hanging="0"/>
              <w:jc w:val="both"/>
              <w:rPr/>
            </w:pPr>
            <w:r>
              <w:rPr/>
              <w:t xml:space="preserve">РАЗДЕЛ 2. </w:t>
            </w:r>
            <w:hyperlink w:anchor="_РАЗДЕЛ_2._КАНАЛИЗАЦИЯ">
              <w:r>
                <w:rPr>
                  <w:rStyle w:val="InternetLink"/>
                </w:rPr>
                <w:t>Канализация электроэнергии</w:t>
              </w:r>
            </w:hyperlink>
            <w:r>
              <w:rPr>
                <w:vanish/>
              </w:rPr>
              <w:t>. 113</w:t>
            </w:r>
          </w:p>
          <w:p>
            <w:pPr>
              <w:pStyle w:val="Contents2"/>
              <w:ind w:left="200" w:right="454" w:hanging="0"/>
              <w:jc w:val="both"/>
              <w:rPr/>
            </w:pPr>
            <w:r>
              <w:rPr/>
              <w:t xml:space="preserve">Глава 2.4 </w:t>
            </w:r>
            <w:hyperlink w:anchor="_ГЛАВА_2.4_ВОЗДУШНЫЕ">
              <w:r>
                <w:rPr>
                  <w:rStyle w:val="InternetLink"/>
                  <w:caps/>
                </w:rPr>
                <w:t>в</w:t>
              </w:r>
              <w:r>
                <w:rPr>
                  <w:rStyle w:val="InternetLink"/>
                </w:rPr>
                <w:t>оздушные линии электропередачи напряжением до 1 кВ</w:t>
              </w:r>
            </w:hyperlink>
            <w:r>
              <w:rPr>
                <w:vanish/>
              </w:rPr>
              <w:t>.. 113</w:t>
            </w:r>
          </w:p>
          <w:p>
            <w:pPr>
              <w:pStyle w:val="Contents3"/>
              <w:ind w:left="403" w:right="454" w:hanging="0"/>
              <w:jc w:val="both"/>
              <w:rPr/>
            </w:pPr>
            <w:r>
              <w:rPr/>
              <w:t>Область применения. Определения</w:t>
            </w:r>
            <w:r>
              <w:rPr>
                <w:vanish/>
              </w:rPr>
              <w:t>. 113</w:t>
            </w:r>
          </w:p>
          <w:p>
            <w:pPr>
              <w:pStyle w:val="Contents3"/>
              <w:ind w:left="403" w:right="454" w:hanging="0"/>
              <w:jc w:val="both"/>
              <w:rPr/>
            </w:pPr>
            <w:r>
              <w:rPr/>
              <w:t>Общие требования</w:t>
            </w:r>
            <w:r>
              <w:rPr>
                <w:vanish/>
              </w:rPr>
              <w:t>. 113</w:t>
            </w:r>
          </w:p>
          <w:p>
            <w:pPr>
              <w:pStyle w:val="Contents3"/>
              <w:ind w:left="403" w:right="454" w:hanging="0"/>
              <w:jc w:val="both"/>
              <w:rPr/>
            </w:pPr>
            <w:r>
              <w:rPr/>
              <w:t>Климатические условия</w:t>
            </w:r>
            <w:r>
              <w:rPr>
                <w:vanish/>
              </w:rPr>
              <w:t>. 114</w:t>
            </w:r>
          </w:p>
          <w:p>
            <w:pPr>
              <w:pStyle w:val="Contents3"/>
              <w:ind w:left="403" w:right="454" w:hanging="0"/>
              <w:jc w:val="both"/>
              <w:rPr/>
            </w:pPr>
            <w:r>
              <w:rPr/>
              <w:t>Провода. Линейная арматура</w:t>
            </w:r>
            <w:r>
              <w:rPr>
                <w:vanish/>
              </w:rPr>
              <w:t>. 114</w:t>
            </w:r>
          </w:p>
          <w:p>
            <w:pPr>
              <w:pStyle w:val="Contents3"/>
              <w:ind w:left="403" w:right="454" w:hanging="0"/>
              <w:jc w:val="both"/>
              <w:rPr/>
            </w:pPr>
            <w:r>
              <w:rPr/>
              <w:t>Расположение проводов на опорах</w:t>
            </w:r>
            <w:r>
              <w:rPr>
                <w:vanish/>
              </w:rPr>
              <w:t>. 117</w:t>
            </w:r>
          </w:p>
          <w:p>
            <w:pPr>
              <w:pStyle w:val="Contents3"/>
              <w:ind w:left="403" w:right="454" w:hanging="0"/>
              <w:jc w:val="both"/>
              <w:rPr/>
            </w:pPr>
            <w:r>
              <w:rPr/>
              <w:t>Изоляция</w:t>
            </w:r>
            <w:r>
              <w:rPr>
                <w:vanish/>
              </w:rPr>
              <w:t>. 118</w:t>
            </w:r>
          </w:p>
          <w:p>
            <w:pPr>
              <w:pStyle w:val="Contents3"/>
              <w:ind w:left="403" w:right="454" w:hanging="0"/>
              <w:jc w:val="both"/>
              <w:rPr/>
            </w:pPr>
            <w:r>
              <w:rPr/>
              <w:t>Заземление. Защита от перенапряжений</w:t>
            </w:r>
            <w:r>
              <w:rPr>
                <w:vanish/>
              </w:rPr>
              <w:t>. 118</w:t>
            </w:r>
          </w:p>
          <w:p>
            <w:pPr>
              <w:pStyle w:val="Contents3"/>
              <w:ind w:left="403" w:right="454" w:hanging="0"/>
              <w:jc w:val="both"/>
              <w:rPr/>
            </w:pPr>
            <w:r>
              <w:rPr/>
              <w:t>Опоры</w:t>
            </w:r>
            <w:r>
              <w:rPr>
                <w:vanish/>
              </w:rPr>
              <w:t>.. 119</w:t>
            </w:r>
          </w:p>
          <w:p>
            <w:pPr>
              <w:pStyle w:val="Contents3"/>
              <w:ind w:left="403" w:right="454" w:hanging="0"/>
              <w:jc w:val="both"/>
              <w:rPr/>
            </w:pPr>
            <w:r>
              <w:rPr/>
              <w:t>Габариты, пересечения и сближения</w:t>
            </w:r>
            <w:r>
              <w:rPr>
                <w:vanish/>
              </w:rPr>
              <w:t>. 120</w:t>
            </w:r>
          </w:p>
          <w:p>
            <w:pPr>
              <w:pStyle w:val="Contents3"/>
              <w:ind w:left="403" w:right="454" w:hanging="0"/>
              <w:jc w:val="both"/>
              <w:rPr/>
            </w:pPr>
            <w:r>
              <w:rPr/>
              <w:t xml:space="preserve">Пересечения, сближения, совместная подвеска </w:t>
            </w:r>
            <w:r>
              <w:rPr>
                <w:caps/>
              </w:rPr>
              <w:t>вл</w:t>
            </w:r>
            <w:r>
              <w:rPr/>
              <w:t xml:space="preserve"> с линиями связи, проводного вещания и </w:t>
            </w:r>
            <w:r>
              <w:rPr>
                <w:caps/>
              </w:rPr>
              <w:t>рк</w:t>
            </w:r>
            <w:r>
              <w:rPr>
                <w:vanish/>
              </w:rPr>
              <w:t>.. 122</w:t>
            </w:r>
          </w:p>
          <w:p>
            <w:pPr>
              <w:pStyle w:val="Contents3"/>
              <w:ind w:left="403" w:right="454" w:hanging="0"/>
              <w:jc w:val="both"/>
              <w:rPr/>
            </w:pPr>
            <w:r>
              <w:rPr/>
              <w:t xml:space="preserve">Пересечения и сближения </w:t>
            </w:r>
            <w:r>
              <w:rPr>
                <w:caps/>
              </w:rPr>
              <w:t>вл</w:t>
            </w:r>
            <w:r>
              <w:rPr/>
              <w:t xml:space="preserve"> с инженерными сооружениями</w:t>
            </w:r>
            <w:r>
              <w:rPr>
                <w:vanish/>
              </w:rPr>
              <w:t>. 126</w:t>
            </w:r>
          </w:p>
          <w:p>
            <w:pPr>
              <w:pStyle w:val="Contents2"/>
              <w:ind w:left="200" w:right="454" w:hanging="0"/>
              <w:jc w:val="both"/>
              <w:rPr/>
            </w:pPr>
            <w:r>
              <w:rPr/>
              <w:t xml:space="preserve">Глава 2.5 </w:t>
            </w:r>
            <w:hyperlink w:anchor="_ГЛАВА_2.5_ВОЗДУШНЫЕ">
              <w:r>
                <w:rPr>
                  <w:rStyle w:val="InternetLink"/>
                </w:rPr>
                <w:t>воздушные линии электропередачи напряжением выше 1 кВ</w:t>
              </w:r>
            </w:hyperlink>
            <w:r>
              <w:rPr>
                <w:vanish/>
              </w:rPr>
              <w:t>.. 128</w:t>
            </w:r>
          </w:p>
          <w:p>
            <w:pPr>
              <w:pStyle w:val="Contents3"/>
              <w:ind w:left="403" w:right="454" w:hanging="0"/>
              <w:jc w:val="both"/>
              <w:rPr/>
            </w:pPr>
            <w:r>
              <w:rPr/>
              <w:t>Область применения. Определения</w:t>
            </w:r>
            <w:r>
              <w:rPr>
                <w:vanish/>
              </w:rPr>
              <w:t>. 128</w:t>
            </w:r>
          </w:p>
          <w:p>
            <w:pPr>
              <w:pStyle w:val="Contents3"/>
              <w:ind w:left="403" w:right="454" w:hanging="0"/>
              <w:jc w:val="both"/>
              <w:rPr/>
            </w:pPr>
            <w:r>
              <w:rPr/>
              <w:t>Общие требования</w:t>
            </w:r>
            <w:r>
              <w:rPr>
                <w:vanish/>
              </w:rPr>
              <w:t>. 130</w:t>
            </w:r>
          </w:p>
          <w:p>
            <w:pPr>
              <w:pStyle w:val="Contents3"/>
              <w:ind w:left="403" w:right="454" w:hanging="0"/>
              <w:jc w:val="both"/>
              <w:rPr/>
            </w:pPr>
            <w:r>
              <w:rPr/>
              <w:t xml:space="preserve">Требования к проектированию </w:t>
            </w:r>
            <w:r>
              <w:rPr>
                <w:caps/>
              </w:rPr>
              <w:t>вл</w:t>
            </w:r>
            <w:r>
              <w:rPr/>
              <w:t>, учитывающие особенности их ремонта и технического обслуживания</w:t>
            </w:r>
            <w:r>
              <w:rPr>
                <w:vanish/>
              </w:rPr>
              <w:t>. 132</w:t>
            </w:r>
          </w:p>
          <w:p>
            <w:pPr>
              <w:pStyle w:val="Contents3"/>
              <w:ind w:left="403" w:right="454" w:hanging="0"/>
              <w:jc w:val="both"/>
              <w:rPr/>
            </w:pPr>
            <w:r>
              <w:rPr/>
              <w:t xml:space="preserve">Защита </w:t>
            </w:r>
            <w:r>
              <w:rPr>
                <w:caps/>
              </w:rPr>
              <w:t>вл</w:t>
            </w:r>
            <w:r>
              <w:rPr/>
              <w:t xml:space="preserve"> от воздействия окружающей среды</w:t>
            </w:r>
            <w:r>
              <w:rPr>
                <w:vanish/>
              </w:rPr>
              <w:t>.. 133</w:t>
            </w:r>
          </w:p>
          <w:p>
            <w:pPr>
              <w:pStyle w:val="Contents3"/>
              <w:ind w:left="403" w:right="454" w:hanging="0"/>
              <w:jc w:val="both"/>
              <w:rPr/>
            </w:pPr>
            <w:r>
              <w:rPr/>
              <w:t>Климатические условия и нагрузки</w:t>
            </w:r>
            <w:r>
              <w:rPr>
                <w:vanish/>
              </w:rPr>
              <w:t>. 135</w:t>
            </w:r>
          </w:p>
          <w:p>
            <w:pPr>
              <w:pStyle w:val="Contents3"/>
              <w:ind w:left="403" w:right="454" w:hanging="0"/>
              <w:jc w:val="both"/>
              <w:rPr/>
            </w:pPr>
            <w:r>
              <w:rPr/>
              <w:t>Провода и грозозащитные тросы</w:t>
            </w:r>
            <w:r>
              <w:rPr>
                <w:vanish/>
              </w:rPr>
              <w:t>.. 147</w:t>
            </w:r>
          </w:p>
          <w:p>
            <w:pPr>
              <w:pStyle w:val="Contents3"/>
              <w:ind w:left="403" w:right="454" w:hanging="0"/>
              <w:jc w:val="both"/>
              <w:rPr/>
            </w:pPr>
            <w:r>
              <w:rPr/>
              <w:t>Расположение проводов и тросов и расстояния между ними</w:t>
            </w:r>
            <w:r>
              <w:rPr>
                <w:vanish/>
              </w:rPr>
              <w:t>. 153</w:t>
            </w:r>
          </w:p>
          <w:p>
            <w:pPr>
              <w:pStyle w:val="Contents3"/>
              <w:ind w:left="403" w:right="454" w:hanging="0"/>
              <w:jc w:val="both"/>
              <w:rPr/>
            </w:pPr>
            <w:r>
              <w:rPr/>
              <w:t>Изоляторы и арматура</w:t>
            </w:r>
            <w:r>
              <w:rPr>
                <w:vanish/>
              </w:rPr>
              <w:t>. 157</w:t>
            </w:r>
          </w:p>
          <w:p>
            <w:pPr>
              <w:pStyle w:val="Contents3"/>
              <w:ind w:left="403" w:right="454" w:hanging="0"/>
              <w:jc w:val="both"/>
              <w:rPr/>
            </w:pPr>
            <w:r>
              <w:rPr/>
              <w:t>Защита от перенапряжений, заземление</w:t>
            </w:r>
            <w:r>
              <w:rPr>
                <w:vanish/>
              </w:rPr>
              <w:t>. 159</w:t>
            </w:r>
          </w:p>
          <w:p>
            <w:pPr>
              <w:pStyle w:val="Contents3"/>
              <w:ind w:left="403" w:right="454" w:hanging="0"/>
              <w:jc w:val="both"/>
              <w:rPr/>
            </w:pPr>
            <w:hyperlink w:anchor="_ОПОРЫ_И_ФУНДАМЕНТЫ">
              <w:r>
                <w:rPr>
                  <w:rStyle w:val="InternetLink"/>
                </w:rPr>
                <w:t>Опоры и фундаменты</w:t>
              </w:r>
            </w:hyperlink>
            <w:r>
              <w:rPr>
                <w:vanish/>
              </w:rPr>
              <w:t>.. 165</w:t>
            </w:r>
          </w:p>
          <w:p>
            <w:pPr>
              <w:pStyle w:val="Contents3"/>
              <w:ind w:left="403" w:right="454" w:hanging="0"/>
              <w:jc w:val="both"/>
              <w:rPr/>
            </w:pPr>
            <w:r>
              <w:rPr/>
              <w:t>Большие переходы</w:t>
            </w:r>
            <w:r>
              <w:rPr>
                <w:vanish/>
              </w:rPr>
              <w:t>.. 170</w:t>
            </w:r>
          </w:p>
          <w:p>
            <w:pPr>
              <w:pStyle w:val="Contents3"/>
              <w:ind w:left="403" w:right="454" w:hanging="0"/>
              <w:jc w:val="both"/>
              <w:rPr/>
            </w:pPr>
            <w:r>
              <w:rPr/>
              <w:t xml:space="preserve">Подвеска волоконно-оптических линий связи на </w:t>
            </w:r>
            <w:r>
              <w:rPr>
                <w:caps/>
              </w:rPr>
              <w:t>вл</w:t>
            </w:r>
            <w:r>
              <w:rPr>
                <w:vanish/>
              </w:rPr>
              <w:t>.. 175</w:t>
            </w:r>
          </w:p>
          <w:p>
            <w:pPr>
              <w:pStyle w:val="Contents3"/>
              <w:ind w:left="403" w:right="454" w:hanging="0"/>
              <w:jc w:val="both"/>
              <w:rPr/>
            </w:pPr>
            <w:r>
              <w:rPr/>
              <w:t xml:space="preserve">Прохождение </w:t>
            </w:r>
            <w:r>
              <w:rPr>
                <w:caps/>
              </w:rPr>
              <w:t>вл</w:t>
            </w:r>
            <w:r>
              <w:rPr/>
              <w:t xml:space="preserve"> по ненаселенной и труднодоступной местности</w:t>
            </w:r>
            <w:r>
              <w:rPr>
                <w:vanish/>
              </w:rPr>
              <w:t>. 177</w:t>
            </w:r>
          </w:p>
          <w:p>
            <w:pPr>
              <w:pStyle w:val="Contents3"/>
              <w:ind w:left="403" w:right="454" w:hanging="0"/>
              <w:jc w:val="both"/>
              <w:rPr/>
            </w:pPr>
            <w:r>
              <w:rPr/>
              <w:t xml:space="preserve">Прохождение </w:t>
            </w:r>
            <w:r>
              <w:rPr>
                <w:caps/>
              </w:rPr>
              <w:t>вл</w:t>
            </w:r>
            <w:r>
              <w:rPr/>
              <w:t xml:space="preserve"> по насаждениям</w:t>
            </w:r>
            <w:r>
              <w:rPr>
                <w:vanish/>
              </w:rPr>
              <w:t>.. 178</w:t>
            </w:r>
          </w:p>
          <w:p>
            <w:pPr>
              <w:pStyle w:val="Contents3"/>
              <w:ind w:left="403" w:right="454" w:hanging="0"/>
              <w:jc w:val="both"/>
              <w:rPr/>
            </w:pPr>
            <w:r>
              <w:rPr/>
              <w:t xml:space="preserve">Прохождение </w:t>
            </w:r>
            <w:r>
              <w:rPr>
                <w:caps/>
              </w:rPr>
              <w:t>вл</w:t>
            </w:r>
            <w:r>
              <w:rPr/>
              <w:t xml:space="preserve"> по населенной местности</w:t>
            </w:r>
            <w:r>
              <w:rPr>
                <w:vanish/>
              </w:rPr>
              <w:t>. 180</w:t>
            </w:r>
          </w:p>
          <w:p>
            <w:pPr>
              <w:pStyle w:val="Contents3"/>
              <w:ind w:left="403" w:right="454" w:hanging="0"/>
              <w:jc w:val="both"/>
              <w:rPr/>
            </w:pPr>
            <w:r>
              <w:rPr/>
              <w:t xml:space="preserve">Пересечение и сближение </w:t>
            </w:r>
            <w:r>
              <w:rPr>
                <w:caps/>
              </w:rPr>
              <w:t>вл</w:t>
            </w:r>
            <w:r>
              <w:rPr/>
              <w:t xml:space="preserve"> между собой</w:t>
            </w:r>
            <w:r>
              <w:rPr>
                <w:vanish/>
              </w:rPr>
              <w:t>. 182</w:t>
            </w:r>
          </w:p>
          <w:p>
            <w:pPr>
              <w:pStyle w:val="Contents3"/>
              <w:ind w:left="403" w:right="454" w:hanging="0"/>
              <w:jc w:val="both"/>
              <w:rPr/>
            </w:pPr>
            <w:r>
              <w:rPr/>
              <w:t xml:space="preserve">Пересечение и сближение </w:t>
            </w:r>
            <w:r>
              <w:rPr>
                <w:caps/>
              </w:rPr>
              <w:t>вл</w:t>
            </w:r>
            <w:r>
              <w:rPr/>
              <w:t xml:space="preserve"> с сооружениями связи, сигнализации и проводного вещания</w:t>
            </w:r>
            <w:r>
              <w:rPr>
                <w:vanish/>
              </w:rPr>
              <w:t>. 185</w:t>
            </w:r>
          </w:p>
          <w:p>
            <w:pPr>
              <w:pStyle w:val="Contents3"/>
              <w:ind w:left="403" w:right="454" w:hanging="0"/>
              <w:jc w:val="both"/>
              <w:rPr/>
            </w:pPr>
            <w:r>
              <w:rPr/>
              <w:t xml:space="preserve">Пересечение и сближение </w:t>
            </w:r>
            <w:r>
              <w:rPr>
                <w:caps/>
              </w:rPr>
              <w:t>вл</w:t>
            </w:r>
            <w:r>
              <w:rPr/>
              <w:t xml:space="preserve"> с железными дорогами</w:t>
            </w:r>
            <w:r>
              <w:rPr>
                <w:vanish/>
              </w:rPr>
              <w:t>. 192</w:t>
            </w:r>
          </w:p>
          <w:p>
            <w:pPr>
              <w:pStyle w:val="Contents3"/>
              <w:ind w:left="403" w:right="454" w:hanging="0"/>
              <w:jc w:val="both"/>
              <w:rPr/>
            </w:pPr>
            <w:r>
              <w:rPr/>
              <w:t xml:space="preserve">Пересечение и сближение </w:t>
            </w:r>
            <w:r>
              <w:rPr>
                <w:caps/>
              </w:rPr>
              <w:t>вл</w:t>
            </w:r>
            <w:r>
              <w:rPr/>
              <w:t xml:space="preserve"> с автомобильными дорогами</w:t>
            </w:r>
            <w:r>
              <w:rPr>
                <w:vanish/>
              </w:rPr>
              <w:t>. 195</w:t>
            </w:r>
          </w:p>
          <w:p>
            <w:pPr>
              <w:pStyle w:val="Contents3"/>
              <w:ind w:left="403" w:right="454" w:hanging="0"/>
              <w:jc w:val="both"/>
              <w:rPr/>
            </w:pPr>
            <w:r>
              <w:rPr/>
              <w:t xml:space="preserve">Пересечение, сближение или параллельное следование </w:t>
            </w:r>
            <w:r>
              <w:rPr>
                <w:caps/>
              </w:rPr>
              <w:t>вл</w:t>
            </w:r>
            <w:r>
              <w:rPr/>
              <w:t xml:space="preserve"> с троллейбусными и трамвайными линиями</w:t>
            </w:r>
            <w:r>
              <w:rPr>
                <w:vanish/>
              </w:rPr>
              <w:t>. 197</w:t>
            </w:r>
          </w:p>
          <w:p>
            <w:pPr>
              <w:pStyle w:val="Contents3"/>
              <w:ind w:left="403" w:right="454" w:hanging="0"/>
              <w:jc w:val="both"/>
              <w:rPr/>
            </w:pPr>
            <w:r>
              <w:rPr/>
              <w:t xml:space="preserve">Пересечение </w:t>
            </w:r>
            <w:r>
              <w:rPr>
                <w:caps/>
              </w:rPr>
              <w:t>вл</w:t>
            </w:r>
            <w:r>
              <w:rPr/>
              <w:t xml:space="preserve"> с водными пространствами</w:t>
            </w:r>
            <w:r>
              <w:rPr>
                <w:vanish/>
              </w:rPr>
              <w:t>. 198</w:t>
            </w:r>
          </w:p>
          <w:p>
            <w:pPr>
              <w:pStyle w:val="Contents3"/>
              <w:ind w:left="403" w:right="454" w:hanging="0"/>
              <w:jc w:val="both"/>
              <w:rPr/>
            </w:pPr>
            <w:hyperlink w:anchor="_ПРОХОЖДЕНИЕ_ВЛ_ПО">
              <w:r>
                <w:rPr>
                  <w:rStyle w:val="InternetLink"/>
                </w:rPr>
                <w:t xml:space="preserve">Прохождение </w:t>
              </w:r>
              <w:r>
                <w:rPr>
                  <w:rStyle w:val="InternetLink"/>
                  <w:caps/>
                </w:rPr>
                <w:t>вл</w:t>
              </w:r>
              <w:r>
                <w:rPr>
                  <w:rStyle w:val="InternetLink"/>
                </w:rPr>
                <w:t xml:space="preserve"> по мостам</w:t>
              </w:r>
            </w:hyperlink>
            <w:r>
              <w:rPr>
                <w:vanish/>
              </w:rPr>
              <w:t>.. 200</w:t>
            </w:r>
          </w:p>
          <w:p>
            <w:pPr>
              <w:pStyle w:val="Contents3"/>
              <w:ind w:left="403" w:right="454" w:hanging="0"/>
              <w:jc w:val="both"/>
              <w:rPr/>
            </w:pPr>
            <w:r>
              <w:rPr/>
              <w:t xml:space="preserve">Прохождение </w:t>
            </w:r>
            <w:r>
              <w:rPr>
                <w:caps/>
              </w:rPr>
              <w:t>вл</w:t>
            </w:r>
            <w:r>
              <w:rPr/>
              <w:t xml:space="preserve"> по плотинам и дамбам</w:t>
            </w:r>
            <w:r>
              <w:rPr>
                <w:vanish/>
              </w:rPr>
              <w:t>.. 201</w:t>
            </w:r>
          </w:p>
          <w:p>
            <w:pPr>
              <w:pStyle w:val="Contents3"/>
              <w:ind w:left="403" w:right="454" w:hanging="0"/>
              <w:jc w:val="both"/>
              <w:rPr/>
            </w:pPr>
            <w:r>
              <w:rPr/>
              <w:t xml:space="preserve">Сближение </w:t>
            </w:r>
            <w:r>
              <w:rPr>
                <w:caps/>
              </w:rPr>
              <w:t>вл</w:t>
            </w:r>
            <w:r>
              <w:rPr/>
              <w:t xml:space="preserve"> со взрыво- и пожароопасными установками</w:t>
            </w:r>
            <w:r>
              <w:rPr>
                <w:vanish/>
              </w:rPr>
              <w:t>. 201</w:t>
            </w:r>
          </w:p>
          <w:p>
            <w:pPr>
              <w:pStyle w:val="Contents3"/>
              <w:ind w:left="403" w:right="454" w:hanging="0"/>
              <w:jc w:val="both"/>
              <w:rPr/>
            </w:pPr>
            <w:r>
              <w:rPr/>
              <w:t xml:space="preserve">Пересечение и сближение </w:t>
            </w:r>
            <w:r>
              <w:rPr>
                <w:caps/>
              </w:rPr>
              <w:t>вл</w:t>
            </w:r>
            <w:r>
              <w:rPr/>
              <w:t xml:space="preserve"> с надземными и наземными трубопроводами, сооружениями транспорта нефти и газа и канатными дорогами</w:t>
            </w:r>
            <w:r>
              <w:rPr>
                <w:vanish/>
              </w:rPr>
              <w:t>. 202</w:t>
            </w:r>
          </w:p>
          <w:p>
            <w:pPr>
              <w:pStyle w:val="Contents3"/>
              <w:ind w:left="403" w:right="454" w:hanging="0"/>
              <w:jc w:val="both"/>
              <w:rPr/>
            </w:pPr>
            <w:r>
              <w:rPr/>
              <w:t xml:space="preserve">Пересечение и сближение </w:t>
            </w:r>
            <w:r>
              <w:rPr>
                <w:caps/>
              </w:rPr>
              <w:t>вл</w:t>
            </w:r>
            <w:r>
              <w:rPr/>
              <w:t xml:space="preserve"> с подземными трубопроводами</w:t>
            </w:r>
            <w:r>
              <w:rPr>
                <w:vanish/>
              </w:rPr>
              <w:t>. 204</w:t>
            </w:r>
          </w:p>
          <w:p>
            <w:pPr>
              <w:pStyle w:val="Contents3"/>
              <w:ind w:left="403" w:right="454" w:hanging="0"/>
              <w:jc w:val="both"/>
              <w:rPr/>
            </w:pPr>
            <w:r>
              <w:rPr/>
              <w:t xml:space="preserve">Сближение </w:t>
            </w:r>
            <w:r>
              <w:rPr>
                <w:caps/>
              </w:rPr>
              <w:t>вл</w:t>
            </w:r>
            <w:r>
              <w:rPr/>
              <w:t xml:space="preserve"> с аэродромами и вертодромами</w:t>
            </w:r>
            <w:r>
              <w:rPr>
                <w:vanish/>
              </w:rPr>
              <w:t>. 206</w:t>
            </w:r>
          </w:p>
          <w:p>
            <w:pPr>
              <w:pStyle w:val="Contents1"/>
              <w:ind w:right="454" w:hanging="0"/>
              <w:jc w:val="both"/>
              <w:rPr/>
            </w:pPr>
            <w:r>
              <w:rPr/>
              <w:t>Приложение Расстояния между проводами и между проводами и тросами по условиям пляски</w:t>
            </w:r>
            <w:r>
              <w:rPr>
                <w:vanish/>
              </w:rPr>
              <w:t>. 207</w:t>
            </w:r>
          </w:p>
          <w:p>
            <w:pPr>
              <w:pStyle w:val="Contents1"/>
              <w:ind w:right="454" w:hanging="0"/>
              <w:jc w:val="both"/>
              <w:rPr/>
            </w:pPr>
            <w:r>
              <w:rPr/>
              <w:t xml:space="preserve">РАЗДЕЛ 4. </w:t>
            </w:r>
            <w:hyperlink w:anchor="_РАЗДЕЛ_4._РАСПРЕДЕЛИТЕЛЬНЫЕ">
              <w:r>
                <w:rPr>
                  <w:rStyle w:val="InternetLink"/>
                </w:rPr>
                <w:t>Распределительные устройства и подстанции</w:t>
              </w:r>
            </w:hyperlink>
            <w:r>
              <w:rPr>
                <w:vanish/>
              </w:rPr>
              <w:t>. 215</w:t>
            </w:r>
          </w:p>
          <w:p>
            <w:pPr>
              <w:pStyle w:val="Contents2"/>
              <w:ind w:left="200" w:right="454" w:hanging="0"/>
              <w:jc w:val="both"/>
              <w:rPr/>
            </w:pPr>
            <w:r>
              <w:rPr/>
              <w:t xml:space="preserve">Глава 4.1 </w:t>
            </w:r>
            <w:hyperlink w:anchor="_ГЛАВА_4.1_РАСПРЕДЕЛИТЕЛЬНЫЕ">
              <w:r>
                <w:rPr>
                  <w:rStyle w:val="InternetLink"/>
                  <w:caps/>
                </w:rPr>
                <w:t>р</w:t>
              </w:r>
              <w:r>
                <w:rPr>
                  <w:rStyle w:val="InternetLink"/>
                </w:rPr>
                <w:t>аспределительные устройства напряжением до 1 к</w:t>
              </w:r>
              <w:r>
                <w:rPr>
                  <w:rStyle w:val="InternetLink"/>
                  <w:caps/>
                </w:rPr>
                <w:t>в</w:t>
              </w:r>
              <w:r>
                <w:rPr>
                  <w:rStyle w:val="InternetLink"/>
                </w:rPr>
                <w:t xml:space="preserve"> переменного тока и до 1,5 к</w:t>
              </w:r>
              <w:r>
                <w:rPr>
                  <w:rStyle w:val="InternetLink"/>
                  <w:caps/>
                </w:rPr>
                <w:t>в</w:t>
              </w:r>
              <w:r>
                <w:rPr>
                  <w:rStyle w:val="InternetLink"/>
                </w:rPr>
                <w:t xml:space="preserve"> постоянного тока</w:t>
              </w:r>
            </w:hyperlink>
            <w:r>
              <w:rPr>
                <w:vanish/>
              </w:rPr>
              <w:t>. 215</w:t>
            </w:r>
          </w:p>
          <w:p>
            <w:pPr>
              <w:pStyle w:val="Contents3"/>
              <w:ind w:left="403" w:right="454" w:hanging="0"/>
              <w:jc w:val="both"/>
              <w:rPr/>
            </w:pPr>
            <w:r>
              <w:rPr/>
              <w:t>Область применения</w:t>
            </w:r>
            <w:r>
              <w:rPr>
                <w:vanish/>
              </w:rPr>
              <w:t>. 215</w:t>
            </w:r>
          </w:p>
          <w:p>
            <w:pPr>
              <w:pStyle w:val="Contents3"/>
              <w:ind w:left="403" w:right="454" w:hanging="0"/>
              <w:jc w:val="both"/>
              <w:rPr/>
            </w:pPr>
            <w:r>
              <w:rPr/>
              <w:t>Общие требования</w:t>
            </w:r>
            <w:r>
              <w:rPr>
                <w:vanish/>
              </w:rPr>
              <w:t>. 215</w:t>
            </w:r>
          </w:p>
          <w:p>
            <w:pPr>
              <w:pStyle w:val="Contents3"/>
              <w:ind w:left="403" w:right="454" w:hanging="0"/>
              <w:jc w:val="both"/>
              <w:rPr/>
            </w:pPr>
            <w:r>
              <w:rPr/>
              <w:t>Установка приборов и аппаратов</w:t>
            </w:r>
            <w:r>
              <w:rPr>
                <w:vanish/>
              </w:rPr>
              <w:t>. 216</w:t>
            </w:r>
          </w:p>
          <w:p>
            <w:pPr>
              <w:pStyle w:val="Contents3"/>
              <w:ind w:left="403" w:right="454" w:hanging="0"/>
              <w:jc w:val="both"/>
              <w:rPr/>
            </w:pPr>
            <w:r>
              <w:rPr/>
              <w:t>Шины, провода, кабели</w:t>
            </w:r>
            <w:r>
              <w:rPr>
                <w:vanish/>
              </w:rPr>
              <w:t>. 216</w:t>
            </w:r>
          </w:p>
          <w:p>
            <w:pPr>
              <w:pStyle w:val="Contents3"/>
              <w:ind w:left="403" w:right="454" w:hanging="0"/>
              <w:jc w:val="both"/>
              <w:rPr/>
            </w:pPr>
            <w:r>
              <w:rPr/>
              <w:t>Конструкции распределительных устройств</w:t>
            </w:r>
            <w:r>
              <w:rPr>
                <w:vanish/>
              </w:rPr>
              <w:t>. 217</w:t>
            </w:r>
          </w:p>
          <w:p>
            <w:pPr>
              <w:pStyle w:val="Contents3"/>
              <w:ind w:left="403" w:right="454" w:hanging="0"/>
              <w:jc w:val="both"/>
              <w:rPr/>
            </w:pPr>
            <w:r>
              <w:rPr/>
              <w:t>Установка распределительных устройств в электропомещениях</w:t>
            </w:r>
            <w:r>
              <w:rPr>
                <w:vanish/>
              </w:rPr>
              <w:t>. 217</w:t>
            </w:r>
          </w:p>
          <w:p>
            <w:pPr>
              <w:pStyle w:val="Contents3"/>
              <w:ind w:left="403" w:right="454" w:hanging="0"/>
              <w:jc w:val="both"/>
              <w:rPr/>
            </w:pPr>
            <w:r>
              <w:rPr/>
              <w:t>Установка распределительных устройств в производственных помещениях</w:t>
            </w:r>
            <w:r>
              <w:rPr>
                <w:vanish/>
              </w:rPr>
              <w:t>. 218</w:t>
            </w:r>
          </w:p>
          <w:p>
            <w:pPr>
              <w:pStyle w:val="Contents3"/>
              <w:ind w:left="403" w:right="454" w:hanging="0"/>
              <w:jc w:val="both"/>
              <w:rPr/>
            </w:pPr>
            <w:r>
              <w:rPr/>
              <w:t>Установка распределительных устройств на открытом воздухе</w:t>
            </w:r>
            <w:r>
              <w:rPr>
                <w:vanish/>
              </w:rPr>
              <w:t>. 219</w:t>
            </w:r>
          </w:p>
          <w:p>
            <w:pPr>
              <w:pStyle w:val="Contents2"/>
              <w:ind w:left="200" w:right="454" w:hanging="0"/>
              <w:jc w:val="both"/>
              <w:rPr/>
            </w:pPr>
            <w:r>
              <w:rPr/>
              <w:t xml:space="preserve">Глава 4.2 </w:t>
            </w:r>
            <w:hyperlink w:anchor="_ГЛАВА_4.2_РАСПРЕДЕЛИТЕЛЬНЫЕ">
              <w:r>
                <w:rPr>
                  <w:rStyle w:val="InternetLink"/>
                </w:rPr>
                <w:t>Распределительные устройства и подстанции напряжением выше 1 к</w:t>
              </w:r>
              <w:r>
                <w:rPr>
                  <w:rStyle w:val="InternetLink"/>
                  <w:caps/>
                </w:rPr>
                <w:t>в</w:t>
              </w:r>
            </w:hyperlink>
            <w:r>
              <w:rPr>
                <w:vanish/>
              </w:rPr>
              <w:t>.. 219</w:t>
            </w:r>
          </w:p>
          <w:p>
            <w:pPr>
              <w:pStyle w:val="Contents3"/>
              <w:ind w:left="403" w:right="454" w:hanging="0"/>
              <w:jc w:val="both"/>
              <w:rPr/>
            </w:pPr>
            <w:r>
              <w:rPr/>
              <w:t>Область применения, определения</w:t>
            </w:r>
            <w:r>
              <w:rPr>
                <w:vanish/>
              </w:rPr>
              <w:t>. 219</w:t>
            </w:r>
          </w:p>
          <w:p>
            <w:pPr>
              <w:pStyle w:val="Contents3"/>
              <w:ind w:left="403" w:right="454" w:hanging="0"/>
              <w:jc w:val="both"/>
              <w:rPr/>
            </w:pPr>
            <w:r>
              <w:rPr/>
              <w:t>Общие требования</w:t>
            </w:r>
            <w:r>
              <w:rPr>
                <w:vanish/>
              </w:rPr>
              <w:t>. 220</w:t>
            </w:r>
          </w:p>
          <w:p>
            <w:pPr>
              <w:pStyle w:val="Contents3"/>
              <w:ind w:left="403" w:right="454" w:hanging="0"/>
              <w:jc w:val="both"/>
              <w:rPr/>
            </w:pPr>
            <w:r>
              <w:rPr/>
              <w:t>Открытые распределительные устройства</w:t>
            </w:r>
            <w:r>
              <w:rPr>
                <w:vanish/>
              </w:rPr>
              <w:t>. 228</w:t>
            </w:r>
          </w:p>
          <w:p>
            <w:pPr>
              <w:pStyle w:val="Contents3"/>
              <w:ind w:left="403" w:right="454" w:hanging="0"/>
              <w:jc w:val="both"/>
              <w:rPr/>
            </w:pPr>
            <w:r>
              <w:rPr/>
              <w:t>Биологическая защита от воздействия электрических и магнитных полей</w:t>
            </w:r>
            <w:r>
              <w:rPr>
                <w:vanish/>
              </w:rPr>
              <w:t>. 239</w:t>
            </w:r>
          </w:p>
          <w:p>
            <w:pPr>
              <w:pStyle w:val="Contents3"/>
              <w:ind w:left="403" w:right="454" w:hanging="0"/>
              <w:jc w:val="both"/>
              <w:rPr/>
            </w:pPr>
            <w:r>
              <w:rPr/>
              <w:t>Закрытые распределительные устройства и подстанции</w:t>
            </w:r>
            <w:r>
              <w:rPr>
                <w:vanish/>
              </w:rPr>
              <w:t>. 240</w:t>
            </w:r>
          </w:p>
          <w:p>
            <w:pPr>
              <w:pStyle w:val="Contents3"/>
              <w:ind w:left="403" w:right="454" w:hanging="0"/>
              <w:jc w:val="both"/>
              <w:rPr/>
            </w:pPr>
            <w:r>
              <w:rPr/>
              <w:t>Внутрицеховые распределительные устройства и трансформаторные подстанции</w:t>
            </w:r>
            <w:r>
              <w:rPr>
                <w:vanish/>
              </w:rPr>
              <w:t>. 248</w:t>
            </w:r>
          </w:p>
          <w:p>
            <w:pPr>
              <w:pStyle w:val="Contents3"/>
              <w:ind w:left="403" w:right="454" w:hanging="0"/>
              <w:jc w:val="both"/>
              <w:rPr/>
            </w:pPr>
            <w:r>
              <w:rPr/>
              <w:t>Комплектные, столбовые, мачтовые трансформаторные подстанции и сетевые секционирующие пункты</w:t>
            </w:r>
            <w:r>
              <w:rPr>
                <w:vanish/>
              </w:rPr>
              <w:t>.. 250</w:t>
            </w:r>
          </w:p>
          <w:p>
            <w:pPr>
              <w:pStyle w:val="Contents3"/>
              <w:ind w:left="403" w:right="454" w:hanging="0"/>
              <w:jc w:val="both"/>
              <w:rPr/>
            </w:pPr>
            <w:hyperlink w:anchor="_ЗАЩИТА_ОТ_ГРОЗОВЫХ">
              <w:r>
                <w:rPr>
                  <w:rStyle w:val="InternetLink"/>
                </w:rPr>
                <w:t>Защита от грозовых перенапряжений</w:t>
              </w:r>
            </w:hyperlink>
            <w:r>
              <w:rPr>
                <w:vanish/>
              </w:rPr>
              <w:t>. 251</w:t>
            </w:r>
          </w:p>
          <w:p>
            <w:pPr>
              <w:pStyle w:val="Contents3"/>
              <w:ind w:left="403" w:right="454" w:hanging="0"/>
              <w:jc w:val="both"/>
              <w:rPr/>
            </w:pPr>
            <w:r>
              <w:rPr/>
              <w:t>Защита вращающихся электрических машин от грозовых перенапряжений</w:t>
            </w:r>
            <w:r>
              <w:rPr>
                <w:vanish/>
              </w:rPr>
              <w:t>. 268</w:t>
            </w:r>
          </w:p>
          <w:p>
            <w:pPr>
              <w:pStyle w:val="Contents3"/>
              <w:ind w:left="403" w:right="454" w:hanging="0"/>
              <w:jc w:val="both"/>
              <w:rPr/>
            </w:pPr>
            <w:r>
              <w:rPr/>
              <w:t>Защита от внутренних перенапряжений</w:t>
            </w:r>
            <w:r>
              <w:rPr>
                <w:vanish/>
              </w:rPr>
              <w:t>. 273</w:t>
            </w:r>
          </w:p>
          <w:p>
            <w:pPr>
              <w:pStyle w:val="Contents3"/>
              <w:ind w:left="403" w:right="454" w:hanging="0"/>
              <w:jc w:val="both"/>
              <w:rPr/>
            </w:pPr>
            <w:r>
              <w:rPr/>
              <w:t>Пневматическое хозяйство</w:t>
            </w:r>
            <w:r>
              <w:rPr>
                <w:vanish/>
              </w:rPr>
              <w:t>. 274</w:t>
            </w:r>
          </w:p>
          <w:p>
            <w:pPr>
              <w:pStyle w:val="Contents3"/>
              <w:ind w:left="403" w:right="454" w:hanging="0"/>
              <w:jc w:val="both"/>
              <w:rPr/>
            </w:pPr>
            <w:r>
              <w:rPr/>
              <w:t>Масляное хозяйство</w:t>
            </w:r>
            <w:r>
              <w:rPr>
                <w:vanish/>
              </w:rPr>
              <w:t>. 277</w:t>
            </w:r>
          </w:p>
          <w:p>
            <w:pPr>
              <w:pStyle w:val="Contents3"/>
              <w:ind w:left="403" w:right="454" w:hanging="0"/>
              <w:jc w:val="both"/>
              <w:rPr/>
            </w:pPr>
            <w:r>
              <w:rPr/>
              <w:t>Установка силовых трансформаторов и реакторов</w:t>
            </w:r>
            <w:r>
              <w:rPr>
                <w:vanish/>
              </w:rPr>
              <w:t>. 278</w:t>
            </w:r>
          </w:p>
          <w:p>
            <w:pPr>
              <w:pStyle w:val="Contents1"/>
              <w:ind w:right="454" w:hanging="0"/>
              <w:jc w:val="both"/>
              <w:rPr/>
            </w:pPr>
            <w:r>
              <w:rPr/>
              <w:t xml:space="preserve">Приложение Справочный материал к главе 4.2 </w:t>
            </w:r>
            <w:r>
              <w:rPr>
                <w:caps/>
              </w:rPr>
              <w:t>пуэ</w:t>
            </w:r>
            <w:r>
              <w:rPr/>
              <w:t>. Перечень ссылочных нормативных документов</w:t>
            </w:r>
            <w:r>
              <w:rPr>
                <w:vanish/>
              </w:rPr>
              <w:t>. 282</w:t>
            </w:r>
          </w:p>
          <w:p>
            <w:pPr>
              <w:pStyle w:val="Contents1"/>
              <w:ind w:right="454" w:hanging="0"/>
              <w:jc w:val="both"/>
              <w:rPr/>
            </w:pPr>
            <w:r>
              <w:rPr/>
              <w:t>Р</w:t>
            </w:r>
            <w:r>
              <w:rPr>
                <w:caps/>
              </w:rPr>
              <w:t>аздел</w:t>
            </w:r>
            <w:r>
              <w:rPr/>
              <w:t xml:space="preserve"> 6 </w:t>
            </w:r>
            <w:hyperlink w:anchor="_Раздел_6_ЭЛЕКТРИЧЕСКОЕ">
              <w:r>
                <w:rPr>
                  <w:rStyle w:val="InternetLink"/>
                </w:rPr>
                <w:t>Электрическое освещение</w:t>
              </w:r>
            </w:hyperlink>
            <w:r>
              <w:rPr>
                <w:vanish/>
              </w:rPr>
              <w:t>. 283</w:t>
            </w:r>
          </w:p>
          <w:p>
            <w:pPr>
              <w:pStyle w:val="Contents2"/>
              <w:ind w:left="200" w:right="454" w:hanging="0"/>
              <w:jc w:val="both"/>
              <w:rPr/>
            </w:pPr>
            <w:r>
              <w:rPr/>
              <w:t xml:space="preserve">Глава 6.1 </w:t>
            </w:r>
            <w:hyperlink w:anchor="_Глава_6.1_ОБЩАЯ">
              <w:r>
                <w:rPr>
                  <w:rStyle w:val="InternetLink"/>
                  <w:caps/>
                </w:rPr>
                <w:t>о</w:t>
              </w:r>
              <w:r>
                <w:rPr>
                  <w:rStyle w:val="InternetLink"/>
                </w:rPr>
                <w:t>бщая часть</w:t>
              </w:r>
            </w:hyperlink>
            <w:r>
              <w:rPr>
                <w:vanish/>
              </w:rPr>
              <w:t>. 283</w:t>
            </w:r>
          </w:p>
          <w:p>
            <w:pPr>
              <w:pStyle w:val="Contents3"/>
              <w:ind w:left="403" w:right="454" w:hanging="0"/>
              <w:jc w:val="both"/>
              <w:rPr/>
            </w:pPr>
            <w:r>
              <w:rPr/>
              <w:t>Область применения. Определения</w:t>
            </w:r>
            <w:r>
              <w:rPr>
                <w:vanish/>
              </w:rPr>
              <w:t>. 283</w:t>
            </w:r>
          </w:p>
          <w:p>
            <w:pPr>
              <w:pStyle w:val="Contents3"/>
              <w:ind w:left="403" w:right="454" w:hanging="0"/>
              <w:jc w:val="both"/>
              <w:rPr/>
            </w:pPr>
            <w:r>
              <w:rPr/>
              <w:t>Общие требования</w:t>
            </w:r>
            <w:r>
              <w:rPr>
                <w:vanish/>
              </w:rPr>
              <w:t>. 284</w:t>
            </w:r>
          </w:p>
          <w:p>
            <w:pPr>
              <w:pStyle w:val="Contents3"/>
              <w:ind w:left="403" w:right="454" w:hanging="0"/>
              <w:jc w:val="both"/>
              <w:rPr/>
            </w:pPr>
            <w:hyperlink w:anchor="_Аварийное_освещение">
              <w:r>
                <w:rPr>
                  <w:rStyle w:val="InternetLink"/>
                </w:rPr>
                <w:t>Аварийное освещение</w:t>
              </w:r>
            </w:hyperlink>
            <w:r>
              <w:rPr>
                <w:vanish/>
              </w:rPr>
              <w:t>. 286</w:t>
            </w:r>
          </w:p>
          <w:p>
            <w:pPr>
              <w:pStyle w:val="Contents3"/>
              <w:ind w:left="403" w:right="454" w:hanging="0"/>
              <w:jc w:val="both"/>
              <w:rPr/>
            </w:pPr>
            <w:hyperlink w:anchor="_Выполнение_и_защита">
              <w:r>
                <w:rPr>
                  <w:rStyle w:val="InternetLink"/>
                </w:rPr>
                <w:t>Выполнение и защита осветительных сетей</w:t>
              </w:r>
            </w:hyperlink>
            <w:r>
              <w:rPr>
                <w:vanish/>
              </w:rPr>
              <w:t>. 287</w:t>
            </w:r>
          </w:p>
          <w:p>
            <w:pPr>
              <w:pStyle w:val="Contents3"/>
              <w:ind w:left="403" w:right="454" w:hanging="0"/>
              <w:jc w:val="both"/>
              <w:rPr/>
            </w:pPr>
            <w:hyperlink w:anchor="_Защитные_меры_безопасности">
              <w:r>
                <w:rPr>
                  <w:rStyle w:val="InternetLink"/>
                </w:rPr>
                <w:t>Защитные меры безопасности</w:t>
              </w:r>
            </w:hyperlink>
            <w:r>
              <w:rPr>
                <w:vanish/>
              </w:rPr>
              <w:t>. 287</w:t>
            </w:r>
          </w:p>
          <w:p>
            <w:pPr>
              <w:pStyle w:val="Contents2"/>
              <w:ind w:left="200" w:right="454" w:hanging="0"/>
              <w:jc w:val="both"/>
              <w:rPr/>
            </w:pPr>
            <w:r>
              <w:rPr/>
              <w:t xml:space="preserve">Глава 6.2 </w:t>
            </w:r>
            <w:hyperlink w:anchor="_Глава_6.2_ВНУТРЕННЕЕ">
              <w:r>
                <w:rPr>
                  <w:rStyle w:val="InternetLink"/>
                </w:rPr>
                <w:t>Внутреннее освещение</w:t>
              </w:r>
            </w:hyperlink>
            <w:r>
              <w:rPr>
                <w:vanish/>
              </w:rPr>
              <w:t>. 289</w:t>
            </w:r>
          </w:p>
          <w:p>
            <w:pPr>
              <w:pStyle w:val="Contents3"/>
              <w:ind w:left="403" w:right="454" w:hanging="0"/>
              <w:jc w:val="both"/>
              <w:rPr/>
            </w:pPr>
            <w:r>
              <w:rPr/>
              <w:t>Общие требования</w:t>
            </w:r>
            <w:r>
              <w:rPr>
                <w:vanish/>
              </w:rPr>
              <w:t>. 289</w:t>
            </w:r>
          </w:p>
          <w:p>
            <w:pPr>
              <w:pStyle w:val="Contents3"/>
              <w:ind w:left="403" w:right="454" w:hanging="0"/>
              <w:jc w:val="both"/>
              <w:rPr/>
            </w:pPr>
            <w:hyperlink w:anchor="_Питающая_осветительная_сеть">
              <w:r>
                <w:rPr>
                  <w:rStyle w:val="InternetLink"/>
                </w:rPr>
                <w:t>Питающая осветительная сеть</w:t>
              </w:r>
            </w:hyperlink>
            <w:r>
              <w:rPr>
                <w:vanish/>
              </w:rPr>
              <w:t>. 289</w:t>
            </w:r>
          </w:p>
          <w:p>
            <w:pPr>
              <w:pStyle w:val="Contents3"/>
              <w:ind w:left="403" w:right="454" w:hanging="0"/>
              <w:jc w:val="both"/>
              <w:rPr/>
            </w:pPr>
            <w:hyperlink w:anchor="_Групповая_сеть">
              <w:r>
                <w:rPr>
                  <w:rStyle w:val="InternetLink"/>
                </w:rPr>
                <w:t>Групповая сеть</w:t>
              </w:r>
            </w:hyperlink>
            <w:r>
              <w:rPr>
                <w:vanish/>
              </w:rPr>
              <w:t>. 290</w:t>
            </w:r>
          </w:p>
          <w:p>
            <w:pPr>
              <w:pStyle w:val="Contents2"/>
              <w:ind w:left="200" w:right="454" w:hanging="0"/>
              <w:jc w:val="both"/>
              <w:rPr/>
            </w:pPr>
            <w:r>
              <w:rPr/>
              <w:t xml:space="preserve">Глава 6.3 </w:t>
            </w:r>
            <w:hyperlink w:anchor="_Глава_6.3_НАРУЖНОЕ">
              <w:r>
                <w:rPr>
                  <w:rStyle w:val="InternetLink"/>
                </w:rPr>
                <w:t>Наружное освещение</w:t>
              </w:r>
            </w:hyperlink>
            <w:r>
              <w:rPr>
                <w:vanish/>
              </w:rPr>
              <w:t>. 291</w:t>
            </w:r>
          </w:p>
          <w:p>
            <w:pPr>
              <w:pStyle w:val="Contents3"/>
              <w:ind w:left="403" w:right="454" w:hanging="0"/>
              <w:jc w:val="both"/>
              <w:rPr/>
            </w:pPr>
            <w:r>
              <w:rPr/>
              <w:t>Источники света, установка осветительных приборов и опор</w:t>
            </w:r>
            <w:r>
              <w:rPr>
                <w:vanish/>
              </w:rPr>
              <w:t>. 291</w:t>
            </w:r>
          </w:p>
          <w:p>
            <w:pPr>
              <w:pStyle w:val="Contents3"/>
              <w:ind w:left="403" w:right="454" w:hanging="0"/>
              <w:jc w:val="both"/>
              <w:rPr/>
            </w:pPr>
            <w:r>
              <w:rPr/>
              <w:t>Питание установок наружного освещения</w:t>
            </w:r>
            <w:r>
              <w:rPr>
                <w:vanish/>
              </w:rPr>
              <w:t>. 292</w:t>
            </w:r>
          </w:p>
          <w:p>
            <w:pPr>
              <w:pStyle w:val="Contents3"/>
              <w:ind w:left="403" w:right="454" w:hanging="0"/>
              <w:jc w:val="both"/>
              <w:rPr/>
            </w:pPr>
            <w:r>
              <w:rPr/>
              <w:t>Выполнение и защита сетей наружного освещения</w:t>
            </w:r>
            <w:r>
              <w:rPr>
                <w:vanish/>
              </w:rPr>
              <w:t>. 293</w:t>
            </w:r>
          </w:p>
          <w:p>
            <w:pPr>
              <w:pStyle w:val="Contents2"/>
              <w:ind w:left="200" w:right="454" w:hanging="0"/>
              <w:jc w:val="both"/>
              <w:rPr/>
            </w:pPr>
            <w:r>
              <w:rPr/>
              <w:t xml:space="preserve">Глава 6.4 </w:t>
            </w:r>
            <w:hyperlink w:anchor="_Глава_6.4_СВЕТОВАЯ">
              <w:r>
                <w:rPr>
                  <w:rStyle w:val="InternetLink"/>
                  <w:caps/>
                </w:rPr>
                <w:t>с</w:t>
              </w:r>
              <w:r>
                <w:rPr>
                  <w:rStyle w:val="InternetLink"/>
                </w:rPr>
                <w:t>ветовая реклама, знаки и иллюминация</w:t>
              </w:r>
            </w:hyperlink>
            <w:r>
              <w:rPr>
                <w:vanish/>
              </w:rPr>
              <w:t>. 295</w:t>
            </w:r>
          </w:p>
          <w:p>
            <w:pPr>
              <w:pStyle w:val="Contents2"/>
              <w:ind w:left="200" w:right="454" w:hanging="0"/>
              <w:jc w:val="both"/>
              <w:rPr/>
            </w:pPr>
            <w:r>
              <w:rPr/>
              <w:t xml:space="preserve">Глава 6.5 </w:t>
            </w:r>
            <w:hyperlink w:anchor="_Глава_6.5_УПРАВЛЕНИЕ">
              <w:r>
                <w:rPr>
                  <w:rStyle w:val="InternetLink"/>
                  <w:caps/>
                </w:rPr>
                <w:t>у</w:t>
              </w:r>
              <w:r>
                <w:rPr>
                  <w:rStyle w:val="InternetLink"/>
                </w:rPr>
                <w:t>правление освещением</w:t>
              </w:r>
            </w:hyperlink>
            <w:r>
              <w:rPr>
                <w:vanish/>
              </w:rPr>
              <w:t>.. 296</w:t>
            </w:r>
          </w:p>
          <w:p>
            <w:pPr>
              <w:pStyle w:val="Contents3"/>
              <w:ind w:left="403" w:right="454" w:hanging="0"/>
              <w:jc w:val="both"/>
              <w:rPr/>
            </w:pPr>
            <w:r>
              <w:rPr/>
              <w:t>Общие требования</w:t>
            </w:r>
            <w:r>
              <w:rPr>
                <w:vanish/>
              </w:rPr>
              <w:t>. 296</w:t>
            </w:r>
          </w:p>
          <w:p>
            <w:pPr>
              <w:pStyle w:val="Contents3"/>
              <w:ind w:left="403" w:right="454" w:hanging="0"/>
              <w:jc w:val="both"/>
              <w:rPr/>
            </w:pPr>
            <w:r>
              <w:rPr/>
              <w:t>Управление внутренним освещением</w:t>
            </w:r>
            <w:r>
              <w:rPr>
                <w:vanish/>
              </w:rPr>
              <w:t>.. 297</w:t>
            </w:r>
          </w:p>
          <w:p>
            <w:pPr>
              <w:pStyle w:val="Contents3"/>
              <w:ind w:left="403" w:right="454" w:hanging="0"/>
              <w:jc w:val="both"/>
              <w:rPr/>
            </w:pPr>
            <w:r>
              <w:rPr/>
              <w:t>Управление наружным освещением</w:t>
            </w:r>
            <w:r>
              <w:rPr>
                <w:vanish/>
              </w:rPr>
              <w:t>.. 298</w:t>
            </w:r>
          </w:p>
          <w:p>
            <w:pPr>
              <w:pStyle w:val="Contents2"/>
              <w:ind w:left="200" w:right="454" w:hanging="0"/>
              <w:jc w:val="both"/>
              <w:rPr/>
            </w:pPr>
            <w:r>
              <w:rPr/>
              <w:t xml:space="preserve">Глава 6.6 </w:t>
            </w:r>
            <w:hyperlink w:anchor="_Глава_6.6_ОСВЕТИТЕЛЬНЫЕ">
              <w:r>
                <w:rPr>
                  <w:rStyle w:val="InternetLink"/>
                  <w:caps/>
                </w:rPr>
                <w:t>о</w:t>
              </w:r>
              <w:r>
                <w:rPr>
                  <w:rStyle w:val="InternetLink"/>
                </w:rPr>
                <w:t>светительные приборы и электроустановочные устройств</w:t>
              </w:r>
            </w:hyperlink>
            <w:r>
              <w:rPr/>
              <w:t>а</w:t>
            </w:r>
            <w:r>
              <w:rPr>
                <w:vanish/>
              </w:rPr>
              <w:t>. 299</w:t>
            </w:r>
          </w:p>
          <w:p>
            <w:pPr>
              <w:pStyle w:val="Contents3"/>
              <w:ind w:left="403" w:right="454" w:hanging="0"/>
              <w:jc w:val="both"/>
              <w:rPr/>
            </w:pPr>
            <w:hyperlink w:anchor="_Осветительные_приборы">
              <w:r>
                <w:rPr>
                  <w:rStyle w:val="InternetLink"/>
                </w:rPr>
                <w:t>Осветительные приборы</w:t>
              </w:r>
            </w:hyperlink>
            <w:r>
              <w:rPr>
                <w:vanish/>
              </w:rPr>
              <w:t>.. 299</w:t>
            </w:r>
          </w:p>
          <w:p>
            <w:pPr>
              <w:pStyle w:val="Contents3"/>
              <w:ind w:left="403" w:right="454" w:hanging="0"/>
              <w:jc w:val="both"/>
              <w:rPr/>
            </w:pPr>
            <w:hyperlink w:anchor="_Электроустановочные_устройства">
              <w:r>
                <w:rPr>
                  <w:rStyle w:val="InternetLink"/>
                </w:rPr>
                <w:t>Электроустановочные устройства</w:t>
              </w:r>
            </w:hyperlink>
            <w:r>
              <w:rPr>
                <w:vanish/>
              </w:rPr>
              <w:t>. 301</w:t>
            </w:r>
          </w:p>
          <w:p>
            <w:pPr>
              <w:pStyle w:val="Contents1"/>
              <w:ind w:right="454" w:hanging="0"/>
              <w:jc w:val="both"/>
              <w:rPr/>
            </w:pPr>
            <w:r>
              <w:rPr/>
              <w:t>Р</w:t>
            </w:r>
            <w:r>
              <w:rPr>
                <w:caps/>
              </w:rPr>
              <w:t xml:space="preserve">аздел </w:t>
            </w:r>
            <w:r>
              <w:rPr/>
              <w:t xml:space="preserve">7 </w:t>
            </w:r>
            <w:hyperlink w:anchor="_Раздел_7_ЭЛЕКТРООБОРУДОВАНИЕ">
              <w:r>
                <w:rPr>
                  <w:rStyle w:val="InternetLink"/>
                  <w:caps/>
                </w:rPr>
                <w:t>э</w:t>
              </w:r>
              <w:r>
                <w:rPr>
                  <w:rStyle w:val="InternetLink"/>
                </w:rPr>
                <w:t>лектрооборудование специальных установок</w:t>
              </w:r>
            </w:hyperlink>
            <w:r>
              <w:rPr>
                <w:vanish/>
              </w:rPr>
              <w:t>. 302</w:t>
            </w:r>
          </w:p>
          <w:p>
            <w:pPr>
              <w:pStyle w:val="Contents2"/>
              <w:ind w:left="200" w:right="454" w:hanging="0"/>
              <w:jc w:val="both"/>
              <w:rPr/>
            </w:pPr>
            <w:r>
              <w:rPr/>
              <w:t xml:space="preserve">Глава 7.1 </w:t>
            </w:r>
            <w:hyperlink w:anchor="_Глава_7.1_ЭЛЕКТРОУСТАНОВКИ">
              <w:r>
                <w:rPr>
                  <w:rStyle w:val="InternetLink"/>
                  <w:caps/>
                </w:rPr>
                <w:t>э</w:t>
              </w:r>
              <w:r>
                <w:rPr>
                  <w:rStyle w:val="InternetLink"/>
                </w:rPr>
                <w:t>лектроустановки жилых, общественных, административных и бытовых зданий</w:t>
              </w:r>
            </w:hyperlink>
            <w:r>
              <w:rPr>
                <w:vanish/>
              </w:rPr>
              <w:t>. 302</w:t>
            </w:r>
          </w:p>
          <w:p>
            <w:pPr>
              <w:pStyle w:val="Contents3"/>
              <w:ind w:left="403" w:right="454" w:hanging="0"/>
              <w:jc w:val="both"/>
              <w:rPr/>
            </w:pPr>
            <w:r>
              <w:rPr/>
              <w:t>Область применения. Определения</w:t>
            </w:r>
            <w:r>
              <w:rPr>
                <w:vanish/>
              </w:rPr>
              <w:t>. 302</w:t>
            </w:r>
          </w:p>
          <w:p>
            <w:pPr>
              <w:pStyle w:val="Contents3"/>
              <w:ind w:left="403" w:right="454" w:hanging="0"/>
              <w:jc w:val="both"/>
              <w:rPr/>
            </w:pPr>
            <w:r>
              <w:rPr/>
              <w:t>Общие требования. Электроснабжение</w:t>
            </w:r>
            <w:r>
              <w:rPr>
                <w:vanish/>
              </w:rPr>
              <w:t>. 303</w:t>
            </w:r>
          </w:p>
          <w:p>
            <w:pPr>
              <w:pStyle w:val="Contents3"/>
              <w:ind w:left="403" w:right="454" w:hanging="0"/>
              <w:jc w:val="both"/>
              <w:rPr/>
            </w:pPr>
            <w:r>
              <w:rPr/>
              <w:t>Вводные устройства, распределительные щиты, распределительные пункты, групповые щитки</w:t>
            </w:r>
            <w:r>
              <w:rPr>
                <w:vanish/>
              </w:rPr>
              <w:t>. 305</w:t>
            </w:r>
          </w:p>
          <w:p>
            <w:pPr>
              <w:pStyle w:val="Contents3"/>
              <w:ind w:left="403" w:right="454" w:hanging="0"/>
              <w:jc w:val="both"/>
              <w:rPr/>
            </w:pPr>
            <w:r>
              <w:rPr/>
              <w:t>Электропроводки и кабельные линии</w:t>
            </w:r>
            <w:r>
              <w:rPr>
                <w:vanish/>
              </w:rPr>
              <w:t>. 306</w:t>
            </w:r>
          </w:p>
          <w:p>
            <w:pPr>
              <w:pStyle w:val="Contents3"/>
              <w:ind w:left="403" w:right="454" w:hanging="0"/>
              <w:jc w:val="both"/>
              <w:rPr/>
            </w:pPr>
            <w:r>
              <w:rPr/>
              <w:t>Внутреннее электрооборудование</w:t>
            </w:r>
            <w:r>
              <w:rPr>
                <w:vanish/>
              </w:rPr>
              <w:t>. 309</w:t>
            </w:r>
          </w:p>
          <w:p>
            <w:pPr>
              <w:pStyle w:val="Contents3"/>
              <w:ind w:left="403" w:right="454" w:hanging="0"/>
              <w:jc w:val="both"/>
              <w:rPr/>
            </w:pPr>
            <w:r>
              <w:rPr/>
              <w:t>Учет электроэнергии</w:t>
            </w:r>
            <w:r>
              <w:rPr>
                <w:vanish/>
              </w:rPr>
              <w:t>. 310</w:t>
            </w:r>
          </w:p>
          <w:p>
            <w:pPr>
              <w:pStyle w:val="Contents3"/>
              <w:ind w:left="403" w:right="454" w:hanging="0"/>
              <w:jc w:val="both"/>
              <w:rPr/>
            </w:pPr>
            <w:r>
              <w:rPr/>
              <w:t>Защитные меры безопасности</w:t>
            </w:r>
            <w:r>
              <w:rPr>
                <w:vanish/>
              </w:rPr>
              <w:t>. 311</w:t>
            </w:r>
          </w:p>
          <w:p>
            <w:pPr>
              <w:pStyle w:val="Contents2"/>
              <w:ind w:left="200" w:right="454" w:hanging="0"/>
              <w:jc w:val="both"/>
              <w:rPr/>
            </w:pPr>
            <w:r>
              <w:rPr/>
              <w:t xml:space="preserve">Глава 7.2 </w:t>
            </w:r>
            <w:hyperlink w:anchor="_Глава_7.2_ЭЛЕКТРОУСТАНОВКИ">
              <w:r>
                <w:rPr>
                  <w:rStyle w:val="InternetLink"/>
                  <w:caps/>
                </w:rPr>
                <w:t>э</w:t>
              </w:r>
              <w:r>
                <w:rPr>
                  <w:rStyle w:val="InternetLink"/>
                </w:rPr>
                <w:t>лектроустановки зрелищных предприятий, клубных учреждений и спортивных сооружений</w:t>
              </w:r>
            </w:hyperlink>
            <w:r>
              <w:rPr>
                <w:vanish/>
              </w:rPr>
              <w:t>. 313</w:t>
            </w:r>
          </w:p>
          <w:p>
            <w:pPr>
              <w:pStyle w:val="Contents3"/>
              <w:ind w:left="403" w:right="454" w:hanging="0"/>
              <w:jc w:val="both"/>
              <w:rPr/>
            </w:pPr>
            <w:r>
              <w:rPr/>
              <w:t>Область применения. Определения</w:t>
            </w:r>
            <w:r>
              <w:rPr>
                <w:vanish/>
              </w:rPr>
              <w:t>. 313</w:t>
            </w:r>
          </w:p>
          <w:p>
            <w:pPr>
              <w:pStyle w:val="Contents3"/>
              <w:ind w:left="403" w:right="454" w:hanging="0"/>
              <w:jc w:val="both"/>
              <w:rPr/>
            </w:pPr>
            <w:r>
              <w:rPr/>
              <w:t>Общие требования. Электроснабжение</w:t>
            </w:r>
            <w:r>
              <w:rPr>
                <w:vanish/>
              </w:rPr>
              <w:t>. 314</w:t>
            </w:r>
          </w:p>
          <w:p>
            <w:pPr>
              <w:pStyle w:val="Contents3"/>
              <w:ind w:left="403" w:right="454" w:hanging="0"/>
              <w:jc w:val="both"/>
              <w:rPr/>
            </w:pPr>
            <w:r>
              <w:rPr/>
              <w:t>Электрическое освещение</w:t>
            </w:r>
            <w:r>
              <w:rPr>
                <w:vanish/>
              </w:rPr>
              <w:t>. 317</w:t>
            </w:r>
          </w:p>
          <w:p>
            <w:pPr>
              <w:pStyle w:val="Contents3"/>
              <w:ind w:left="403" w:right="454" w:hanging="0"/>
              <w:jc w:val="both"/>
              <w:rPr/>
            </w:pPr>
            <w:r>
              <w:rPr/>
              <w:t>Силовое электрооборудование</w:t>
            </w:r>
            <w:r>
              <w:rPr>
                <w:vanish/>
              </w:rPr>
              <w:t>. 318</w:t>
            </w:r>
          </w:p>
          <w:p>
            <w:pPr>
              <w:pStyle w:val="Contents3"/>
              <w:ind w:left="403" w:right="454" w:hanging="0"/>
              <w:jc w:val="both"/>
              <w:rPr/>
            </w:pPr>
            <w:r>
              <w:rPr/>
              <w:t>Прокладка кабелей и проводов</w:t>
            </w:r>
            <w:r>
              <w:rPr>
                <w:vanish/>
              </w:rPr>
              <w:t>. 319</w:t>
            </w:r>
          </w:p>
          <w:p>
            <w:pPr>
              <w:pStyle w:val="Contents3"/>
              <w:ind w:left="403" w:right="454" w:hanging="0"/>
              <w:jc w:val="both"/>
              <w:rPr/>
            </w:pPr>
            <w:r>
              <w:rPr/>
              <w:t>Защитные меры безопасности</w:t>
            </w:r>
            <w:r>
              <w:rPr>
                <w:vanish/>
              </w:rPr>
              <w:t>. 320</w:t>
            </w:r>
          </w:p>
          <w:p>
            <w:pPr>
              <w:pStyle w:val="Contents2"/>
              <w:ind w:left="200" w:right="454" w:hanging="0"/>
              <w:jc w:val="both"/>
              <w:rPr/>
            </w:pPr>
            <w:r>
              <w:rPr/>
              <w:t xml:space="preserve">Глава 7.5 </w:t>
            </w:r>
            <w:hyperlink w:anchor="_Глава_7.5_ЭЛЕКТРОТЕРМИЧЕСКИЕ">
              <w:r>
                <w:rPr>
                  <w:rStyle w:val="InternetLink"/>
                  <w:caps/>
                </w:rPr>
                <w:t>э</w:t>
              </w:r>
              <w:r>
                <w:rPr>
                  <w:rStyle w:val="InternetLink"/>
                </w:rPr>
                <w:t>лектротермические установки</w:t>
              </w:r>
            </w:hyperlink>
            <w:r>
              <w:rPr>
                <w:vanish/>
              </w:rPr>
              <w:t>. 320</w:t>
            </w:r>
          </w:p>
          <w:p>
            <w:pPr>
              <w:pStyle w:val="Contents3"/>
              <w:ind w:left="403" w:right="454" w:hanging="0"/>
              <w:jc w:val="both"/>
              <w:rPr/>
            </w:pPr>
            <w:r>
              <w:rPr/>
              <w:t>Область применения</w:t>
            </w:r>
            <w:r>
              <w:rPr>
                <w:vanish/>
              </w:rPr>
              <w:t>. 320</w:t>
            </w:r>
          </w:p>
          <w:p>
            <w:pPr>
              <w:pStyle w:val="Contents3"/>
              <w:ind w:left="403" w:right="454" w:hanging="0"/>
              <w:jc w:val="both"/>
              <w:rPr/>
            </w:pPr>
            <w:r>
              <w:rPr/>
              <w:t>Определения</w:t>
            </w:r>
            <w:r>
              <w:rPr>
                <w:vanish/>
              </w:rPr>
              <w:t>. 321</w:t>
            </w:r>
          </w:p>
          <w:p>
            <w:pPr>
              <w:pStyle w:val="Contents3"/>
              <w:ind w:left="403" w:right="454" w:hanging="0"/>
              <w:jc w:val="both"/>
              <w:rPr/>
            </w:pPr>
            <w:r>
              <w:rPr/>
              <w:t>Общие требования</w:t>
            </w:r>
            <w:r>
              <w:rPr>
                <w:vanish/>
              </w:rPr>
              <w:t>. 322</w:t>
            </w:r>
          </w:p>
          <w:p>
            <w:pPr>
              <w:pStyle w:val="Contents3"/>
              <w:ind w:left="403" w:right="454" w:hanging="0"/>
              <w:jc w:val="both"/>
              <w:rPr/>
            </w:pPr>
            <w:r>
              <w:rPr/>
              <w:t>Установки дуговых печей прямого, косвенного действия и дуговых печей сопротивления</w:t>
            </w:r>
            <w:r>
              <w:rPr>
                <w:vanish/>
              </w:rPr>
              <w:t>. 337</w:t>
            </w:r>
          </w:p>
          <w:p>
            <w:pPr>
              <w:pStyle w:val="Contents3"/>
              <w:ind w:left="403" w:right="454" w:hanging="0"/>
              <w:jc w:val="both"/>
              <w:rPr/>
            </w:pPr>
            <w:r>
              <w:rPr/>
              <w:t>Установки индукционного и диэлектрического нагрева</w:t>
            </w:r>
            <w:r>
              <w:rPr>
                <w:vanish/>
              </w:rPr>
              <w:t>. 338</w:t>
            </w:r>
          </w:p>
          <w:p>
            <w:pPr>
              <w:pStyle w:val="Contents3"/>
              <w:ind w:left="403" w:right="454" w:hanging="0"/>
              <w:jc w:val="both"/>
              <w:rPr/>
            </w:pPr>
            <w:r>
              <w:rPr/>
              <w:t>Установки печей сопротивления прямого и косвенного действия</w:t>
            </w:r>
            <w:r>
              <w:rPr>
                <w:vanish/>
              </w:rPr>
              <w:t>. 340</w:t>
            </w:r>
          </w:p>
          <w:p>
            <w:pPr>
              <w:pStyle w:val="Contents3"/>
              <w:ind w:left="403" w:right="454" w:hanging="0"/>
              <w:jc w:val="both"/>
              <w:rPr/>
            </w:pPr>
            <w:r>
              <w:rPr/>
              <w:t>Электронно-лучевые установки</w:t>
            </w:r>
            <w:r>
              <w:rPr>
                <w:vanish/>
              </w:rPr>
              <w:t>. 341</w:t>
            </w:r>
          </w:p>
          <w:p>
            <w:pPr>
              <w:pStyle w:val="Contents3"/>
              <w:ind w:left="403" w:right="454" w:hanging="0"/>
              <w:jc w:val="both"/>
              <w:rPr/>
            </w:pPr>
            <w:r>
              <w:rPr/>
              <w:t>Ионные и лазерные установки</w:t>
            </w:r>
            <w:r>
              <w:rPr>
                <w:vanish/>
              </w:rPr>
              <w:t>. 341</w:t>
            </w:r>
          </w:p>
          <w:p>
            <w:pPr>
              <w:pStyle w:val="Contents2"/>
              <w:ind w:left="200" w:right="454" w:hanging="0"/>
              <w:jc w:val="both"/>
              <w:rPr/>
            </w:pPr>
            <w:r>
              <w:rPr/>
              <w:t xml:space="preserve">Глава 7.6 </w:t>
            </w:r>
            <w:hyperlink w:anchor="_Глава_7.6_ЭЛЕКТРОСВАРОЧНЫЕ">
              <w:r>
                <w:rPr>
                  <w:rStyle w:val="InternetLink"/>
                  <w:caps/>
                </w:rPr>
                <w:t>э</w:t>
              </w:r>
              <w:r>
                <w:rPr>
                  <w:rStyle w:val="InternetLink"/>
                </w:rPr>
                <w:t>лектросварочные установки</w:t>
              </w:r>
            </w:hyperlink>
            <w:r>
              <w:rPr>
                <w:vanish/>
              </w:rPr>
              <w:t>. 342</w:t>
            </w:r>
          </w:p>
          <w:p>
            <w:pPr>
              <w:pStyle w:val="Contents3"/>
              <w:ind w:left="403" w:right="454" w:hanging="0"/>
              <w:jc w:val="both"/>
              <w:rPr/>
            </w:pPr>
            <w:r>
              <w:rPr/>
              <w:t>Область применения</w:t>
            </w:r>
            <w:r>
              <w:rPr>
                <w:vanish/>
              </w:rPr>
              <w:t>. 342</w:t>
            </w:r>
          </w:p>
          <w:p>
            <w:pPr>
              <w:pStyle w:val="Contents3"/>
              <w:ind w:left="403" w:right="454" w:hanging="0"/>
              <w:jc w:val="both"/>
              <w:rPr/>
            </w:pPr>
            <w:r>
              <w:rPr/>
              <w:t>Определения</w:t>
            </w:r>
            <w:r>
              <w:rPr>
                <w:vanish/>
              </w:rPr>
              <w:t>. 342</w:t>
            </w:r>
          </w:p>
          <w:p>
            <w:pPr>
              <w:pStyle w:val="Contents3"/>
              <w:ind w:left="403" w:right="454" w:hanging="0"/>
              <w:jc w:val="both"/>
              <w:rPr/>
            </w:pPr>
            <w:r>
              <w:rPr/>
              <w:t>Общие требования</w:t>
            </w:r>
            <w:r>
              <w:rPr>
                <w:vanish/>
              </w:rPr>
              <w:t>. 343</w:t>
            </w:r>
          </w:p>
          <w:p>
            <w:pPr>
              <w:pStyle w:val="Contents3"/>
              <w:ind w:left="403" w:right="454" w:hanging="0"/>
              <w:jc w:val="both"/>
              <w:rPr/>
            </w:pPr>
            <w:r>
              <w:rPr/>
              <w:t>Требования к помещениям для сварочных установок и сварочных постов</w:t>
            </w:r>
            <w:r>
              <w:rPr>
                <w:vanish/>
              </w:rPr>
              <w:t>. 346</w:t>
            </w:r>
          </w:p>
          <w:p>
            <w:pPr>
              <w:pStyle w:val="Contents3"/>
              <w:ind w:left="403" w:right="454" w:hanging="0"/>
              <w:jc w:val="both"/>
              <w:rPr/>
            </w:pPr>
            <w:r>
              <w:rPr/>
              <w:t>Установки электрической сварки (резки, наплавки) плавлением</w:t>
            </w:r>
            <w:r>
              <w:rPr>
                <w:vanish/>
              </w:rPr>
              <w:t>.. 347</w:t>
            </w:r>
          </w:p>
          <w:p>
            <w:pPr>
              <w:pStyle w:val="Contents3"/>
              <w:ind w:left="403" w:right="454" w:hanging="0"/>
              <w:jc w:val="both"/>
              <w:rPr/>
            </w:pPr>
            <w:r>
              <w:rPr/>
              <w:t>Установки электрической сварки с применением давления</w:t>
            </w:r>
            <w:r>
              <w:rPr>
                <w:vanish/>
              </w:rPr>
              <w:t>. 350</w:t>
            </w:r>
          </w:p>
          <w:p>
            <w:pPr>
              <w:pStyle w:val="Contents2"/>
              <w:ind w:left="200" w:right="454" w:hanging="0"/>
              <w:jc w:val="both"/>
              <w:rPr/>
            </w:pPr>
            <w:r>
              <w:rPr/>
              <w:t xml:space="preserve">Глава 7.10 </w:t>
            </w:r>
            <w:hyperlink w:anchor="_Глава_7.10_ЭЛЕКТРОЛИЗНЫЕ">
              <w:r>
                <w:rPr>
                  <w:rStyle w:val="InternetLink"/>
                  <w:caps/>
                </w:rPr>
                <w:t>э</w:t>
              </w:r>
              <w:r>
                <w:rPr>
                  <w:rStyle w:val="InternetLink"/>
                </w:rPr>
                <w:t>лектролизные установки и установки гальванических покрытий</w:t>
              </w:r>
            </w:hyperlink>
            <w:r>
              <w:rPr>
                <w:vanish/>
              </w:rPr>
              <w:t>. 350</w:t>
            </w:r>
          </w:p>
          <w:p>
            <w:pPr>
              <w:pStyle w:val="Contents3"/>
              <w:ind w:left="403" w:right="454" w:hanging="0"/>
              <w:jc w:val="both"/>
              <w:rPr/>
            </w:pPr>
            <w:r>
              <w:rPr/>
              <w:t>Область применения</w:t>
            </w:r>
            <w:r>
              <w:rPr>
                <w:vanish/>
              </w:rPr>
              <w:t>. 351</w:t>
            </w:r>
          </w:p>
          <w:p>
            <w:pPr>
              <w:pStyle w:val="Contents3"/>
              <w:ind w:left="403" w:right="454" w:hanging="0"/>
              <w:jc w:val="both"/>
              <w:rPr/>
            </w:pPr>
            <w:r>
              <w:rPr/>
              <w:t>Определения. Состав установок</w:t>
            </w:r>
            <w:r>
              <w:rPr>
                <w:vanish/>
              </w:rPr>
              <w:t>. 351</w:t>
            </w:r>
          </w:p>
          <w:p>
            <w:pPr>
              <w:pStyle w:val="Contents3"/>
              <w:ind w:left="403" w:right="454" w:hanging="0"/>
              <w:jc w:val="both"/>
              <w:rPr/>
            </w:pPr>
            <w:r>
              <w:rPr/>
              <w:t>Общие требования</w:t>
            </w:r>
            <w:r>
              <w:rPr>
                <w:vanish/>
              </w:rPr>
              <w:t>. 352</w:t>
            </w:r>
          </w:p>
          <w:p>
            <w:pPr>
              <w:pStyle w:val="Contents3"/>
              <w:ind w:left="403" w:right="454" w:hanging="0"/>
              <w:jc w:val="both"/>
              <w:rPr/>
            </w:pPr>
            <w:r>
              <w:rPr/>
              <w:t>Установки электролиза воды и водных растворов</w:t>
            </w:r>
            <w:r>
              <w:rPr>
                <w:vanish/>
              </w:rPr>
              <w:t>. 358</w:t>
            </w:r>
          </w:p>
          <w:p>
            <w:pPr>
              <w:pStyle w:val="Contents3"/>
              <w:ind w:left="403" w:right="454" w:hanging="0"/>
              <w:jc w:val="both"/>
              <w:rPr/>
            </w:pPr>
            <w:r>
              <w:rPr/>
              <w:t>Электролизные установки получения водорода (водородные станции)</w:t>
            </w:r>
            <w:r>
              <w:rPr>
                <w:vanish/>
              </w:rPr>
              <w:t xml:space="preserve"> 358</w:t>
            </w:r>
          </w:p>
          <w:p>
            <w:pPr>
              <w:pStyle w:val="Contents3"/>
              <w:ind w:left="403" w:right="454" w:hanging="0"/>
              <w:jc w:val="both"/>
              <w:rPr/>
            </w:pPr>
            <w:r>
              <w:rPr/>
              <w:t>Электролизные установки получения хлора</w:t>
            </w:r>
            <w:r>
              <w:rPr>
                <w:vanish/>
              </w:rPr>
              <w:t>. 359</w:t>
            </w:r>
          </w:p>
          <w:p>
            <w:pPr>
              <w:pStyle w:val="Contents3"/>
              <w:ind w:left="403" w:right="454" w:hanging="0"/>
              <w:jc w:val="both"/>
              <w:rPr/>
            </w:pPr>
            <w:r>
              <w:rPr/>
              <w:t>Установки электролиза магния</w:t>
            </w:r>
            <w:r>
              <w:rPr>
                <w:vanish/>
              </w:rPr>
              <w:t>. 359</w:t>
            </w:r>
          </w:p>
          <w:p>
            <w:pPr>
              <w:pStyle w:val="Contents3"/>
              <w:ind w:left="403" w:right="454" w:hanging="0"/>
              <w:jc w:val="both"/>
              <w:rPr/>
            </w:pPr>
            <w:r>
              <w:rPr/>
              <w:t>Установки электролиза алюминия</w:t>
            </w:r>
            <w:r>
              <w:rPr>
                <w:vanish/>
              </w:rPr>
              <w:t>. 360</w:t>
            </w:r>
          </w:p>
          <w:p>
            <w:pPr>
              <w:pStyle w:val="Contents3"/>
              <w:ind w:left="403" w:right="454" w:hanging="0"/>
              <w:jc w:val="both"/>
              <w:rPr/>
            </w:pPr>
            <w:r>
              <w:rPr/>
              <w:t>Установки электролитического рафинирования алюминия</w:t>
            </w:r>
            <w:r>
              <w:rPr>
                <w:vanish/>
              </w:rPr>
              <w:t>. 363</w:t>
            </w:r>
          </w:p>
          <w:p>
            <w:pPr>
              <w:pStyle w:val="Contents3"/>
              <w:ind w:left="403" w:right="454" w:hanging="0"/>
              <w:jc w:val="both"/>
              <w:rPr/>
            </w:pPr>
            <w:r>
              <w:rPr/>
              <w:t>Электролизные установки ферросплавного производства</w:t>
            </w:r>
            <w:r>
              <w:rPr>
                <w:vanish/>
              </w:rPr>
              <w:t>. 363</w:t>
            </w:r>
          </w:p>
          <w:p>
            <w:pPr>
              <w:pStyle w:val="Contents3"/>
              <w:ind w:left="403" w:right="454" w:hanging="0"/>
              <w:jc w:val="both"/>
              <w:rPr/>
            </w:pPr>
            <w:r>
              <w:rPr/>
              <w:t>Электролизные установки никель-кобальтового производства</w:t>
            </w:r>
            <w:r>
              <w:rPr>
                <w:vanish/>
              </w:rPr>
              <w:t>. 363</w:t>
            </w:r>
          </w:p>
          <w:p>
            <w:pPr>
              <w:pStyle w:val="Contents3"/>
              <w:ind w:left="403" w:right="454" w:hanging="0"/>
              <w:jc w:val="both"/>
              <w:rPr/>
            </w:pPr>
            <w:r>
              <w:rPr/>
              <w:t>Установки электролиза меди</w:t>
            </w:r>
            <w:r>
              <w:rPr>
                <w:vanish/>
              </w:rPr>
              <w:t>. 363</w:t>
            </w:r>
          </w:p>
          <w:p>
            <w:pPr>
              <w:pStyle w:val="Contents3"/>
              <w:ind w:left="403" w:right="454" w:hanging="0"/>
              <w:jc w:val="both"/>
              <w:rPr/>
            </w:pPr>
            <w:r>
              <w:rPr/>
              <w:t>Установки гальванических покрытий</w:t>
            </w:r>
            <w:r>
              <w:rPr>
                <w:vanish/>
              </w:rPr>
              <w:t>. 363</w:t>
            </w:r>
          </w:p>
        </w:tc>
      </w:tr>
    </w:tbl>
    <w:p>
      <w:pPr>
        <w:pStyle w:val="Normal"/>
        <w:shd w:fill="FFFFFF" w:val="clear"/>
        <w:jc w:val="both"/>
        <w:rPr>
          <w:sz w:val="20"/>
          <w:szCs w:val="20"/>
        </w:rPr>
      </w:pPr>
      <w:r>
        <w:rPr/>
        <w:t> </w:t>
      </w:r>
    </w:p>
    <w:p>
      <w:pPr>
        <w:pStyle w:val="Normal"/>
        <w:rPr>
          <w:vanish/>
          <w:color w:val="FFFFFF"/>
          <w:sz w:val="2"/>
        </w:rPr>
      </w:pPr>
      <w:r>
        <w:rPr>
          <w:vanish/>
          <w:color w:val="FFFFFF"/>
          <w:sz w:val="2"/>
        </w:rPr>
        <w:t>0158S10-02181</w:t>
      </w:r>
    </w:p>
    <w:p>
      <w:pPr>
        <w:pStyle w:val="Normal"/>
        <w:rPr>
          <w:vanish/>
          <w:color w:val="FFFFFF"/>
          <w:sz w:val="28"/>
        </w:rPr>
      </w:pPr>
      <w:r>
        <w:rPr>
          <w:vanish/>
          <w:color w:val="FFFFFF"/>
          <w:sz w:val="28"/>
        </w:rPr>
      </w:r>
    </w:p>
    <w:p>
      <w:pPr>
        <w:pStyle w:val="Normal"/>
        <w:rPr/>
      </w:pPr>
      <w:r>
        <w:rPr>
          <w:sz w:val="28"/>
        </w:rPr>
        <w:t xml:space="preserve">          </w:t>
      </w:r>
      <w:hyperlink r:id="rId120">
        <w:r>
          <w:rPr>
            <w:rStyle w:val="InternetLink"/>
          </w:rPr>
          <w:t>http://www.electromontaj-proekt.ru/</w:t>
        </w:r>
      </w:hyperlink>
      <w:r>
        <w:rPr/>
        <w:t xml:space="preserve">   </w:t>
      </w:r>
    </w:p>
    <w:sectPr>
      <w:headerReference w:type="default" r:id="rId121"/>
      <w:footerReference w:type="default" r:id="rId122"/>
      <w:type w:val="nextPage"/>
      <w:pgSz w:w="11906" w:h="16838"/>
      <w:pgMar w:left="1701" w:right="850" w:header="708"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Style w:val="PageNumber"/>
        <w:sz w:val="18"/>
      </w:rPr>
      <w:t xml:space="preserve">              </w:t>
    </w:r>
    <w:r>
      <w:rPr>
        <w:rStyle w:val="PageNumber"/>
        <w:sz w:val="18"/>
      </w:rPr>
      <w:t>В данную книгу включены главы, которые были переработаны в процессе выпуска издания 7.</w:t>
    </w:r>
  </w:p>
  <w:p>
    <w:pPr>
      <w:pStyle w:val="Footer"/>
      <w:rPr>
        <w:rStyle w:val="PageNumber"/>
        <w:sz w:val="18"/>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right="360" w:hanging="0"/>
      <w:rPr>
        <w:sz w:val="18"/>
      </w:rPr>
    </w:pPr>
    <w:r>
      <w:rPr>
        <w:sz w:val="18"/>
      </w:rPr>
    </w:r>
    <w:r>
      <mc:AlternateContent>
        <mc:Choice Requires="wps">
          <w:drawing>
            <wp:anchor behindDoc="0" distT="0" distB="0" distL="0" distR="0" simplePos="0" locked="0" layoutInCell="1" allowOverlap="1" relativeHeight="484">
              <wp:simplePos x="0" y="0"/>
              <wp:positionH relativeFrom="margin">
                <wp:align>right</wp:align>
              </wp:positionH>
              <wp:positionV relativeFrom="paragraph">
                <wp:posOffset>635</wp:posOffset>
              </wp:positionV>
              <wp:extent cx="5941060" cy="262890"/>
              <wp:effectExtent l="0" t="0" r="0" b="0"/>
              <wp:wrapSquare wrapText="largest"/>
              <wp:docPr id="107" name="Frame1"/>
              <a:graphic xmlns:a="http://schemas.openxmlformats.org/drawingml/2006/main">
                <a:graphicData uri="http://schemas.microsoft.com/office/word/2010/wordprocessingShape">
                  <wps:wsp>
                    <wps:cNvSpPr txBox="1"/>
                    <wps:spPr>
                      <a:xfrm>
                        <a:off x="0" y="0"/>
                        <a:ext cx="5941060" cy="262890"/>
                      </a:xfrm>
                      <a:prstGeom prst="rect"/>
                      <a:solidFill>
                        <a:srgbClr val="FFFFFF">
                          <a:alpha val="0"/>
                        </a:srgbClr>
                      </a:solidFill>
                    </wps:spPr>
                    <wps:txbx>
                      <w:txbxContent>
                        <w:p>
                          <w:pPr>
                            <w:pStyle w:val="Header"/>
                            <w:rPr/>
                          </w:pPr>
                          <w:r>
                            <w:rPr>
                              <w:rStyle w:val="PageNumber"/>
                              <w:sz w:val="18"/>
                            </w:rPr>
                            <w:t xml:space="preserve">                                     </w:t>
                          </w:r>
                          <w:r>
                            <w:rPr>
                              <w:rStyle w:val="PageNumber"/>
                              <w:sz w:val="18"/>
                            </w:rPr>
                            <w:t>ПУЭ Правила устройства электроустановок. Издание 7 (по состоянию на декабрь 2013 г.)</w:t>
                          </w:r>
                        </w:p>
                        <w:p>
                          <w:pPr>
                            <w:pStyle w:val="Header"/>
                            <w:rPr>
                              <w:rStyle w:val="PageNumber"/>
                              <w:sz w:val="18"/>
                            </w:rPr>
                          </w:pPr>
                          <w:r>
                            <w:rPr>
                              <w:rStyle w:val="PageNumber"/>
                              <w:sz w:val="18"/>
                            </w:rPr>
                            <w:tab/>
                            <w:t xml:space="preserve"> </w:t>
                            <w:tab/>
                            <w:t xml:space="preserve"> </w:t>
                          </w:r>
                          <w:r>
                            <w:rPr>
                              <w:rStyle w:val="PageNumber"/>
                              <w:sz w:val="18"/>
                            </w:rPr>
                            <w:fldChar w:fldCharType="begin"/>
                          </w:r>
                          <w:r>
                            <w:rPr>
                              <w:rStyle w:val="PageNumber"/>
                              <w:sz w:val="18"/>
                            </w:rPr>
                            <w:instrText> PAGE </w:instrText>
                          </w:r>
                          <w:r>
                            <w:rPr>
                              <w:rStyle w:val="PageNumber"/>
                              <w:sz w:val="18"/>
                            </w:rPr>
                            <w:fldChar w:fldCharType="separate"/>
                          </w:r>
                          <w:r>
                            <w:rPr>
                              <w:rStyle w:val="PageNumber"/>
                              <w:sz w:val="18"/>
                            </w:rPr>
                            <w:t>376</w:t>
                          </w:r>
                          <w:r>
                            <w:rPr>
                              <w:rStyle w:val="PageNumber"/>
                              <w:sz w:val="18"/>
                            </w:rPr>
                            <w:fldChar w:fldCharType="end"/>
                          </w:r>
                        </w:p>
                      </w:txbxContent>
                    </wps:txbx>
                    <wps:bodyPr anchor="t" lIns="0" tIns="0" rIns="0" bIns="0">
                      <a:noAutofit/>
                    </wps:bodyPr>
                  </wps:wsp>
                </a:graphicData>
              </a:graphic>
            </wp:anchor>
          </w:drawing>
        </mc:Choice>
        <mc:Fallback>
          <w:pict>
            <v:rect fillcolor="#FFFFFF" style="position:absolute;rotation:0;width:467.8pt;height:20.7pt;mso-wrap-distance-left:0pt;mso-wrap-distance-right:0pt;mso-wrap-distance-top:0pt;mso-wrap-distance-bottom:0pt;margin-top:0.05pt;mso-position-vertical-relative:text;margin-left:-0.05pt;mso-position-horizontal:right;mso-position-horizontal-relative:margin">
              <v:fill opacity="0f"/>
              <v:textbox>
                <w:txbxContent>
                  <w:p>
                    <w:pPr>
                      <w:pStyle w:val="Header"/>
                      <w:rPr/>
                    </w:pPr>
                    <w:r>
                      <w:rPr>
                        <w:rStyle w:val="PageNumber"/>
                        <w:sz w:val="18"/>
                      </w:rPr>
                      <w:t xml:space="preserve">                                     </w:t>
                    </w:r>
                    <w:r>
                      <w:rPr>
                        <w:rStyle w:val="PageNumber"/>
                        <w:sz w:val="18"/>
                      </w:rPr>
                      <w:t>ПУЭ Правила устройства электроустановок. Издание 7 (по состоянию на декабрь 2013 г.)</w:t>
                    </w:r>
                  </w:p>
                  <w:p>
                    <w:pPr>
                      <w:pStyle w:val="Header"/>
                      <w:rPr>
                        <w:rStyle w:val="PageNumber"/>
                        <w:sz w:val="18"/>
                      </w:rPr>
                    </w:pPr>
                    <w:r>
                      <w:rPr>
                        <w:rStyle w:val="PageNumber"/>
                        <w:sz w:val="18"/>
                      </w:rPr>
                      <w:tab/>
                      <w:t xml:space="preserve"> </w:t>
                      <w:tab/>
                      <w:t xml:space="preserve"> </w:t>
                    </w:r>
                    <w:r>
                      <w:rPr>
                        <w:rStyle w:val="PageNumber"/>
                        <w:sz w:val="18"/>
                      </w:rPr>
                      <w:fldChar w:fldCharType="begin"/>
                    </w:r>
                    <w:r>
                      <w:rPr>
                        <w:rStyle w:val="PageNumber"/>
                        <w:sz w:val="18"/>
                      </w:rPr>
                      <w:instrText> PAGE </w:instrText>
                    </w:r>
                    <w:r>
                      <w:rPr>
                        <w:rStyle w:val="PageNumber"/>
                        <w:sz w:val="18"/>
                      </w:rPr>
                      <w:fldChar w:fldCharType="separate"/>
                    </w:r>
                    <w:r>
                      <w:rPr>
                        <w:rStyle w:val="PageNumber"/>
                        <w:sz w:val="18"/>
                      </w:rPr>
                      <w:t>376</w:t>
                    </w:r>
                    <w:r>
                      <w:rPr>
                        <w:rStyle w:val="PageNumber"/>
                        <w:sz w:val="18"/>
                      </w:rPr>
                      <w:fldChar w:fldCharType="end"/>
                    </w:r>
                  </w:p>
                </w:txbxContent>
              </v:textbox>
              <w10:wrap type="square" side="largest"/>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20"/>
  <w:displayBackgroundShape/>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1">
    <w:name w:val="Heading 1"/>
    <w:basedOn w:val="Normal"/>
    <w:next w:val="TextBody"/>
    <w:qFormat/>
    <w:pPr>
      <w:keepNext w:val="true"/>
      <w:numPr>
        <w:ilvl w:val="0"/>
        <w:numId w:val="1"/>
      </w:numPr>
      <w:overflowPunct w:val="false"/>
      <w:autoSpaceDE w:val="false"/>
      <w:spacing w:before="240" w:after="240"/>
      <w:jc w:val="center"/>
      <w:outlineLvl w:val="0"/>
    </w:pPr>
    <w:rPr>
      <w:b/>
      <w:bCs/>
      <w:kern w:val="2"/>
    </w:rPr>
  </w:style>
  <w:style w:type="paragraph" w:styleId="Heading2">
    <w:name w:val="Heading 2"/>
    <w:basedOn w:val="Normal"/>
    <w:next w:val="TextBody"/>
    <w:qFormat/>
    <w:pPr>
      <w:numPr>
        <w:ilvl w:val="1"/>
        <w:numId w:val="1"/>
      </w:numPr>
      <w:overflowPunct w:val="false"/>
      <w:autoSpaceDE w:val="false"/>
      <w:spacing w:before="120" w:after="120"/>
      <w:jc w:val="center"/>
      <w:outlineLvl w:val="1"/>
    </w:pPr>
    <w:rPr>
      <w:b/>
      <w:bCs/>
    </w:rPr>
  </w:style>
  <w:style w:type="paragraph" w:styleId="Heading3">
    <w:name w:val="Heading 3"/>
    <w:basedOn w:val="Normal"/>
    <w:next w:val="TextBody"/>
    <w:qFormat/>
    <w:pPr>
      <w:numPr>
        <w:ilvl w:val="2"/>
        <w:numId w:val="1"/>
      </w:numPr>
      <w:overflowPunct w:val="false"/>
      <w:autoSpaceDE w:val="false"/>
      <w:spacing w:before="120" w:after="120"/>
      <w:jc w:val="center"/>
      <w:outlineLvl w:val="2"/>
    </w:pPr>
    <w:rPr>
      <w:b/>
      <w:bCs/>
    </w:rPr>
  </w:style>
  <w:style w:type="character" w:styleId="Style11">
    <w:name w:val="Основной шрифт абзаца"/>
    <w:qFormat/>
    <w:rPr/>
  </w:style>
  <w:style w:type="character" w:styleId="PageNumber">
    <w:name w:val="Page Number"/>
    <w:basedOn w:val="Style11"/>
    <w:rPr/>
  </w:style>
  <w:style w:type="character" w:styleId="InternetLink">
    <w:name w:val="Internet Link"/>
    <w:basedOn w:val="Style11"/>
    <w:rPr>
      <w:color w:val="0000FF"/>
      <w:u w:val="single"/>
    </w:rPr>
  </w:style>
  <w:style w:type="character" w:styleId="VisitedInternetLink">
    <w:name w:val="Visited Internet Link"/>
    <w:basedOn w:val="Style11"/>
    <w:rPr>
      <w:color w:val="800080"/>
      <w:u w:val="single"/>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autoSpaceDE w:val="false"/>
      <w:spacing w:before="0" w:after="120"/>
      <w:jc w:val="center"/>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
    <w:name w:val="Header"/>
    <w:basedOn w:val="Normal"/>
    <w:pPr>
      <w:tabs>
        <w:tab w:val="clear" w:pos="708"/>
        <w:tab w:val="center" w:pos="4677" w:leader="none"/>
        <w:tab w:val="right" w:pos="9355" w:leader="none"/>
      </w:tabs>
    </w:pPr>
    <w:rPr/>
  </w:style>
  <w:style w:type="paragraph" w:styleId="Footer">
    <w:name w:val="Footer"/>
    <w:basedOn w:val="Normal"/>
    <w:pPr>
      <w:tabs>
        <w:tab w:val="clear" w:pos="708"/>
        <w:tab w:val="center" w:pos="4677" w:leader="none"/>
        <w:tab w:val="right" w:pos="9355" w:leader="none"/>
      </w:tabs>
    </w:pPr>
    <w:rPr/>
  </w:style>
  <w:style w:type="paragraph" w:styleId="TextBodyIndent">
    <w:name w:val="Body Text Indent"/>
    <w:basedOn w:val="Normal"/>
    <w:pPr>
      <w:shd w:fill="FFFFFF" w:val="clear"/>
      <w:autoSpaceDE w:val="false"/>
      <w:ind w:firstLine="283"/>
      <w:jc w:val="both"/>
    </w:pPr>
    <w:rPr/>
  </w:style>
  <w:style w:type="paragraph" w:styleId="Contents1">
    <w:name w:val="TOC 1"/>
    <w:basedOn w:val="Normal"/>
    <w:pPr>
      <w:autoSpaceDE w:val="false"/>
    </w:pPr>
    <w:rPr/>
  </w:style>
  <w:style w:type="paragraph" w:styleId="Contents2">
    <w:name w:val="TOC 2"/>
    <w:basedOn w:val="Normal"/>
    <w:pPr>
      <w:autoSpaceDE w:val="false"/>
      <w:ind w:left="200" w:hanging="0"/>
    </w:pPr>
    <w:rPr/>
  </w:style>
  <w:style w:type="paragraph" w:styleId="Contents3">
    <w:name w:val="TOC 3"/>
    <w:basedOn w:val="Normal"/>
    <w:pPr>
      <w:autoSpaceDE w:val="false"/>
      <w:ind w:left="403" w:hanging="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lectromontaj-proekt.ru/normativnye-dokumenty/osnovopolagayushchie-normativy/" TargetMode="External"/><Relationship Id="rId3" Type="http://schemas.openxmlformats.org/officeDocument/2006/relationships/hyperlink" Target="http://www.electromontaj-proekt.ru/normativnye-dokumenty/kabeli/" TargetMode="External"/><Relationship Id="rId4" Type="http://schemas.openxmlformats.org/officeDocument/2006/relationships/hyperlink" Target="http://www.electromontaj-proekt.ru/normativnye-dokumenty/svetilniki-i-osveshchenie/" TargetMode="External"/><Relationship Id="rId5" Type="http://schemas.openxmlformats.org/officeDocument/2006/relationships/hyperlink" Target="http://www.electromontaj-proekt.ru/normativnye-dokumenty/apparaty-zashchity-i-upravleniya/" TargetMode="External"/><Relationship Id="rId6" Type="http://schemas.openxmlformats.org/officeDocument/2006/relationships/hyperlink" Target="http://www.electromontaj-proekt.ru/normativnye-dokumenty/materialy/" TargetMode="External"/><Relationship Id="rId7" Type="http://schemas.openxmlformats.org/officeDocument/2006/relationships/hyperlink" Target="http://www.electromontaj-proekt.ru/normativnye-dokumenty/osnovopolagayushchie-normativy/pue-7/"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http://www.electromontaj-proekt.ru/normativnye-dokumenty/osnovopolagayushchie-normativy/gost-12-1-030-81/" TargetMode="External"/><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png"/><Relationship Id="rId83" Type="http://schemas.openxmlformats.org/officeDocument/2006/relationships/image" Target="media/image75.jpeg"/><Relationship Id="rId84" Type="http://schemas.openxmlformats.org/officeDocument/2006/relationships/image" Target="media/image76.png"/><Relationship Id="rId85" Type="http://schemas.openxmlformats.org/officeDocument/2006/relationships/image" Target="media/image77.jpe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jpe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jpe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png"/><Relationship Id="rId100" Type="http://schemas.openxmlformats.org/officeDocument/2006/relationships/image" Target="media/image92.jpeg"/><Relationship Id="rId101" Type="http://schemas.openxmlformats.org/officeDocument/2006/relationships/image" Target="media/image93.pn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jpeg"/><Relationship Id="rId109" Type="http://schemas.openxmlformats.org/officeDocument/2006/relationships/image" Target="media/image101.jpe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png"/><Relationship Id="rId113" Type="http://schemas.openxmlformats.org/officeDocument/2006/relationships/hyperlink" Target="http://www.electromontaj-proekt.ru/normativnye-dokumenty/osnovopolagayushchie-normativy/gost-r-50571-12-96/" TargetMode="External"/><Relationship Id="rId114" Type="http://schemas.openxmlformats.org/officeDocument/2006/relationships/hyperlink" Target="http://www.electromontaj-proekt.ru/normativnye-dokumenty/osnovopolagayushchie-normativy/gost-r-50571-11-96/" TargetMode="External"/><Relationship Id="rId115" Type="http://schemas.openxmlformats.org/officeDocument/2006/relationships/hyperlink" Target="http://www.electromontaj-proekt.ru/normativnye-dokumenty/osnovopolagayushchie-normativy/gost-r-50571-11-96/" TargetMode="External"/><Relationship Id="rId116" Type="http://schemas.openxmlformats.org/officeDocument/2006/relationships/hyperlink" Target="http://www.electromontaj-proekt.ru/normativnye-dokumenty/osnovopolagayushchie-normativy/gost-r-50571-11-96/" TargetMode="External"/><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hyperlink" Target="http://www.electromontaj-proekt.ru/normativnye-dokumenty/svetilniki-i-osveshchenie/snip-23-05-95/" TargetMode="External"/><Relationship Id="rId120" Type="http://schemas.openxmlformats.org/officeDocument/2006/relationships/hyperlink" Target="http://www.electromontaj-proekt.ru/" TargetMode="External"/><Relationship Id="rId121" Type="http://schemas.openxmlformats.org/officeDocument/2006/relationships/header" Target="header1.xml"/><Relationship Id="rId122" Type="http://schemas.openxmlformats.org/officeDocument/2006/relationships/footer" Target="footer1.xml"/><Relationship Id="rId123" Type="http://schemas.openxmlformats.org/officeDocument/2006/relationships/numbering" Target="numbering.xml"/><Relationship Id="rId124" Type="http://schemas.openxmlformats.org/officeDocument/2006/relationships/fontTable" Target="fontTable.xml"/><Relationship Id="rId1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314</TotalTime>
  <Application>LibreOffice/6.1.5.2$Linux_X86_64 LibreOffice_project/10$Build-2</Application>
  <Pages>376</Pages>
  <Words>137784</Words>
  <Characters>878871</Characters>
  <CharactersWithSpaces>1003886</CharactersWithSpaces>
  <Paragraphs>15031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2013-12-30T08:33:00Z</dcterms:created>
  <dc:creator>http://www.electromontaj-proekt.ru/</dc:creator>
  <dc:description/>
  <cp:keywords/>
  <dc:language>en-US</dc:language>
  <cp:lastModifiedBy>Vict</cp:lastModifiedBy>
  <dcterms:modified xsi:type="dcterms:W3CDTF">2015-05-23T22:46:00Z</dcterms:modified>
  <cp:revision>25</cp:revision>
  <dc:subject>ПУЭ</dc:subject>
  <dc:title>ПУЭ Правила устройства электроустановок. Издание 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csDocId">
    <vt:lpwstr>NcsDocId</vt:lpwstr>
  </property>
  <property fmtid="{D5CDD505-2E9C-101B-9397-08002B2CF9AE}" pid="3" name="NcsDomain">
    <vt:lpwstr>NcsDomain</vt:lpwstr>
  </property>
  <property fmtid="{D5CDD505-2E9C-101B-9397-08002B2CF9AE}" pid="4" name="NcsExportTime">
    <vt:lpwstr>NcsExportTime</vt:lpwstr>
  </property>
  <property fmtid="{D5CDD505-2E9C-101B-9397-08002B2CF9AE}" pid="5" name="NcsSerial">
    <vt:lpwstr>NcsSerial</vt:lpwstr>
  </property>
  <property fmtid="{D5CDD505-2E9C-101B-9397-08002B2CF9AE}" pid="6" name="NcsUrl">
    <vt:lpwstr>NcsUrl</vt:lpwstr>
  </property>
</Properties>
</file>